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9CF6" w14:textId="24EE2B56" w:rsidR="005E192C" w:rsidRPr="006F3FFA" w:rsidRDefault="00B84241" w:rsidP="006F3FFA">
      <w:pPr>
        <w:spacing w:after="0" w:line="240" w:lineRule="auto"/>
        <w:ind w:left="720" w:hanging="360"/>
        <w:contextualSpacing/>
        <w:jc w:val="center"/>
        <w:rPr>
          <w:rFonts w:ascii="Arial" w:hAnsi="Arial" w:cs="Arial"/>
          <w:b/>
          <w:bCs/>
          <w:noProof/>
          <w:sz w:val="24"/>
          <w:szCs w:val="24"/>
          <w:lang w:val="mn-MN"/>
        </w:rPr>
      </w:pPr>
      <w:r w:rsidRPr="006F3FFA">
        <w:rPr>
          <w:rFonts w:ascii="Arial" w:hAnsi="Arial" w:cs="Arial"/>
          <w:b/>
          <w:bCs/>
          <w:noProof/>
          <w:sz w:val="24"/>
          <w:szCs w:val="24"/>
          <w:lang w:val="mn-MN"/>
        </w:rPr>
        <w:t xml:space="preserve">ТОВЧ </w:t>
      </w:r>
      <w:r w:rsidR="005E192C" w:rsidRPr="006F3FFA">
        <w:rPr>
          <w:rFonts w:ascii="Arial" w:hAnsi="Arial" w:cs="Arial"/>
          <w:b/>
          <w:bCs/>
          <w:noProof/>
          <w:sz w:val="24"/>
          <w:szCs w:val="24"/>
          <w:lang w:val="mn-MN"/>
        </w:rPr>
        <w:t>ТАНИЛЦУУЛГА</w:t>
      </w:r>
    </w:p>
    <w:p w14:paraId="60013E68" w14:textId="77777777" w:rsidR="00795C60" w:rsidRPr="006F3FFA" w:rsidRDefault="00795C60" w:rsidP="006F3FFA">
      <w:pPr>
        <w:spacing w:after="0" w:line="240" w:lineRule="auto"/>
        <w:ind w:left="720" w:hanging="360"/>
        <w:contextualSpacing/>
        <w:jc w:val="center"/>
        <w:rPr>
          <w:rFonts w:ascii="Arial" w:hAnsi="Arial" w:cs="Arial"/>
          <w:b/>
          <w:bCs/>
          <w:noProof/>
          <w:sz w:val="24"/>
          <w:szCs w:val="24"/>
          <w:lang w:val="mn-MN"/>
        </w:rPr>
      </w:pPr>
    </w:p>
    <w:p w14:paraId="28C7A518" w14:textId="77777777" w:rsidR="006F3FFA" w:rsidRPr="006F3FFA" w:rsidRDefault="006F3FFA" w:rsidP="006F3FFA">
      <w:pPr>
        <w:spacing w:after="0" w:line="240" w:lineRule="auto"/>
        <w:ind w:left="720" w:hanging="360"/>
        <w:contextualSpacing/>
        <w:jc w:val="right"/>
        <w:rPr>
          <w:rFonts w:ascii="Arial" w:hAnsi="Arial" w:cs="Arial"/>
          <w:i/>
          <w:iCs/>
          <w:noProof/>
          <w:sz w:val="24"/>
          <w:szCs w:val="24"/>
          <w:lang w:val="mn-MN"/>
        </w:rPr>
      </w:pPr>
      <w:r w:rsidRPr="006F3FFA">
        <w:rPr>
          <w:rFonts w:ascii="Arial" w:hAnsi="Arial" w:cs="Arial"/>
          <w:i/>
          <w:iCs/>
          <w:noProof/>
          <w:sz w:val="24"/>
          <w:szCs w:val="24"/>
          <w:lang w:val="mn-MN"/>
        </w:rPr>
        <w:t xml:space="preserve">Аж ахуйн нэгжийн орлогын албан </w:t>
      </w:r>
    </w:p>
    <w:p w14:paraId="0E156416" w14:textId="77777777" w:rsidR="006F3FFA" w:rsidRPr="006F3FFA" w:rsidRDefault="006F3FFA" w:rsidP="006F3FFA">
      <w:pPr>
        <w:spacing w:after="0" w:line="240" w:lineRule="auto"/>
        <w:ind w:left="720" w:hanging="360"/>
        <w:contextualSpacing/>
        <w:jc w:val="right"/>
        <w:rPr>
          <w:rFonts w:ascii="Arial" w:hAnsi="Arial" w:cs="Arial"/>
          <w:i/>
          <w:iCs/>
          <w:noProof/>
          <w:sz w:val="24"/>
          <w:szCs w:val="24"/>
          <w:lang w:val="mn-MN"/>
        </w:rPr>
      </w:pPr>
      <w:r w:rsidRPr="006F3FFA">
        <w:rPr>
          <w:rFonts w:ascii="Arial" w:hAnsi="Arial" w:cs="Arial"/>
          <w:i/>
          <w:iCs/>
          <w:noProof/>
          <w:sz w:val="24"/>
          <w:szCs w:val="24"/>
          <w:lang w:val="mn-MN"/>
        </w:rPr>
        <w:t>татварын тухай хуульд нэмэлт оруулах</w:t>
      </w:r>
    </w:p>
    <w:p w14:paraId="65AD55B7" w14:textId="77777777" w:rsidR="006F3FFA" w:rsidRPr="006F3FFA" w:rsidRDefault="006F3FFA" w:rsidP="006F3FFA">
      <w:pPr>
        <w:spacing w:after="0" w:line="240" w:lineRule="auto"/>
        <w:ind w:left="720" w:hanging="360"/>
        <w:contextualSpacing/>
        <w:jc w:val="right"/>
        <w:rPr>
          <w:rFonts w:ascii="Arial" w:hAnsi="Arial" w:cs="Arial"/>
          <w:i/>
          <w:iCs/>
          <w:noProof/>
          <w:sz w:val="24"/>
          <w:szCs w:val="24"/>
          <w:lang w:val="mn-MN"/>
        </w:rPr>
      </w:pPr>
      <w:r w:rsidRPr="006F3FFA">
        <w:rPr>
          <w:rFonts w:ascii="Arial" w:hAnsi="Arial" w:cs="Arial"/>
          <w:i/>
          <w:iCs/>
          <w:noProof/>
          <w:sz w:val="24"/>
          <w:szCs w:val="24"/>
          <w:lang w:val="mn-MN"/>
        </w:rPr>
        <w:t xml:space="preserve"> тухай хуулийн төслийн талаар</w:t>
      </w:r>
    </w:p>
    <w:p w14:paraId="60A24ED3" w14:textId="77777777" w:rsidR="005E192C" w:rsidRPr="006F3FFA" w:rsidRDefault="005E192C" w:rsidP="006F3FFA">
      <w:pPr>
        <w:spacing w:after="0" w:line="240" w:lineRule="auto"/>
        <w:ind w:left="720" w:hanging="360"/>
        <w:contextualSpacing/>
        <w:jc w:val="right"/>
        <w:rPr>
          <w:rFonts w:ascii="Arial" w:hAnsi="Arial" w:cs="Arial"/>
          <w:i/>
          <w:iCs/>
          <w:noProof/>
          <w:sz w:val="24"/>
          <w:szCs w:val="24"/>
          <w:lang w:val="mn-MN"/>
        </w:rPr>
      </w:pPr>
    </w:p>
    <w:p w14:paraId="79926424" w14:textId="5A3E5802" w:rsidR="005E192C" w:rsidRPr="006F3FFA" w:rsidRDefault="00795C60" w:rsidP="006F3FFA">
      <w:pPr>
        <w:shd w:val="clear" w:color="auto" w:fill="FFFFFF"/>
        <w:autoSpaceDE w:val="0"/>
        <w:autoSpaceDN w:val="0"/>
        <w:adjustRightInd w:val="0"/>
        <w:spacing w:after="0" w:line="240" w:lineRule="auto"/>
        <w:ind w:firstLine="720"/>
        <w:contextualSpacing/>
        <w:jc w:val="both"/>
        <w:rPr>
          <w:rFonts w:ascii="Arial" w:eastAsia="Times New Roman" w:hAnsi="Arial" w:cs="Arial"/>
          <w:noProof/>
          <w:sz w:val="24"/>
          <w:szCs w:val="24"/>
          <w:lang w:val="mn-MN"/>
        </w:rPr>
      </w:pPr>
      <w:r w:rsidRPr="006F3FFA">
        <w:rPr>
          <w:rFonts w:ascii="Arial" w:hAnsi="Arial" w:cs="Arial"/>
          <w:noProof/>
          <w:sz w:val="24"/>
          <w:szCs w:val="24"/>
          <w:lang w:val="mn-MN"/>
        </w:rPr>
        <w:t>Улсын Их Хурлаас 2021 оны 01 дүгээр сарын 29-ний өдөр</w:t>
      </w:r>
      <w:r w:rsidR="005E192C" w:rsidRPr="006F3FFA">
        <w:rPr>
          <w:rFonts w:ascii="Arial" w:eastAsia="Cambria" w:hAnsi="Arial" w:cs="Arial"/>
          <w:noProof/>
          <w:sz w:val="24"/>
          <w:szCs w:val="24"/>
          <w:lang w:val="mn-MN"/>
        </w:rPr>
        <w:t xml:space="preserve"> Газрын тос боловсруулах үйлдвэрийг дэмжих тухай хуулийг баталсан бөгөөд тус хуулиар </w:t>
      </w:r>
      <w:bookmarkStart w:id="0" w:name="_Hlk155104755"/>
      <w:r w:rsidR="005E192C" w:rsidRPr="006F3FFA">
        <w:rPr>
          <w:rFonts w:ascii="Arial" w:eastAsia="Cambria" w:hAnsi="Arial" w:cs="Arial"/>
          <w:noProof/>
          <w:sz w:val="24"/>
          <w:szCs w:val="24"/>
          <w:lang w:val="mn-MN"/>
        </w:rPr>
        <w:t xml:space="preserve">төрийн өмчит </w:t>
      </w:r>
      <w:r w:rsidR="007425D3" w:rsidRPr="006F3FFA">
        <w:rPr>
          <w:rFonts w:ascii="Arial" w:eastAsia="Cambria" w:hAnsi="Arial" w:cs="Arial"/>
          <w:noProof/>
          <w:sz w:val="24"/>
          <w:szCs w:val="24"/>
          <w:lang w:val="mn-MN"/>
        </w:rPr>
        <w:t>компанид</w:t>
      </w:r>
      <w:r w:rsidR="005E192C" w:rsidRPr="006F3FFA">
        <w:rPr>
          <w:rFonts w:ascii="Arial" w:eastAsia="Cambria" w:hAnsi="Arial" w:cs="Arial"/>
          <w:noProof/>
          <w:sz w:val="24"/>
          <w:szCs w:val="24"/>
          <w:lang w:val="mn-MN"/>
        </w:rPr>
        <w:t xml:space="preserve"> газрын тосны хайгуул, ашиглалтын үйл ажиллагаа </w:t>
      </w:r>
      <w:bookmarkEnd w:id="0"/>
      <w:r w:rsidR="005E192C" w:rsidRPr="006F3FFA">
        <w:rPr>
          <w:rFonts w:ascii="Arial" w:eastAsia="Cambria" w:hAnsi="Arial" w:cs="Arial"/>
          <w:noProof/>
          <w:sz w:val="24"/>
          <w:szCs w:val="24"/>
          <w:lang w:val="mn-MN"/>
        </w:rPr>
        <w:t xml:space="preserve">явуулах талбайг давуу эрхээр олгох, хайгуул, ашиглалтын үйл ажиллагааг </w:t>
      </w:r>
      <w:r w:rsidR="005E192C" w:rsidRPr="006F3FFA">
        <w:rPr>
          <w:rFonts w:ascii="Arial" w:eastAsia="Times New Roman" w:hAnsi="Arial" w:cs="Arial"/>
          <w:noProof/>
          <w:sz w:val="24"/>
          <w:szCs w:val="24"/>
          <w:lang w:val="mn-MN"/>
        </w:rPr>
        <w:t>гадаад, дотоодын аж ахуйн нэгжтэй хамтран явуулах эрх</w:t>
      </w:r>
      <w:r w:rsidRPr="006F3FFA">
        <w:rPr>
          <w:rFonts w:ascii="Arial" w:eastAsia="Times New Roman" w:hAnsi="Arial" w:cs="Arial"/>
          <w:noProof/>
          <w:sz w:val="24"/>
          <w:szCs w:val="24"/>
          <w:lang w:val="mn-MN"/>
        </w:rPr>
        <w:t xml:space="preserve"> </w:t>
      </w:r>
      <w:r w:rsidR="005E192C" w:rsidRPr="006F3FFA">
        <w:rPr>
          <w:rFonts w:ascii="Arial" w:eastAsia="Times New Roman" w:hAnsi="Arial" w:cs="Arial"/>
          <w:noProof/>
          <w:sz w:val="24"/>
          <w:szCs w:val="24"/>
          <w:lang w:val="mn-MN"/>
        </w:rPr>
        <w:t>зүйн орчинг бүрдүүлсэн.</w:t>
      </w:r>
    </w:p>
    <w:p w14:paraId="35302617" w14:textId="77777777" w:rsidR="006F3FFA" w:rsidRPr="006F3FFA" w:rsidRDefault="006F3FFA" w:rsidP="006F3FFA">
      <w:pPr>
        <w:spacing w:after="0" w:line="240" w:lineRule="auto"/>
        <w:ind w:firstLine="720"/>
        <w:jc w:val="both"/>
        <w:rPr>
          <w:rFonts w:ascii="Arial" w:hAnsi="Arial" w:cs="Arial"/>
          <w:noProof/>
          <w:sz w:val="24"/>
          <w:szCs w:val="24"/>
          <w:lang w:val="mn-MN"/>
        </w:rPr>
      </w:pPr>
    </w:p>
    <w:p w14:paraId="748CEA13" w14:textId="619A50B7" w:rsidR="006F3FFA" w:rsidRPr="006F3FFA" w:rsidRDefault="006F3FFA" w:rsidP="006F3FFA">
      <w:pPr>
        <w:spacing w:after="0" w:line="240" w:lineRule="auto"/>
        <w:ind w:firstLine="720"/>
        <w:jc w:val="both"/>
        <w:rPr>
          <w:rFonts w:ascii="Arial" w:hAnsi="Arial" w:cs="Arial"/>
          <w:noProof/>
          <w:sz w:val="24"/>
          <w:szCs w:val="24"/>
          <w:lang w:val="mn-MN"/>
        </w:rPr>
      </w:pPr>
      <w:r w:rsidRPr="006F3FFA">
        <w:rPr>
          <w:rFonts w:ascii="Arial" w:hAnsi="Arial" w:cs="Arial"/>
          <w:noProof/>
          <w:sz w:val="24"/>
          <w:szCs w:val="24"/>
          <w:lang w:val="mn-MN"/>
        </w:rPr>
        <w:t xml:space="preserve">Монгол </w:t>
      </w:r>
      <w:r w:rsidR="0017764B">
        <w:rPr>
          <w:rFonts w:ascii="Arial" w:hAnsi="Arial" w:cs="Arial"/>
          <w:noProof/>
          <w:sz w:val="24"/>
          <w:szCs w:val="24"/>
          <w:lang w:val="mn-MN"/>
        </w:rPr>
        <w:t>У</w:t>
      </w:r>
      <w:r w:rsidRPr="006F3FFA">
        <w:rPr>
          <w:rFonts w:ascii="Arial" w:hAnsi="Arial" w:cs="Arial"/>
          <w:noProof/>
          <w:sz w:val="24"/>
          <w:szCs w:val="24"/>
          <w:lang w:val="mn-MN"/>
        </w:rPr>
        <w:t>лсад газрын тосны олборлолт 2015 онд 1.2 сая орчим тоннд хүрч байсан бол сүүлийн жилүүдэд олборлолтын хэмжээ эрс буурч 2023 онд 600.0 орчим мянган тонн газрын тос олборлосон дүнтэй байна.</w:t>
      </w:r>
    </w:p>
    <w:p w14:paraId="0D675FB8" w14:textId="77777777" w:rsidR="00795C60" w:rsidRPr="006F3FFA" w:rsidRDefault="00795C60" w:rsidP="006F3FFA">
      <w:pPr>
        <w:shd w:val="clear" w:color="auto" w:fill="FFFFFF"/>
        <w:autoSpaceDE w:val="0"/>
        <w:autoSpaceDN w:val="0"/>
        <w:adjustRightInd w:val="0"/>
        <w:spacing w:after="0" w:line="240" w:lineRule="auto"/>
        <w:ind w:firstLine="720"/>
        <w:contextualSpacing/>
        <w:jc w:val="both"/>
        <w:rPr>
          <w:rFonts w:ascii="Arial" w:eastAsia="Times New Roman" w:hAnsi="Arial" w:cs="Arial"/>
          <w:noProof/>
          <w:sz w:val="24"/>
          <w:szCs w:val="24"/>
          <w:lang w:val="mn-MN"/>
        </w:rPr>
      </w:pPr>
    </w:p>
    <w:p w14:paraId="0E2FD371" w14:textId="24C3398B" w:rsidR="005E192C" w:rsidRPr="006F3FFA" w:rsidRDefault="007425D3" w:rsidP="006F3FFA">
      <w:pPr>
        <w:spacing w:after="0" w:line="240" w:lineRule="auto"/>
        <w:ind w:firstLine="709"/>
        <w:contextualSpacing/>
        <w:jc w:val="both"/>
        <w:rPr>
          <w:rFonts w:ascii="Arial" w:hAnsi="Arial" w:cs="Arial"/>
          <w:sz w:val="24"/>
          <w:szCs w:val="24"/>
          <w:lang w:val="mn-MN"/>
        </w:rPr>
      </w:pPr>
      <w:r w:rsidRPr="006F3FFA">
        <w:rPr>
          <w:rFonts w:ascii="Arial" w:hAnsi="Arial" w:cs="Arial"/>
          <w:sz w:val="24"/>
          <w:szCs w:val="24"/>
          <w:lang w:val="mn-MN"/>
        </w:rPr>
        <w:t>Газрын т</w:t>
      </w:r>
      <w:r w:rsidR="005E192C" w:rsidRPr="006F3FFA">
        <w:rPr>
          <w:rFonts w:ascii="Arial" w:hAnsi="Arial" w:cs="Arial"/>
          <w:sz w:val="24"/>
          <w:szCs w:val="24"/>
          <w:lang w:val="mn-MN"/>
        </w:rPr>
        <w:t>осны голлох олборлолт хийгдэж буй Тамсаг, Тосон-Уулын ордын тосны нөөц 14,02 сая.тн болж буурах, жилийн олборлолтын хэмжээ 700.0 мянгаас 400.0 мянган тонн хүртэл буурах төлөвтэй байгаа нь үйлдвэр ашиглалтад орох үед түүхий эдийн тогтвортой хангамжид эрсдэл үүс</w:t>
      </w:r>
      <w:r w:rsidRPr="006F3FFA">
        <w:rPr>
          <w:rFonts w:ascii="Arial" w:hAnsi="Arial" w:cs="Arial"/>
          <w:sz w:val="24"/>
          <w:szCs w:val="24"/>
          <w:lang w:val="mn-MN"/>
        </w:rPr>
        <w:t xml:space="preserve">ч болзошгүй </w:t>
      </w:r>
      <w:r w:rsidR="005E192C" w:rsidRPr="006F3FFA">
        <w:rPr>
          <w:rFonts w:ascii="Arial" w:hAnsi="Arial" w:cs="Arial"/>
          <w:sz w:val="24"/>
          <w:szCs w:val="24"/>
          <w:lang w:val="mn-MN"/>
        </w:rPr>
        <w:t xml:space="preserve">байна. </w:t>
      </w:r>
    </w:p>
    <w:p w14:paraId="2B54217F" w14:textId="77777777" w:rsidR="00795C60" w:rsidRPr="006F3FFA" w:rsidRDefault="00795C60" w:rsidP="006F3FFA">
      <w:pPr>
        <w:spacing w:after="0" w:line="240" w:lineRule="auto"/>
        <w:ind w:firstLine="709"/>
        <w:contextualSpacing/>
        <w:jc w:val="both"/>
        <w:rPr>
          <w:rFonts w:ascii="Arial" w:hAnsi="Arial" w:cs="Arial"/>
          <w:sz w:val="24"/>
          <w:szCs w:val="24"/>
        </w:rPr>
      </w:pPr>
    </w:p>
    <w:p w14:paraId="20042C1B" w14:textId="5595D921" w:rsidR="007425D3" w:rsidRPr="006F3FFA" w:rsidRDefault="005E192C" w:rsidP="006F3FFA">
      <w:pPr>
        <w:spacing w:after="0" w:line="240" w:lineRule="auto"/>
        <w:ind w:firstLine="720"/>
        <w:contextualSpacing/>
        <w:jc w:val="both"/>
        <w:rPr>
          <w:rFonts w:ascii="Arial" w:eastAsia="DengXian" w:hAnsi="Arial" w:cs="Arial"/>
          <w:noProof/>
          <w:sz w:val="24"/>
          <w:szCs w:val="24"/>
          <w:lang w:val="mn-MN"/>
        </w:rPr>
      </w:pPr>
      <w:r w:rsidRPr="006F3FFA">
        <w:rPr>
          <w:rFonts w:ascii="Arial" w:eastAsia="DengXian" w:hAnsi="Arial" w:cs="Arial"/>
          <w:bCs/>
          <w:noProof/>
          <w:sz w:val="24"/>
          <w:szCs w:val="24"/>
          <w:lang w:val="mn-MN"/>
        </w:rPr>
        <w:t>Газрын тосны тухай хуули</w:t>
      </w:r>
      <w:r w:rsidR="007425D3" w:rsidRPr="006F3FFA">
        <w:rPr>
          <w:rFonts w:ascii="Arial" w:eastAsia="DengXian" w:hAnsi="Arial" w:cs="Arial"/>
          <w:bCs/>
          <w:noProof/>
          <w:sz w:val="24"/>
          <w:szCs w:val="24"/>
          <w:lang w:val="mn-MN"/>
        </w:rPr>
        <w:t>ар</w:t>
      </w:r>
      <w:r w:rsidRPr="006F3FFA">
        <w:rPr>
          <w:rFonts w:ascii="Arial" w:eastAsia="DengXian" w:hAnsi="Arial" w:cs="Arial"/>
          <w:bCs/>
          <w:noProof/>
          <w:sz w:val="24"/>
          <w:szCs w:val="24"/>
          <w:lang w:val="mn-MN"/>
        </w:rPr>
        <w:t xml:space="preserve"> Бүтээгдэхүүн хуваах гэрээ байгуулсан аж ахуйн нэгж буюу Гэрээлэгч нь Аж ахуйн нэгжийн орлогын албан татварын тухай хуулийн 21.1.4-т заасны дагуу</w:t>
      </w:r>
      <w:r w:rsidRPr="006F3FFA">
        <w:rPr>
          <w:rFonts w:ascii="Arial" w:hAnsi="Arial" w:cs="Arial"/>
          <w:bCs/>
          <w:noProof/>
          <w:sz w:val="24"/>
          <w:szCs w:val="24"/>
          <w:shd w:val="clear" w:color="auto" w:fill="FFFFFF"/>
          <w:lang w:val="mn-MN"/>
        </w:rPr>
        <w:t xml:space="preserve"> “н</w:t>
      </w:r>
      <w:r w:rsidRPr="006F3FFA">
        <w:rPr>
          <w:rFonts w:ascii="Arial" w:eastAsia="DengXian" w:hAnsi="Arial" w:cs="Arial"/>
          <w:bCs/>
          <w:noProof/>
          <w:sz w:val="24"/>
          <w:szCs w:val="24"/>
          <w:lang w:val="mn-MN"/>
        </w:rPr>
        <w:t>огдол ашгийн орлогод 10 хувиар, жилийн орлогод 25 хувь”-иар төлөх татвараас чөлөөлөгддөг.</w:t>
      </w:r>
      <w:r w:rsidR="008F70AD" w:rsidRPr="006F3FFA">
        <w:rPr>
          <w:rFonts w:ascii="Arial" w:eastAsia="DengXian" w:hAnsi="Arial" w:cs="Arial"/>
          <w:noProof/>
          <w:sz w:val="24"/>
          <w:szCs w:val="24"/>
          <w:lang w:val="mn-MN"/>
        </w:rPr>
        <w:t xml:space="preserve"> </w:t>
      </w:r>
    </w:p>
    <w:p w14:paraId="70B7B894" w14:textId="77777777" w:rsidR="00795C60" w:rsidRPr="006F3FFA" w:rsidRDefault="00795C60" w:rsidP="006F3FFA">
      <w:pPr>
        <w:spacing w:after="0" w:line="240" w:lineRule="auto"/>
        <w:ind w:firstLine="720"/>
        <w:contextualSpacing/>
        <w:jc w:val="both"/>
        <w:rPr>
          <w:rFonts w:ascii="Arial" w:eastAsia="DengXian" w:hAnsi="Arial" w:cs="Arial"/>
          <w:noProof/>
          <w:sz w:val="24"/>
          <w:szCs w:val="24"/>
          <w:lang w:val="mn-MN"/>
        </w:rPr>
      </w:pPr>
    </w:p>
    <w:p w14:paraId="619C5528" w14:textId="5B3A78A0" w:rsidR="005E192C" w:rsidRPr="006F3FFA" w:rsidRDefault="006F3FFA" w:rsidP="006F3FFA">
      <w:pPr>
        <w:spacing w:after="0" w:line="240" w:lineRule="auto"/>
        <w:ind w:firstLine="720"/>
        <w:contextualSpacing/>
        <w:jc w:val="both"/>
        <w:rPr>
          <w:rFonts w:ascii="Arial" w:hAnsi="Arial" w:cs="Arial"/>
          <w:noProof/>
          <w:sz w:val="24"/>
          <w:szCs w:val="24"/>
          <w:shd w:val="clear" w:color="auto" w:fill="FFFFFF"/>
          <w:lang w:val="mn-MN"/>
        </w:rPr>
      </w:pPr>
      <w:r>
        <w:rPr>
          <w:rFonts w:ascii="Arial" w:eastAsia="DengXian" w:hAnsi="Arial" w:cs="Arial"/>
          <w:bCs/>
          <w:noProof/>
          <w:sz w:val="24"/>
          <w:szCs w:val="24"/>
          <w:lang w:val="mn-MN"/>
        </w:rPr>
        <w:t xml:space="preserve">Түүнчлэн, </w:t>
      </w:r>
      <w:r w:rsidR="005E192C" w:rsidRPr="006F3FFA">
        <w:rPr>
          <w:rFonts w:ascii="Arial" w:eastAsia="DengXian" w:hAnsi="Arial" w:cs="Arial"/>
          <w:bCs/>
          <w:noProof/>
          <w:sz w:val="24"/>
          <w:szCs w:val="24"/>
          <w:lang w:val="mn-MN"/>
        </w:rPr>
        <w:t xml:space="preserve">Газрын тосны тухай хуулийн 4.1.14-д </w:t>
      </w:r>
      <w:r w:rsidR="005E192C" w:rsidRPr="006F3FFA">
        <w:rPr>
          <w:rFonts w:ascii="Arial" w:hAnsi="Arial" w:cs="Arial"/>
          <w:bCs/>
          <w:noProof/>
          <w:sz w:val="24"/>
          <w:szCs w:val="24"/>
          <w:shd w:val="clear" w:color="auto" w:fill="FFFFFF"/>
          <w:lang w:val="mn-MN"/>
        </w:rPr>
        <w:t xml:space="preserve">"бүтээгдэхүүн хуваах гэрээ" гэж энэ хуулийн хүрээнд газрын тос, уламжлалт бус газрын тосны хайгуул, ашиглалтын үйл ажиллагаа эрхлэх талаар газрын тосны асуудал эрхэлсэн төрийн захиргааны байгууллага, гэрээлэгчийн хооронд байгуулсан гэрээг” </w:t>
      </w:r>
      <w:r w:rsidR="00795C60" w:rsidRPr="006F3FFA">
        <w:rPr>
          <w:rFonts w:ascii="Arial" w:hAnsi="Arial" w:cs="Arial"/>
          <w:bCs/>
          <w:noProof/>
          <w:sz w:val="24"/>
          <w:szCs w:val="24"/>
          <w:shd w:val="clear" w:color="auto" w:fill="FFFFFF"/>
          <w:lang w:val="mn-MN"/>
        </w:rPr>
        <w:t>ойлгохоор</w:t>
      </w:r>
      <w:r w:rsidR="005E192C" w:rsidRPr="006F3FFA">
        <w:rPr>
          <w:rFonts w:ascii="Arial" w:hAnsi="Arial" w:cs="Arial"/>
          <w:bCs/>
          <w:noProof/>
          <w:sz w:val="24"/>
          <w:szCs w:val="24"/>
          <w:shd w:val="clear" w:color="auto" w:fill="FFFFFF"/>
          <w:lang w:val="mn-MN"/>
        </w:rPr>
        <w:t xml:space="preserve"> заасан</w:t>
      </w:r>
      <w:r w:rsidR="00795C60" w:rsidRPr="006F3FFA">
        <w:rPr>
          <w:rFonts w:ascii="Arial" w:hAnsi="Arial" w:cs="Arial"/>
          <w:bCs/>
          <w:noProof/>
          <w:sz w:val="24"/>
          <w:szCs w:val="24"/>
          <w:shd w:val="clear" w:color="auto" w:fill="FFFFFF"/>
          <w:lang w:val="mn-MN"/>
        </w:rPr>
        <w:t xml:space="preserve"> бөгөөд </w:t>
      </w:r>
      <w:r w:rsidR="007425D3" w:rsidRPr="006F3FFA">
        <w:rPr>
          <w:rFonts w:ascii="Arial" w:hAnsi="Arial" w:cs="Arial"/>
          <w:noProof/>
          <w:sz w:val="24"/>
          <w:szCs w:val="24"/>
          <w:shd w:val="clear" w:color="auto" w:fill="FFFFFF"/>
          <w:lang w:val="mn-MN"/>
        </w:rPr>
        <w:t>“</w:t>
      </w:r>
      <w:r w:rsidR="005E192C" w:rsidRPr="006F3FFA">
        <w:rPr>
          <w:rFonts w:ascii="Arial" w:hAnsi="Arial" w:cs="Arial"/>
          <w:noProof/>
          <w:sz w:val="24"/>
          <w:szCs w:val="24"/>
          <w:shd w:val="clear" w:color="auto" w:fill="FFFFFF"/>
          <w:lang w:val="mn-MN"/>
        </w:rPr>
        <w:t>М</w:t>
      </w:r>
      <w:r w:rsidR="007425D3" w:rsidRPr="006F3FFA">
        <w:rPr>
          <w:rFonts w:ascii="Arial" w:hAnsi="Arial" w:cs="Arial"/>
          <w:noProof/>
          <w:sz w:val="24"/>
          <w:szCs w:val="24"/>
          <w:shd w:val="clear" w:color="auto" w:fill="FFFFFF"/>
          <w:lang w:val="mn-MN"/>
        </w:rPr>
        <w:t xml:space="preserve">онгол газрын тос боловсруулах үйлдвэр” </w:t>
      </w:r>
      <w:r w:rsidR="005E192C" w:rsidRPr="006F3FFA">
        <w:rPr>
          <w:rFonts w:ascii="Arial" w:hAnsi="Arial" w:cs="Arial"/>
          <w:noProof/>
          <w:sz w:val="24"/>
          <w:szCs w:val="24"/>
          <w:shd w:val="clear" w:color="auto" w:fill="FFFFFF"/>
          <w:lang w:val="mn-MN"/>
        </w:rPr>
        <w:t xml:space="preserve">ТӨХХК нь бүтээгдэхүүн хуваах гэрээ байгуулах боломжгүй учраас </w:t>
      </w:r>
      <w:bookmarkStart w:id="1" w:name="_Hlk155104798"/>
      <w:r w:rsidR="007425D3" w:rsidRPr="006F3FFA">
        <w:rPr>
          <w:rFonts w:ascii="Arial" w:hAnsi="Arial" w:cs="Arial"/>
          <w:noProof/>
          <w:sz w:val="24"/>
          <w:szCs w:val="24"/>
          <w:shd w:val="clear" w:color="auto" w:fill="FFFFFF"/>
          <w:lang w:val="mn-MN"/>
        </w:rPr>
        <w:t>өөрт олгогдсон</w:t>
      </w:r>
      <w:r w:rsidR="005E192C" w:rsidRPr="006F3FFA">
        <w:rPr>
          <w:rFonts w:ascii="Arial" w:eastAsia="Calibri" w:hAnsi="Arial" w:cs="Arial"/>
          <w:noProof/>
          <w:sz w:val="24"/>
          <w:szCs w:val="24"/>
          <w:shd w:val="clear" w:color="auto" w:fill="FFFFFF"/>
          <w:lang w:val="mn-MN"/>
        </w:rPr>
        <w:t xml:space="preserve"> талбайд</w:t>
      </w:r>
      <w:r w:rsidR="005E192C" w:rsidRPr="006F3FFA">
        <w:rPr>
          <w:rFonts w:ascii="Arial" w:eastAsia="Times New Roman" w:hAnsi="Arial" w:cs="Arial"/>
          <w:noProof/>
          <w:sz w:val="24"/>
          <w:szCs w:val="24"/>
          <w:lang w:val="mn-MN"/>
        </w:rPr>
        <w:t xml:space="preserve"> </w:t>
      </w:r>
      <w:r w:rsidR="005E192C" w:rsidRPr="006F3FFA">
        <w:rPr>
          <w:rFonts w:ascii="Arial" w:eastAsia="Calibri" w:hAnsi="Arial" w:cs="Arial"/>
          <w:noProof/>
          <w:kern w:val="2"/>
          <w:sz w:val="24"/>
          <w:szCs w:val="24"/>
          <w:lang w:val="mn-MN"/>
          <w14:ligatures w14:val="standardContextual"/>
        </w:rPr>
        <w:t>хөрөнгө оруулалт хийж, газрын тосны хайгуул, ашиглалтын үйл ажиллагаа явуулах</w:t>
      </w:r>
      <w:r w:rsidR="007425D3" w:rsidRPr="006F3FFA">
        <w:rPr>
          <w:rFonts w:ascii="Arial" w:eastAsia="Calibri" w:hAnsi="Arial" w:cs="Arial"/>
          <w:noProof/>
          <w:kern w:val="2"/>
          <w:sz w:val="24"/>
          <w:szCs w:val="24"/>
          <w:lang w:val="mn-MN"/>
          <w14:ligatures w14:val="standardContextual"/>
        </w:rPr>
        <w:t xml:space="preserve">, </w:t>
      </w:r>
      <w:r w:rsidR="005E192C" w:rsidRPr="006F3FFA">
        <w:rPr>
          <w:rFonts w:ascii="Arial" w:eastAsia="Calibri" w:hAnsi="Arial" w:cs="Arial"/>
          <w:noProof/>
          <w:kern w:val="2"/>
          <w:sz w:val="24"/>
          <w:szCs w:val="24"/>
          <w:lang w:val="mn-MN"/>
          <w14:ligatures w14:val="standardContextual"/>
        </w:rPr>
        <w:t>хамтран ажиллах хөрөнгө оруулагч компанийг Бүтээгдэхүүн хуваах гэрээний үндсэн дээр үйл ажиллагаа явуулж буй аж ахуйн нэгжийн нэгэн адил Аж ахуйн нэгжийн орлогын албан татвараас чөлөөлөх эрх</w:t>
      </w:r>
      <w:r w:rsidR="00795C60" w:rsidRPr="006F3FFA">
        <w:rPr>
          <w:rFonts w:ascii="Arial" w:eastAsia="Calibri" w:hAnsi="Arial" w:cs="Arial"/>
          <w:noProof/>
          <w:kern w:val="2"/>
          <w:sz w:val="24"/>
          <w:szCs w:val="24"/>
          <w:lang w:val="mn-MN"/>
          <w14:ligatures w14:val="standardContextual"/>
        </w:rPr>
        <w:t xml:space="preserve"> </w:t>
      </w:r>
      <w:r w:rsidR="005E192C" w:rsidRPr="006F3FFA">
        <w:rPr>
          <w:rFonts w:ascii="Arial" w:eastAsia="Calibri" w:hAnsi="Arial" w:cs="Arial"/>
          <w:noProof/>
          <w:kern w:val="2"/>
          <w:sz w:val="24"/>
          <w:szCs w:val="24"/>
          <w:lang w:val="mn-MN"/>
          <w14:ligatures w14:val="standardContextual"/>
        </w:rPr>
        <w:t>зүйн орчин бүрдүүлэх нь зүйтэй байна.</w:t>
      </w:r>
      <w:r w:rsidR="005E192C" w:rsidRPr="006F3FFA">
        <w:rPr>
          <w:rFonts w:ascii="Arial" w:hAnsi="Arial" w:cs="Arial"/>
          <w:noProof/>
          <w:sz w:val="24"/>
          <w:szCs w:val="24"/>
          <w:shd w:val="clear" w:color="auto" w:fill="FFFFFF"/>
          <w:lang w:val="mn-MN"/>
        </w:rPr>
        <w:t xml:space="preserve"> </w:t>
      </w:r>
    </w:p>
    <w:p w14:paraId="1C490E0D" w14:textId="77777777" w:rsidR="00795C60" w:rsidRPr="006F3FFA" w:rsidRDefault="00795C60" w:rsidP="006F3FFA">
      <w:pPr>
        <w:spacing w:after="0" w:line="240" w:lineRule="auto"/>
        <w:ind w:firstLine="720"/>
        <w:contextualSpacing/>
        <w:jc w:val="both"/>
        <w:rPr>
          <w:rFonts w:ascii="Arial" w:hAnsi="Arial" w:cs="Arial"/>
          <w:bCs/>
          <w:noProof/>
          <w:sz w:val="24"/>
          <w:szCs w:val="24"/>
          <w:shd w:val="clear" w:color="auto" w:fill="FFFFFF"/>
          <w:lang w:val="mn-MN"/>
        </w:rPr>
      </w:pPr>
    </w:p>
    <w:bookmarkEnd w:id="1"/>
    <w:p w14:paraId="457BC296" w14:textId="7817586A" w:rsidR="005E192C" w:rsidRPr="006F3FFA" w:rsidRDefault="00795C60" w:rsidP="006F3FFA">
      <w:pPr>
        <w:spacing w:after="0" w:line="240" w:lineRule="auto"/>
        <w:ind w:firstLine="720"/>
        <w:contextualSpacing/>
        <w:jc w:val="both"/>
        <w:rPr>
          <w:rFonts w:ascii="Arial" w:eastAsia="DengXian" w:hAnsi="Arial" w:cs="Arial"/>
          <w:bCs/>
          <w:noProof/>
          <w:sz w:val="24"/>
          <w:szCs w:val="24"/>
          <w:lang w:val="mn-MN"/>
        </w:rPr>
      </w:pPr>
      <w:r w:rsidRPr="006F3FFA">
        <w:rPr>
          <w:rFonts w:ascii="Arial" w:eastAsia="DengXian" w:hAnsi="Arial" w:cs="Arial"/>
          <w:bCs/>
          <w:noProof/>
          <w:sz w:val="24"/>
          <w:szCs w:val="24"/>
          <w:lang w:val="mn-MN"/>
        </w:rPr>
        <w:t xml:space="preserve">Иймд </w:t>
      </w:r>
      <w:r w:rsidR="005E192C" w:rsidRPr="006F3FFA">
        <w:rPr>
          <w:rFonts w:ascii="Arial" w:eastAsia="DengXian" w:hAnsi="Arial" w:cs="Arial"/>
          <w:bCs/>
          <w:noProof/>
          <w:sz w:val="24"/>
          <w:szCs w:val="24"/>
          <w:lang w:val="mn-MN"/>
        </w:rPr>
        <w:t xml:space="preserve">Давст XXXI талбайд хөрөнгө оруулагчтай хамтран хайгуулын ажлыг эрчимтэй явуулснаар газрын тосны нөөцийг өсгөх, олборлолтыг нэмэгдүүлэх, улмаар </w:t>
      </w:r>
      <w:r w:rsidRPr="006F3FFA">
        <w:rPr>
          <w:rFonts w:ascii="Arial" w:hAnsi="Arial" w:cs="Arial"/>
          <w:noProof/>
          <w:sz w:val="24"/>
          <w:szCs w:val="24"/>
          <w:shd w:val="clear" w:color="auto" w:fill="FFFFFF"/>
          <w:lang w:val="mn-MN"/>
        </w:rPr>
        <w:t xml:space="preserve">“Монгол газрын тос боловсруулах үйлдвэр” </w:t>
      </w:r>
      <w:r w:rsidR="005E192C" w:rsidRPr="006F3FFA">
        <w:rPr>
          <w:rFonts w:ascii="Arial" w:eastAsia="DengXian" w:hAnsi="Arial" w:cs="Arial"/>
          <w:bCs/>
          <w:noProof/>
          <w:sz w:val="24"/>
          <w:szCs w:val="24"/>
          <w:lang w:val="mn-MN"/>
        </w:rPr>
        <w:t xml:space="preserve"> ТӨХХК нь тос боловсруулах үйлдвэрийн түүхий эдийн тодорхой хэсгийг өөрийн олборлосон тосоор хангах нөхцөл бүрдэнэ</w:t>
      </w:r>
      <w:r w:rsidR="0017764B">
        <w:rPr>
          <w:rFonts w:ascii="Arial" w:eastAsia="DengXian" w:hAnsi="Arial" w:cs="Arial"/>
          <w:bCs/>
          <w:noProof/>
          <w:sz w:val="24"/>
          <w:szCs w:val="24"/>
          <w:lang w:val="mn-MN"/>
        </w:rPr>
        <w:t>.</w:t>
      </w:r>
      <w:r w:rsidR="005E192C" w:rsidRPr="006F3FFA">
        <w:rPr>
          <w:rFonts w:ascii="Arial" w:eastAsia="DengXian" w:hAnsi="Arial" w:cs="Arial"/>
          <w:bCs/>
          <w:noProof/>
          <w:sz w:val="24"/>
          <w:szCs w:val="24"/>
          <w:lang w:val="mn-MN"/>
        </w:rPr>
        <w:t xml:space="preserve"> гэж үзэж </w:t>
      </w:r>
      <w:r w:rsidRPr="006F3FFA">
        <w:rPr>
          <w:rFonts w:ascii="Arial" w:eastAsia="DengXian" w:hAnsi="Arial" w:cs="Arial"/>
          <w:bCs/>
          <w:noProof/>
          <w:sz w:val="24"/>
          <w:szCs w:val="24"/>
          <w:lang w:val="mn-MN"/>
        </w:rPr>
        <w:t xml:space="preserve">Аж ахуйн нэгжийн орлогын албан татварын тухай </w:t>
      </w:r>
      <w:r w:rsidR="005E192C" w:rsidRPr="006F3FFA">
        <w:rPr>
          <w:rFonts w:ascii="Arial" w:eastAsia="DengXian" w:hAnsi="Arial" w:cs="Arial"/>
          <w:bCs/>
          <w:noProof/>
          <w:sz w:val="24"/>
          <w:szCs w:val="24"/>
          <w:lang w:val="mn-MN"/>
        </w:rPr>
        <w:t>хуул</w:t>
      </w:r>
      <w:r w:rsidRPr="006F3FFA">
        <w:rPr>
          <w:rFonts w:ascii="Arial" w:eastAsia="DengXian" w:hAnsi="Arial" w:cs="Arial"/>
          <w:bCs/>
          <w:noProof/>
          <w:sz w:val="24"/>
          <w:szCs w:val="24"/>
          <w:lang w:val="mn-MN"/>
        </w:rPr>
        <w:t>ьд</w:t>
      </w:r>
      <w:r w:rsidR="005E192C" w:rsidRPr="006F3FFA">
        <w:rPr>
          <w:rFonts w:ascii="Arial" w:eastAsia="DengXian" w:hAnsi="Arial" w:cs="Arial"/>
          <w:bCs/>
          <w:noProof/>
          <w:sz w:val="24"/>
          <w:szCs w:val="24"/>
          <w:lang w:val="mn-MN"/>
        </w:rPr>
        <w:t xml:space="preserve"> нэмэлт</w:t>
      </w:r>
      <w:r w:rsidRPr="006F3FFA">
        <w:rPr>
          <w:rFonts w:ascii="Arial" w:eastAsia="DengXian" w:hAnsi="Arial" w:cs="Arial"/>
          <w:bCs/>
          <w:noProof/>
          <w:sz w:val="24"/>
          <w:szCs w:val="24"/>
          <w:lang w:val="mn-MN"/>
        </w:rPr>
        <w:t xml:space="preserve"> оруулах тухай хуулийн</w:t>
      </w:r>
      <w:r w:rsidR="005E192C" w:rsidRPr="006F3FFA">
        <w:rPr>
          <w:rFonts w:ascii="Arial" w:eastAsia="DengXian" w:hAnsi="Arial" w:cs="Arial"/>
          <w:bCs/>
          <w:noProof/>
          <w:sz w:val="24"/>
          <w:szCs w:val="24"/>
          <w:lang w:val="mn-MN"/>
        </w:rPr>
        <w:t xml:space="preserve"> төслийг боловсрууллаа. </w:t>
      </w:r>
      <w:r w:rsidRPr="006F3FFA">
        <w:rPr>
          <w:rFonts w:ascii="Arial" w:eastAsia="DengXian" w:hAnsi="Arial" w:cs="Arial"/>
          <w:bCs/>
          <w:noProof/>
          <w:sz w:val="24"/>
          <w:szCs w:val="24"/>
          <w:lang w:val="mn-MN"/>
        </w:rPr>
        <w:t xml:space="preserve"> </w:t>
      </w:r>
    </w:p>
    <w:p w14:paraId="37E4D347" w14:textId="0C9814A4" w:rsidR="005E192C" w:rsidRPr="006F3FFA" w:rsidRDefault="005E192C" w:rsidP="006F3FFA">
      <w:pPr>
        <w:spacing w:after="0" w:line="240" w:lineRule="auto"/>
        <w:contextualSpacing/>
        <w:jc w:val="both"/>
        <w:rPr>
          <w:rFonts w:ascii="Arial" w:eastAsia="DengXian" w:hAnsi="Arial" w:cs="Arial"/>
          <w:bCs/>
          <w:noProof/>
          <w:sz w:val="24"/>
          <w:szCs w:val="24"/>
          <w:lang w:val="mn-MN"/>
        </w:rPr>
      </w:pPr>
    </w:p>
    <w:p w14:paraId="415C9E50" w14:textId="19322886" w:rsidR="00795C60" w:rsidRPr="006F3FFA" w:rsidRDefault="00795C60" w:rsidP="006F3FFA">
      <w:pPr>
        <w:spacing w:after="0" w:line="240" w:lineRule="auto"/>
        <w:contextualSpacing/>
        <w:jc w:val="both"/>
        <w:rPr>
          <w:rFonts w:ascii="Arial" w:eastAsia="DengXian" w:hAnsi="Arial" w:cs="Arial"/>
          <w:bCs/>
          <w:noProof/>
          <w:sz w:val="24"/>
          <w:szCs w:val="24"/>
          <w:lang w:val="mn-MN"/>
        </w:rPr>
      </w:pPr>
    </w:p>
    <w:p w14:paraId="34495EC4" w14:textId="77777777" w:rsidR="00795C60" w:rsidRPr="006F3FFA" w:rsidRDefault="00795C60" w:rsidP="006F3FFA">
      <w:pPr>
        <w:spacing w:after="0" w:line="240" w:lineRule="auto"/>
        <w:contextualSpacing/>
        <w:jc w:val="both"/>
        <w:rPr>
          <w:rFonts w:ascii="Arial" w:eastAsia="DengXian" w:hAnsi="Arial" w:cs="Arial"/>
          <w:bCs/>
          <w:noProof/>
          <w:sz w:val="24"/>
          <w:szCs w:val="24"/>
          <w:lang w:val="mn-MN"/>
        </w:rPr>
      </w:pPr>
    </w:p>
    <w:p w14:paraId="73BC7B71" w14:textId="47F7E850" w:rsidR="005E192C" w:rsidRPr="006F3FFA" w:rsidRDefault="00795C60" w:rsidP="006F3FFA">
      <w:pPr>
        <w:shd w:val="clear" w:color="auto" w:fill="FFFFFF"/>
        <w:autoSpaceDE w:val="0"/>
        <w:autoSpaceDN w:val="0"/>
        <w:adjustRightInd w:val="0"/>
        <w:spacing w:after="0" w:line="240" w:lineRule="auto"/>
        <w:jc w:val="center"/>
        <w:rPr>
          <w:rFonts w:ascii="Arial" w:eastAsia="Times New Roman" w:hAnsi="Arial" w:cs="Arial"/>
          <w:noProof/>
          <w:sz w:val="24"/>
          <w:szCs w:val="24"/>
          <w:lang w:val="mn-MN"/>
        </w:rPr>
      </w:pPr>
      <w:r w:rsidRPr="006F3FFA">
        <w:rPr>
          <w:rFonts w:ascii="Arial" w:eastAsia="DengXian" w:hAnsi="Arial" w:cs="Arial"/>
          <w:bCs/>
          <w:noProof/>
          <w:sz w:val="24"/>
          <w:szCs w:val="24"/>
          <w:lang w:val="mn-MN"/>
        </w:rPr>
        <w:t>-----оОо-----</w:t>
      </w:r>
    </w:p>
    <w:p w14:paraId="005A2004" w14:textId="77777777" w:rsidR="00BF4EEB" w:rsidRPr="0017764B" w:rsidRDefault="00BF4EEB" w:rsidP="006F3FFA">
      <w:pPr>
        <w:spacing w:after="0" w:line="240" w:lineRule="auto"/>
        <w:ind w:right="480"/>
        <w:contextualSpacing/>
        <w:rPr>
          <w:rFonts w:ascii="Arial" w:hAnsi="Arial" w:cs="Arial"/>
          <w:sz w:val="24"/>
          <w:szCs w:val="24"/>
        </w:rPr>
      </w:pPr>
    </w:p>
    <w:sectPr w:rsidR="00BF4EEB" w:rsidRPr="0017764B" w:rsidSect="00795C6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29DC"/>
    <w:multiLevelType w:val="hybridMultilevel"/>
    <w:tmpl w:val="3BB0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C0192"/>
    <w:multiLevelType w:val="multilevel"/>
    <w:tmpl w:val="61AA43F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62"/>
    <w:rsid w:val="00046A62"/>
    <w:rsid w:val="0009650B"/>
    <w:rsid w:val="000A289A"/>
    <w:rsid w:val="000E0A57"/>
    <w:rsid w:val="000E3327"/>
    <w:rsid w:val="000F3295"/>
    <w:rsid w:val="001000ED"/>
    <w:rsid w:val="00117059"/>
    <w:rsid w:val="00145323"/>
    <w:rsid w:val="001712EE"/>
    <w:rsid w:val="001761B6"/>
    <w:rsid w:val="0017764B"/>
    <w:rsid w:val="00184663"/>
    <w:rsid w:val="002035C4"/>
    <w:rsid w:val="0022431B"/>
    <w:rsid w:val="00237A32"/>
    <w:rsid w:val="00254B1E"/>
    <w:rsid w:val="002868C1"/>
    <w:rsid w:val="00286C69"/>
    <w:rsid w:val="002B37B8"/>
    <w:rsid w:val="002C2A27"/>
    <w:rsid w:val="002D599E"/>
    <w:rsid w:val="002D7CFD"/>
    <w:rsid w:val="002E5401"/>
    <w:rsid w:val="002E6884"/>
    <w:rsid w:val="002E736F"/>
    <w:rsid w:val="0030116E"/>
    <w:rsid w:val="00310200"/>
    <w:rsid w:val="0033533D"/>
    <w:rsid w:val="003C57BE"/>
    <w:rsid w:val="003F58FB"/>
    <w:rsid w:val="00404F7A"/>
    <w:rsid w:val="00415D00"/>
    <w:rsid w:val="0043185A"/>
    <w:rsid w:val="004534D2"/>
    <w:rsid w:val="00473AF7"/>
    <w:rsid w:val="004A4511"/>
    <w:rsid w:val="004A5918"/>
    <w:rsid w:val="004B36B1"/>
    <w:rsid w:val="004E6C54"/>
    <w:rsid w:val="004E7EAA"/>
    <w:rsid w:val="00524046"/>
    <w:rsid w:val="00556CBD"/>
    <w:rsid w:val="00563569"/>
    <w:rsid w:val="005C0643"/>
    <w:rsid w:val="005D7200"/>
    <w:rsid w:val="005E192C"/>
    <w:rsid w:val="005F33DA"/>
    <w:rsid w:val="00601FD9"/>
    <w:rsid w:val="00604D0C"/>
    <w:rsid w:val="00637E8C"/>
    <w:rsid w:val="006A6E0E"/>
    <w:rsid w:val="006E2966"/>
    <w:rsid w:val="006F3FFA"/>
    <w:rsid w:val="00712786"/>
    <w:rsid w:val="0071494B"/>
    <w:rsid w:val="00727557"/>
    <w:rsid w:val="007425D3"/>
    <w:rsid w:val="0074713A"/>
    <w:rsid w:val="00792667"/>
    <w:rsid w:val="00795C60"/>
    <w:rsid w:val="007D4D0D"/>
    <w:rsid w:val="007E0038"/>
    <w:rsid w:val="007F6CC9"/>
    <w:rsid w:val="0080281D"/>
    <w:rsid w:val="00805728"/>
    <w:rsid w:val="00814A9B"/>
    <w:rsid w:val="00861216"/>
    <w:rsid w:val="008644EC"/>
    <w:rsid w:val="00867E2A"/>
    <w:rsid w:val="00890CAF"/>
    <w:rsid w:val="008A6CF6"/>
    <w:rsid w:val="008C24EE"/>
    <w:rsid w:val="008F70AD"/>
    <w:rsid w:val="009C31EF"/>
    <w:rsid w:val="009F07C4"/>
    <w:rsid w:val="00A03247"/>
    <w:rsid w:val="00A07455"/>
    <w:rsid w:val="00A14104"/>
    <w:rsid w:val="00A77207"/>
    <w:rsid w:val="00A77EC9"/>
    <w:rsid w:val="00A9560A"/>
    <w:rsid w:val="00A969AC"/>
    <w:rsid w:val="00AE22AA"/>
    <w:rsid w:val="00AE2883"/>
    <w:rsid w:val="00AF746C"/>
    <w:rsid w:val="00B37B72"/>
    <w:rsid w:val="00B430DA"/>
    <w:rsid w:val="00B61834"/>
    <w:rsid w:val="00B81740"/>
    <w:rsid w:val="00B84241"/>
    <w:rsid w:val="00B92BAF"/>
    <w:rsid w:val="00BB795A"/>
    <w:rsid w:val="00BE11F2"/>
    <w:rsid w:val="00BF4EEB"/>
    <w:rsid w:val="00C312AE"/>
    <w:rsid w:val="00C324B8"/>
    <w:rsid w:val="00C66312"/>
    <w:rsid w:val="00C92DE9"/>
    <w:rsid w:val="00CA26A0"/>
    <w:rsid w:val="00D20FE4"/>
    <w:rsid w:val="00D3000A"/>
    <w:rsid w:val="00D56F2C"/>
    <w:rsid w:val="00D644F7"/>
    <w:rsid w:val="00DB33A0"/>
    <w:rsid w:val="00DB7D9D"/>
    <w:rsid w:val="00DC6666"/>
    <w:rsid w:val="00DE54A1"/>
    <w:rsid w:val="00E225D9"/>
    <w:rsid w:val="00E40DFF"/>
    <w:rsid w:val="00E5323A"/>
    <w:rsid w:val="00E65899"/>
    <w:rsid w:val="00E85D7F"/>
    <w:rsid w:val="00E91625"/>
    <w:rsid w:val="00EB7AAA"/>
    <w:rsid w:val="00F545E6"/>
    <w:rsid w:val="00F55149"/>
    <w:rsid w:val="00F80437"/>
    <w:rsid w:val="00FE3620"/>
    <w:rsid w:val="00FF3DB5"/>
    <w:rsid w:val="00FF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572D"/>
  <w15:chartTrackingRefBased/>
  <w15:docId w15:val="{F9216DF9-BD03-4FA9-B54E-6863B74B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AE"/>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AC"/>
    <w:rPr>
      <w:rFonts w:ascii="Segoe UI" w:hAnsi="Segoe UI" w:cs="Segoe UI"/>
      <w:sz w:val="18"/>
      <w:szCs w:val="18"/>
    </w:rPr>
  </w:style>
  <w:style w:type="character" w:customStyle="1" w:styleId="ListParagraphChar">
    <w:name w:val="List Paragraph Char"/>
    <w:aliases w:val="IBL List Paragraph Char,Дэд гарчиг Char,List Paragraph1 Char,Paragraph Char,List Paragraph 1 Char,LP Char,Heading Number Char,Numbered Paragraph Char,Main numbered paragraph Char,Bullets Char,List Paragraph (numbered (a)) Char"/>
    <w:link w:val="ListParagraph"/>
    <w:uiPriority w:val="34"/>
    <w:qFormat/>
    <w:locked/>
    <w:rsid w:val="00E40DFF"/>
    <w:rPr>
      <w:rFonts w:ascii="Calibri" w:hAnsi="Calibri" w:cs="Calibri"/>
      <w:szCs w:val="28"/>
      <w:lang w:bidi="mn-Mong-CN"/>
    </w:rPr>
  </w:style>
  <w:style w:type="paragraph" w:styleId="ListParagraph">
    <w:name w:val="List Paragraph"/>
    <w:aliases w:val="IBL List Paragraph,Дэд гарчиг,List Paragraph1,Paragraph,List Paragraph 1,LP,Heading Number,Numbered Paragraph,Main numbered paragraph,Bullets,List Paragraph (numbered (a)),References,List_Paragraph,Multilevel para_II,AusAID List Paragraph"/>
    <w:basedOn w:val="Normal"/>
    <w:link w:val="ListParagraphChar"/>
    <w:uiPriority w:val="34"/>
    <w:qFormat/>
    <w:rsid w:val="00E40DFF"/>
    <w:pPr>
      <w:ind w:left="720"/>
      <w:contextualSpacing/>
    </w:pPr>
    <w:rPr>
      <w:rFonts w:cs="Calibri"/>
      <w:szCs w:val="28"/>
      <w:lang w:bidi="mn-Mong-CN"/>
    </w:rPr>
  </w:style>
  <w:style w:type="character" w:customStyle="1" w:styleId="mceitemhidden">
    <w:name w:val="mceitemhidden"/>
    <w:basedOn w:val="DefaultParagraphFont"/>
    <w:rsid w:val="00E40DFF"/>
  </w:style>
  <w:style w:type="paragraph" w:styleId="NoSpacing">
    <w:name w:val="No Spacing"/>
    <w:uiPriority w:val="1"/>
    <w:qFormat/>
    <w:rsid w:val="007D4D0D"/>
    <w:pPr>
      <w:spacing w:after="0" w:line="240" w:lineRule="auto"/>
    </w:pPr>
    <w:rPr>
      <w:rFonts w:ascii="Calibri" w:eastAsia="Calibri" w:hAnsi="Calibri" w:cs="Mongolian Baiti"/>
      <w:lang w:eastAsia="en-US"/>
    </w:rPr>
  </w:style>
  <w:style w:type="paragraph" w:styleId="NormalWeb">
    <w:name w:val="Normal (Web)"/>
    <w:basedOn w:val="Normal"/>
    <w:uiPriority w:val="99"/>
    <w:unhideWhenUsed/>
    <w:rsid w:val="007D4D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EEB"/>
    <w:rPr>
      <w:b/>
      <w:bCs/>
    </w:rPr>
  </w:style>
  <w:style w:type="character" w:customStyle="1" w:styleId="eop">
    <w:name w:val="eop"/>
    <w:basedOn w:val="DefaultParagraphFont"/>
    <w:rsid w:val="004E7EAA"/>
  </w:style>
  <w:style w:type="paragraph" w:customStyle="1" w:styleId="BodyText1">
    <w:name w:val="Body Text1"/>
    <w:basedOn w:val="Normal"/>
    <w:link w:val="Bodytext"/>
    <w:rsid w:val="00CA26A0"/>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eastAsia="en-US"/>
      <w14:ligatures w14:val="standardContextual"/>
    </w:rPr>
  </w:style>
  <w:style w:type="character" w:customStyle="1" w:styleId="Bodytext">
    <w:name w:val="Body text_"/>
    <w:basedOn w:val="DefaultParagraphFont"/>
    <w:link w:val="BodyText1"/>
    <w:rsid w:val="00CA26A0"/>
    <w:rPr>
      <w:rFonts w:ascii="Arial Unicode MS" w:eastAsia="Arial Unicode MS" w:hAnsi="Arial Unicode MS" w:cs="Arial Unicode MS"/>
      <w:color w:val="000000"/>
      <w:sz w:val="20"/>
      <w:szCs w:val="20"/>
      <w:shd w:val="clear" w:color="auto" w:fill="FFFFFF"/>
      <w:lang w:val="mn-M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4318">
      <w:bodyDiv w:val="1"/>
      <w:marLeft w:val="0"/>
      <w:marRight w:val="0"/>
      <w:marTop w:val="0"/>
      <w:marBottom w:val="0"/>
      <w:divBdr>
        <w:top w:val="none" w:sz="0" w:space="0" w:color="auto"/>
        <w:left w:val="none" w:sz="0" w:space="0" w:color="auto"/>
        <w:bottom w:val="none" w:sz="0" w:space="0" w:color="auto"/>
        <w:right w:val="none" w:sz="0" w:space="0" w:color="auto"/>
      </w:divBdr>
    </w:div>
    <w:div w:id="423770850">
      <w:bodyDiv w:val="1"/>
      <w:marLeft w:val="0"/>
      <w:marRight w:val="0"/>
      <w:marTop w:val="0"/>
      <w:marBottom w:val="0"/>
      <w:divBdr>
        <w:top w:val="none" w:sz="0" w:space="0" w:color="auto"/>
        <w:left w:val="none" w:sz="0" w:space="0" w:color="auto"/>
        <w:bottom w:val="none" w:sz="0" w:space="0" w:color="auto"/>
        <w:right w:val="none" w:sz="0" w:space="0" w:color="auto"/>
      </w:divBdr>
    </w:div>
    <w:div w:id="521478316">
      <w:bodyDiv w:val="1"/>
      <w:marLeft w:val="0"/>
      <w:marRight w:val="0"/>
      <w:marTop w:val="0"/>
      <w:marBottom w:val="0"/>
      <w:divBdr>
        <w:top w:val="none" w:sz="0" w:space="0" w:color="auto"/>
        <w:left w:val="none" w:sz="0" w:space="0" w:color="auto"/>
        <w:bottom w:val="none" w:sz="0" w:space="0" w:color="auto"/>
        <w:right w:val="none" w:sz="0" w:space="0" w:color="auto"/>
      </w:divBdr>
    </w:div>
    <w:div w:id="786504671">
      <w:bodyDiv w:val="1"/>
      <w:marLeft w:val="0"/>
      <w:marRight w:val="0"/>
      <w:marTop w:val="0"/>
      <w:marBottom w:val="0"/>
      <w:divBdr>
        <w:top w:val="none" w:sz="0" w:space="0" w:color="auto"/>
        <w:left w:val="none" w:sz="0" w:space="0" w:color="auto"/>
        <w:bottom w:val="none" w:sz="0" w:space="0" w:color="auto"/>
        <w:right w:val="none" w:sz="0" w:space="0" w:color="auto"/>
      </w:divBdr>
    </w:div>
    <w:div w:id="1013725707">
      <w:bodyDiv w:val="1"/>
      <w:marLeft w:val="0"/>
      <w:marRight w:val="0"/>
      <w:marTop w:val="0"/>
      <w:marBottom w:val="0"/>
      <w:divBdr>
        <w:top w:val="none" w:sz="0" w:space="0" w:color="auto"/>
        <w:left w:val="none" w:sz="0" w:space="0" w:color="auto"/>
        <w:bottom w:val="none" w:sz="0" w:space="0" w:color="auto"/>
        <w:right w:val="none" w:sz="0" w:space="0" w:color="auto"/>
      </w:divBdr>
    </w:div>
    <w:div w:id="1104813329">
      <w:bodyDiv w:val="1"/>
      <w:marLeft w:val="0"/>
      <w:marRight w:val="0"/>
      <w:marTop w:val="0"/>
      <w:marBottom w:val="0"/>
      <w:divBdr>
        <w:top w:val="none" w:sz="0" w:space="0" w:color="auto"/>
        <w:left w:val="none" w:sz="0" w:space="0" w:color="auto"/>
        <w:bottom w:val="none" w:sz="0" w:space="0" w:color="auto"/>
        <w:right w:val="none" w:sz="0" w:space="0" w:color="auto"/>
      </w:divBdr>
    </w:div>
    <w:div w:id="1116485922">
      <w:bodyDiv w:val="1"/>
      <w:marLeft w:val="0"/>
      <w:marRight w:val="0"/>
      <w:marTop w:val="0"/>
      <w:marBottom w:val="0"/>
      <w:divBdr>
        <w:top w:val="none" w:sz="0" w:space="0" w:color="auto"/>
        <w:left w:val="none" w:sz="0" w:space="0" w:color="auto"/>
        <w:bottom w:val="none" w:sz="0" w:space="0" w:color="auto"/>
        <w:right w:val="none" w:sz="0" w:space="0" w:color="auto"/>
      </w:divBdr>
    </w:div>
    <w:div w:id="1124154359">
      <w:bodyDiv w:val="1"/>
      <w:marLeft w:val="0"/>
      <w:marRight w:val="0"/>
      <w:marTop w:val="0"/>
      <w:marBottom w:val="0"/>
      <w:divBdr>
        <w:top w:val="none" w:sz="0" w:space="0" w:color="auto"/>
        <w:left w:val="none" w:sz="0" w:space="0" w:color="auto"/>
        <w:bottom w:val="none" w:sz="0" w:space="0" w:color="auto"/>
        <w:right w:val="none" w:sz="0" w:space="0" w:color="auto"/>
      </w:divBdr>
    </w:div>
    <w:div w:id="1507670270">
      <w:bodyDiv w:val="1"/>
      <w:marLeft w:val="0"/>
      <w:marRight w:val="0"/>
      <w:marTop w:val="0"/>
      <w:marBottom w:val="0"/>
      <w:divBdr>
        <w:top w:val="none" w:sz="0" w:space="0" w:color="auto"/>
        <w:left w:val="none" w:sz="0" w:space="0" w:color="auto"/>
        <w:bottom w:val="none" w:sz="0" w:space="0" w:color="auto"/>
        <w:right w:val="none" w:sz="0" w:space="0" w:color="auto"/>
      </w:divBdr>
    </w:div>
    <w:div w:id="1890334813">
      <w:bodyDiv w:val="1"/>
      <w:marLeft w:val="0"/>
      <w:marRight w:val="0"/>
      <w:marTop w:val="0"/>
      <w:marBottom w:val="0"/>
      <w:divBdr>
        <w:top w:val="none" w:sz="0" w:space="0" w:color="auto"/>
        <w:left w:val="none" w:sz="0" w:space="0" w:color="auto"/>
        <w:bottom w:val="none" w:sz="0" w:space="0" w:color="auto"/>
        <w:right w:val="none" w:sz="0" w:space="0" w:color="auto"/>
      </w:divBdr>
    </w:div>
    <w:div w:id="1949195249">
      <w:bodyDiv w:val="1"/>
      <w:marLeft w:val="0"/>
      <w:marRight w:val="0"/>
      <w:marTop w:val="0"/>
      <w:marBottom w:val="0"/>
      <w:divBdr>
        <w:top w:val="none" w:sz="0" w:space="0" w:color="auto"/>
        <w:left w:val="none" w:sz="0" w:space="0" w:color="auto"/>
        <w:bottom w:val="none" w:sz="0" w:space="0" w:color="auto"/>
        <w:right w:val="none" w:sz="0" w:space="0" w:color="auto"/>
      </w:divBdr>
    </w:div>
    <w:div w:id="2052339952">
      <w:bodyDiv w:val="1"/>
      <w:marLeft w:val="0"/>
      <w:marRight w:val="0"/>
      <w:marTop w:val="0"/>
      <w:marBottom w:val="0"/>
      <w:divBdr>
        <w:top w:val="none" w:sz="0" w:space="0" w:color="auto"/>
        <w:left w:val="none" w:sz="0" w:space="0" w:color="auto"/>
        <w:bottom w:val="none" w:sz="0" w:space="0" w:color="auto"/>
        <w:right w:val="none" w:sz="0" w:space="0" w:color="auto"/>
      </w:divBdr>
    </w:div>
    <w:div w:id="21125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3950-EAAF-4822-88CD-2FD8829B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Enkhbayar.O</dc:creator>
  <cp:keywords/>
  <dc:description/>
  <cp:lastModifiedBy>Microsoft Office User</cp:lastModifiedBy>
  <cp:revision>2</cp:revision>
  <cp:lastPrinted>2024-05-01T06:48:00Z</cp:lastPrinted>
  <dcterms:created xsi:type="dcterms:W3CDTF">2024-05-01T07:44:00Z</dcterms:created>
  <dcterms:modified xsi:type="dcterms:W3CDTF">2024-05-01T07:44:00Z</dcterms:modified>
</cp:coreProperties>
</file>