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50F0" w14:textId="77777777" w:rsidR="004F5998" w:rsidRPr="00474DE9" w:rsidRDefault="00474DE9" w:rsidP="00474DE9">
      <w:pPr>
        <w:ind w:firstLine="0"/>
        <w:rPr>
          <w:rFonts w:cs="Arial"/>
          <w:b/>
          <w:szCs w:val="24"/>
          <w:lang w:val="mn-MN"/>
        </w:rPr>
      </w:pPr>
      <w:r>
        <w:rPr>
          <w:noProof/>
        </w:rPr>
        <w:drawing>
          <wp:anchor distT="0" distB="0" distL="114300" distR="114300" simplePos="0" relativeHeight="251659264" behindDoc="0" locked="0" layoutInCell="1" allowOverlap="1" wp14:anchorId="27D07B27" wp14:editId="04115BEA">
            <wp:simplePos x="0" y="0"/>
            <wp:positionH relativeFrom="margin">
              <wp:posOffset>76200</wp:posOffset>
            </wp:positionH>
            <wp:positionV relativeFrom="margin">
              <wp:posOffset>-266700</wp:posOffset>
            </wp:positionV>
            <wp:extent cx="749300" cy="749935"/>
            <wp:effectExtent l="0" t="0" r="0" b="0"/>
            <wp:wrapSquare wrapText="bothSides"/>
            <wp:docPr id="1798459363" name="Image 2"/>
            <wp:cNvGraphicFramePr/>
            <a:graphic xmlns:a="http://schemas.openxmlformats.org/drawingml/2006/main">
              <a:graphicData uri="http://schemas.openxmlformats.org/drawingml/2006/picture">
                <pic:pic xmlns:pic="http://schemas.openxmlformats.org/drawingml/2006/picture">
                  <pic:nvPicPr>
                    <pic:cNvPr id="1798459363" name="Imag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49935"/>
                    </a:xfrm>
                    <a:prstGeom prst="rect">
                      <a:avLst/>
                    </a:prstGeom>
                    <a:noFill/>
                  </pic:spPr>
                </pic:pic>
              </a:graphicData>
            </a:graphic>
          </wp:anchor>
        </w:drawing>
      </w:r>
      <w:r w:rsidRPr="00474DE9">
        <w:rPr>
          <w:rFonts w:cs="Arial"/>
          <w:b/>
          <w:szCs w:val="24"/>
          <w:lang w:val="mn-MN"/>
        </w:rPr>
        <w:t>ШҮҮХИЙН СУРГАЛТ, СУДАЛГАА, МЭДЭЭЛЛИЙН ХҮРЭЭЛЭН</w:t>
      </w:r>
    </w:p>
    <w:p w14:paraId="1EA3C90D" w14:textId="77777777" w:rsidR="004F5998" w:rsidRPr="00474DE9" w:rsidRDefault="004F5998" w:rsidP="00FC5FE5">
      <w:pPr>
        <w:jc w:val="both"/>
        <w:rPr>
          <w:rFonts w:cs="Arial"/>
          <w:szCs w:val="24"/>
          <w:lang w:val="mn-MN"/>
        </w:rPr>
      </w:pPr>
    </w:p>
    <w:p w14:paraId="0C64C49A" w14:textId="77777777" w:rsidR="004F5998" w:rsidRPr="00474DE9" w:rsidRDefault="004F5998" w:rsidP="00FC5FE5">
      <w:pPr>
        <w:jc w:val="both"/>
        <w:rPr>
          <w:rFonts w:cs="Arial"/>
          <w:szCs w:val="24"/>
          <w:lang w:val="mn-MN"/>
        </w:rPr>
      </w:pPr>
    </w:p>
    <w:p w14:paraId="10D7095C" w14:textId="77777777" w:rsidR="004F5998" w:rsidRPr="00474DE9" w:rsidRDefault="004F5998" w:rsidP="00FC5FE5">
      <w:pPr>
        <w:jc w:val="both"/>
        <w:rPr>
          <w:rFonts w:cs="Arial"/>
          <w:szCs w:val="24"/>
          <w:lang w:val="mn-MN"/>
        </w:rPr>
      </w:pPr>
    </w:p>
    <w:p w14:paraId="248ED7DB" w14:textId="77777777" w:rsidR="004F5998" w:rsidRPr="00474DE9" w:rsidRDefault="004F5998" w:rsidP="004F5998">
      <w:pPr>
        <w:spacing w:before="120" w:after="120" w:line="240" w:lineRule="auto"/>
        <w:contextualSpacing/>
        <w:jc w:val="both"/>
        <w:rPr>
          <w:rFonts w:cs="Arial"/>
          <w:sz w:val="32"/>
          <w:szCs w:val="32"/>
          <w:lang w:val="mn-MN"/>
        </w:rPr>
      </w:pPr>
    </w:p>
    <w:p w14:paraId="16FBA056"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4E42CA6C"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735C8080"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3EBAA496"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1948F286"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1E8CC4F7"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196CF9BF"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04B5C8D7"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p>
    <w:p w14:paraId="4CE69946" w14:textId="77777777" w:rsidR="004F5998" w:rsidRPr="00474DE9" w:rsidRDefault="004F5998" w:rsidP="004F5998">
      <w:pPr>
        <w:pBdr>
          <w:top w:val="nil"/>
          <w:left w:val="nil"/>
          <w:bottom w:val="nil"/>
          <w:right w:val="nil"/>
          <w:between w:val="nil"/>
        </w:pBdr>
        <w:spacing w:before="120" w:after="120" w:line="240" w:lineRule="auto"/>
        <w:contextualSpacing/>
        <w:jc w:val="center"/>
        <w:rPr>
          <w:rFonts w:eastAsia="Arial" w:cs="Arial"/>
          <w:b/>
          <w:color w:val="000000"/>
          <w:sz w:val="32"/>
          <w:szCs w:val="32"/>
          <w:lang w:val="mn-MN"/>
        </w:rPr>
      </w:pPr>
      <w:r w:rsidRPr="00474DE9">
        <w:rPr>
          <w:rFonts w:eastAsia="Arial" w:cs="Arial"/>
          <w:b/>
          <w:color w:val="000000"/>
          <w:sz w:val="32"/>
          <w:szCs w:val="32"/>
          <w:lang w:val="mn-MN"/>
        </w:rPr>
        <w:t>МОНГОЛ УЛСЫН ШҮҮХИЙН ТУХАЙ ХУУЛЬД НЭМЭЛТ, ӨӨРЧЛӨЛТ ОРУУЛАХ ТУХАЙ ХУУЛИЙН ТӨСЛИЙН ҮР НӨЛӨӨГ ҮНЭЛЭХ СУДАЛГААНЫ ТАЙЛАН</w:t>
      </w:r>
    </w:p>
    <w:p w14:paraId="459302F9" w14:textId="77777777" w:rsidR="004F5998" w:rsidRPr="00474DE9" w:rsidRDefault="004F5998" w:rsidP="00FC5FE5">
      <w:pPr>
        <w:jc w:val="both"/>
        <w:rPr>
          <w:rFonts w:cs="Arial"/>
          <w:szCs w:val="24"/>
          <w:lang w:val="mn-MN"/>
        </w:rPr>
      </w:pPr>
    </w:p>
    <w:p w14:paraId="33E5DD8E" w14:textId="77777777" w:rsidR="004F5998" w:rsidRPr="00474DE9" w:rsidRDefault="004F5998" w:rsidP="00FC5FE5">
      <w:pPr>
        <w:jc w:val="both"/>
        <w:rPr>
          <w:rFonts w:cs="Arial"/>
          <w:szCs w:val="24"/>
          <w:lang w:val="mn-MN"/>
        </w:rPr>
      </w:pPr>
    </w:p>
    <w:p w14:paraId="147154EC" w14:textId="77777777" w:rsidR="004F5998" w:rsidRPr="00474DE9" w:rsidRDefault="004F5998" w:rsidP="00FC5FE5">
      <w:pPr>
        <w:jc w:val="both"/>
        <w:rPr>
          <w:rFonts w:cs="Arial"/>
          <w:szCs w:val="24"/>
          <w:lang w:val="mn-MN"/>
        </w:rPr>
      </w:pPr>
    </w:p>
    <w:p w14:paraId="5AD3AE62" w14:textId="77777777" w:rsidR="004F5998" w:rsidRPr="00474DE9" w:rsidRDefault="004F5998" w:rsidP="00FC5FE5">
      <w:pPr>
        <w:jc w:val="both"/>
        <w:rPr>
          <w:rFonts w:cs="Arial"/>
          <w:szCs w:val="24"/>
          <w:lang w:val="mn-MN"/>
        </w:rPr>
      </w:pPr>
    </w:p>
    <w:p w14:paraId="05D5DED7" w14:textId="77777777" w:rsidR="004F5998" w:rsidRPr="00474DE9" w:rsidRDefault="004F5998" w:rsidP="00FC5FE5">
      <w:pPr>
        <w:jc w:val="both"/>
        <w:rPr>
          <w:rFonts w:cs="Arial"/>
          <w:szCs w:val="24"/>
          <w:lang w:val="mn-MN"/>
        </w:rPr>
      </w:pPr>
    </w:p>
    <w:p w14:paraId="78D28D88" w14:textId="77777777" w:rsidR="004F5998" w:rsidRPr="00474DE9" w:rsidRDefault="004F5998" w:rsidP="00FC5FE5">
      <w:pPr>
        <w:jc w:val="both"/>
        <w:rPr>
          <w:rFonts w:cs="Arial"/>
          <w:szCs w:val="24"/>
          <w:lang w:val="mn-MN"/>
        </w:rPr>
      </w:pPr>
    </w:p>
    <w:p w14:paraId="408C99C9" w14:textId="77777777" w:rsidR="004F5998" w:rsidRPr="00474DE9" w:rsidRDefault="004F5998" w:rsidP="00FC5FE5">
      <w:pPr>
        <w:jc w:val="both"/>
        <w:rPr>
          <w:rFonts w:cs="Arial"/>
          <w:szCs w:val="24"/>
          <w:lang w:val="mn-MN"/>
        </w:rPr>
      </w:pPr>
    </w:p>
    <w:p w14:paraId="6CF485C4" w14:textId="77777777" w:rsidR="004F5998" w:rsidRPr="00474DE9" w:rsidRDefault="004F5998" w:rsidP="00FC5FE5">
      <w:pPr>
        <w:jc w:val="both"/>
        <w:rPr>
          <w:rFonts w:cs="Arial"/>
          <w:szCs w:val="24"/>
          <w:lang w:val="mn-MN"/>
        </w:rPr>
      </w:pPr>
    </w:p>
    <w:p w14:paraId="7BBC908F" w14:textId="77777777" w:rsidR="004F5998" w:rsidRPr="00474DE9" w:rsidRDefault="004F5998" w:rsidP="00FC5FE5">
      <w:pPr>
        <w:jc w:val="both"/>
        <w:rPr>
          <w:rFonts w:cs="Arial"/>
          <w:szCs w:val="24"/>
          <w:lang w:val="mn-MN"/>
        </w:rPr>
      </w:pPr>
    </w:p>
    <w:p w14:paraId="0C02AE92" w14:textId="77777777" w:rsidR="004F5998" w:rsidRPr="00474DE9" w:rsidRDefault="004F5998" w:rsidP="00FC5FE5">
      <w:pPr>
        <w:jc w:val="both"/>
        <w:rPr>
          <w:rFonts w:cs="Arial"/>
          <w:szCs w:val="24"/>
          <w:lang w:val="mn-MN"/>
        </w:rPr>
      </w:pPr>
    </w:p>
    <w:p w14:paraId="5DEFCAD0" w14:textId="77777777" w:rsidR="004F5998" w:rsidRPr="00474DE9" w:rsidRDefault="004F5998" w:rsidP="00FC5FE5">
      <w:pPr>
        <w:jc w:val="both"/>
        <w:rPr>
          <w:rFonts w:cs="Arial"/>
          <w:szCs w:val="24"/>
          <w:lang w:val="mn-MN"/>
        </w:rPr>
      </w:pPr>
    </w:p>
    <w:p w14:paraId="53447B1B" w14:textId="77777777" w:rsidR="004F5998" w:rsidRPr="00474DE9" w:rsidRDefault="004F5998" w:rsidP="00FC5FE5">
      <w:pPr>
        <w:jc w:val="both"/>
        <w:rPr>
          <w:rFonts w:cs="Arial"/>
          <w:szCs w:val="24"/>
          <w:lang w:val="mn-MN"/>
        </w:rPr>
      </w:pPr>
    </w:p>
    <w:p w14:paraId="0533AA15" w14:textId="77777777" w:rsidR="004F5998" w:rsidRPr="00474DE9" w:rsidRDefault="004F5998" w:rsidP="00FC5FE5">
      <w:pPr>
        <w:jc w:val="both"/>
        <w:rPr>
          <w:rFonts w:cs="Arial"/>
          <w:szCs w:val="24"/>
          <w:lang w:val="mn-MN"/>
        </w:rPr>
      </w:pPr>
    </w:p>
    <w:p w14:paraId="2A1090FE" w14:textId="77777777" w:rsidR="004F5998" w:rsidRPr="00474DE9" w:rsidRDefault="004F5998" w:rsidP="00FC5FE5">
      <w:pPr>
        <w:jc w:val="both"/>
        <w:rPr>
          <w:rFonts w:cs="Arial"/>
          <w:szCs w:val="24"/>
          <w:lang w:val="mn-MN"/>
        </w:rPr>
      </w:pPr>
    </w:p>
    <w:p w14:paraId="58971DF0" w14:textId="77777777" w:rsidR="004F5998" w:rsidRPr="00474DE9" w:rsidRDefault="004F5998" w:rsidP="00FC5FE5">
      <w:pPr>
        <w:jc w:val="both"/>
        <w:rPr>
          <w:rFonts w:cs="Arial"/>
          <w:szCs w:val="24"/>
          <w:lang w:val="mn-MN"/>
        </w:rPr>
      </w:pPr>
    </w:p>
    <w:p w14:paraId="38646CD6" w14:textId="77777777" w:rsidR="004F5998" w:rsidRPr="00474DE9" w:rsidRDefault="004F5998" w:rsidP="00FC5FE5">
      <w:pPr>
        <w:jc w:val="both"/>
        <w:rPr>
          <w:rFonts w:cs="Arial"/>
          <w:szCs w:val="24"/>
          <w:lang w:val="mn-MN"/>
        </w:rPr>
      </w:pPr>
    </w:p>
    <w:p w14:paraId="7FB00FC0" w14:textId="77777777" w:rsidR="004F5998" w:rsidRPr="00474DE9" w:rsidRDefault="004F5998" w:rsidP="00D703A4">
      <w:pPr>
        <w:jc w:val="center"/>
        <w:rPr>
          <w:rFonts w:cs="Arial"/>
          <w:b/>
          <w:szCs w:val="24"/>
          <w:lang w:val="mn-MN"/>
        </w:rPr>
      </w:pPr>
      <w:r w:rsidRPr="00474DE9">
        <w:rPr>
          <w:rFonts w:cs="Arial"/>
          <w:b/>
          <w:szCs w:val="24"/>
          <w:lang w:val="mn-MN"/>
        </w:rPr>
        <w:t>2024 он</w:t>
      </w:r>
    </w:p>
    <w:sdt>
      <w:sdtPr>
        <w:rPr>
          <w:rFonts w:cs="Arial"/>
          <w:szCs w:val="24"/>
          <w:lang w:val="mn-MN"/>
        </w:rPr>
        <w:id w:val="-139652016"/>
        <w:docPartObj>
          <w:docPartGallery w:val="Table of Contents"/>
          <w:docPartUnique/>
        </w:docPartObj>
      </w:sdtPr>
      <w:sdtEndPr>
        <w:rPr>
          <w:b/>
          <w:bCs/>
          <w:noProof/>
        </w:rPr>
      </w:sdtEndPr>
      <w:sdtContent>
        <w:p w14:paraId="205939EE" w14:textId="77777777" w:rsidR="00C9511D" w:rsidRDefault="00C9511D" w:rsidP="00FC5FE5">
          <w:pPr>
            <w:jc w:val="both"/>
            <w:rPr>
              <w:rFonts w:cs="Arial"/>
              <w:szCs w:val="24"/>
              <w:lang w:val="mn-MN"/>
            </w:rPr>
          </w:pPr>
        </w:p>
        <w:p w14:paraId="1A1018A2" w14:textId="77777777" w:rsidR="00FC5FE5" w:rsidRPr="00474DE9" w:rsidRDefault="00FC5FE5" w:rsidP="00FC5FE5">
          <w:pPr>
            <w:jc w:val="both"/>
            <w:rPr>
              <w:rFonts w:cs="Arial"/>
              <w:b/>
              <w:szCs w:val="24"/>
              <w:lang w:val="mn-MN"/>
            </w:rPr>
          </w:pPr>
          <w:r w:rsidRPr="00474DE9">
            <w:rPr>
              <w:rFonts w:cs="Arial"/>
              <w:b/>
              <w:szCs w:val="24"/>
              <w:lang w:val="mn-MN"/>
            </w:rPr>
            <w:t>ГАРЧИГ</w:t>
          </w:r>
        </w:p>
        <w:p w14:paraId="768DC907" w14:textId="77777777" w:rsidR="009A40DC" w:rsidRPr="00474DE9" w:rsidRDefault="00FC5FE5" w:rsidP="00213707">
          <w:pPr>
            <w:pStyle w:val="TOC1"/>
            <w:rPr>
              <w:rFonts w:asciiTheme="minorHAnsi" w:eastAsiaTheme="minorEastAsia" w:hAnsiTheme="minorHAnsi" w:cstheme="minorBidi"/>
              <w:kern w:val="0"/>
              <w:sz w:val="22"/>
              <w14:ligatures w14:val="none"/>
            </w:rPr>
          </w:pPr>
          <w:r w:rsidRPr="00474DE9">
            <w:rPr>
              <w:noProof w:val="0"/>
              <w:szCs w:val="24"/>
            </w:rPr>
            <w:fldChar w:fldCharType="begin"/>
          </w:r>
          <w:r w:rsidRPr="00474DE9">
            <w:rPr>
              <w:szCs w:val="24"/>
            </w:rPr>
            <w:instrText xml:space="preserve"> TOC \o "1-3" \h \z \u </w:instrText>
          </w:r>
          <w:r w:rsidRPr="00474DE9">
            <w:rPr>
              <w:noProof w:val="0"/>
              <w:szCs w:val="24"/>
            </w:rPr>
            <w:fldChar w:fldCharType="separate"/>
          </w:r>
          <w:hyperlink w:anchor="_Toc164632093" w:history="1">
            <w:r w:rsidR="009A40DC" w:rsidRPr="00474DE9">
              <w:rPr>
                <w:rStyle w:val="Hyperlink"/>
                <w:b/>
              </w:rPr>
              <w:t>УДИРТГАЛ</w:t>
            </w:r>
            <w:r w:rsidR="009A40DC" w:rsidRPr="00474DE9">
              <w:rPr>
                <w:webHidden/>
              </w:rPr>
              <w:tab/>
            </w:r>
            <w:r w:rsidR="009A40DC" w:rsidRPr="00474DE9">
              <w:rPr>
                <w:webHidden/>
              </w:rPr>
              <w:fldChar w:fldCharType="begin"/>
            </w:r>
            <w:r w:rsidR="009A40DC" w:rsidRPr="00474DE9">
              <w:rPr>
                <w:webHidden/>
              </w:rPr>
              <w:instrText xml:space="preserve"> PAGEREF _Toc164632093 \h </w:instrText>
            </w:r>
            <w:r w:rsidR="009A40DC" w:rsidRPr="00474DE9">
              <w:rPr>
                <w:webHidden/>
              </w:rPr>
            </w:r>
            <w:r w:rsidR="009A40DC" w:rsidRPr="00474DE9">
              <w:rPr>
                <w:webHidden/>
              </w:rPr>
              <w:fldChar w:fldCharType="separate"/>
            </w:r>
            <w:r w:rsidR="009A40DC" w:rsidRPr="00474DE9">
              <w:rPr>
                <w:webHidden/>
              </w:rPr>
              <w:t>2</w:t>
            </w:r>
            <w:r w:rsidR="009A40DC" w:rsidRPr="00474DE9">
              <w:rPr>
                <w:webHidden/>
              </w:rPr>
              <w:fldChar w:fldCharType="end"/>
            </w:r>
          </w:hyperlink>
        </w:p>
        <w:p w14:paraId="38660B01" w14:textId="77777777" w:rsidR="009A40DC" w:rsidRPr="00474DE9" w:rsidRDefault="00000000" w:rsidP="00213707">
          <w:pPr>
            <w:pStyle w:val="TOC1"/>
            <w:rPr>
              <w:rFonts w:asciiTheme="minorHAnsi" w:eastAsiaTheme="minorEastAsia" w:hAnsiTheme="minorHAnsi" w:cstheme="minorBidi"/>
              <w:kern w:val="0"/>
              <w:sz w:val="22"/>
              <w14:ligatures w14:val="none"/>
            </w:rPr>
          </w:pPr>
          <w:hyperlink w:anchor="_Toc164632094" w:history="1">
            <w:r w:rsidR="009A40DC" w:rsidRPr="00474DE9">
              <w:rPr>
                <w:rStyle w:val="Hyperlink"/>
                <w:b/>
              </w:rPr>
              <w:t>НЭГ. ШАЛГУУР ҮЗҮҮЛЭЛТИЙГ СОНГОСОН БАЙДАЛ, ҮНДЭСЛЭЛ</w:t>
            </w:r>
            <w:r w:rsidR="009A40DC" w:rsidRPr="00474DE9">
              <w:rPr>
                <w:webHidden/>
              </w:rPr>
              <w:tab/>
            </w:r>
            <w:r w:rsidR="009A40DC" w:rsidRPr="00474DE9">
              <w:rPr>
                <w:webHidden/>
              </w:rPr>
              <w:fldChar w:fldCharType="begin"/>
            </w:r>
            <w:r w:rsidR="009A40DC" w:rsidRPr="00474DE9">
              <w:rPr>
                <w:webHidden/>
              </w:rPr>
              <w:instrText xml:space="preserve"> PAGEREF _Toc164632094 \h </w:instrText>
            </w:r>
            <w:r w:rsidR="009A40DC" w:rsidRPr="00474DE9">
              <w:rPr>
                <w:webHidden/>
              </w:rPr>
            </w:r>
            <w:r w:rsidR="009A40DC" w:rsidRPr="00474DE9">
              <w:rPr>
                <w:webHidden/>
              </w:rPr>
              <w:fldChar w:fldCharType="separate"/>
            </w:r>
            <w:r w:rsidR="009A40DC" w:rsidRPr="00474DE9">
              <w:rPr>
                <w:webHidden/>
              </w:rPr>
              <w:t>3</w:t>
            </w:r>
            <w:r w:rsidR="009A40DC" w:rsidRPr="00474DE9">
              <w:rPr>
                <w:webHidden/>
              </w:rPr>
              <w:fldChar w:fldCharType="end"/>
            </w:r>
          </w:hyperlink>
        </w:p>
        <w:p w14:paraId="3DC0E9C6" w14:textId="77777777" w:rsidR="009A40DC" w:rsidRPr="00474DE9" w:rsidRDefault="00000000" w:rsidP="00213707">
          <w:pPr>
            <w:pStyle w:val="TOC1"/>
            <w:rPr>
              <w:rFonts w:asciiTheme="minorHAnsi" w:eastAsiaTheme="minorEastAsia" w:hAnsiTheme="minorHAnsi" w:cstheme="minorBidi"/>
              <w:kern w:val="0"/>
              <w:sz w:val="22"/>
              <w14:ligatures w14:val="none"/>
            </w:rPr>
          </w:pPr>
          <w:hyperlink w:anchor="_Toc164632095" w:history="1">
            <w:r w:rsidR="009A40DC" w:rsidRPr="00474DE9">
              <w:rPr>
                <w:rStyle w:val="Hyperlink"/>
                <w:b/>
              </w:rPr>
              <w:t>ХОЁР. ХУУЛИЙН ТӨСЛӨӨС ҮР НӨЛӨӨГ НЬ ТООЦОХ ХЭСГЭЭ ТОГТООСОН БАЙДАЛ</w:t>
            </w:r>
            <w:r w:rsidR="009A40DC" w:rsidRPr="00474DE9">
              <w:rPr>
                <w:webHidden/>
              </w:rPr>
              <w:tab/>
            </w:r>
            <w:r w:rsidR="009A40DC" w:rsidRPr="00474DE9">
              <w:rPr>
                <w:webHidden/>
              </w:rPr>
              <w:fldChar w:fldCharType="begin"/>
            </w:r>
            <w:r w:rsidR="009A40DC" w:rsidRPr="00474DE9">
              <w:rPr>
                <w:webHidden/>
              </w:rPr>
              <w:instrText xml:space="preserve"> PAGEREF _Toc164632095 \h </w:instrText>
            </w:r>
            <w:r w:rsidR="009A40DC" w:rsidRPr="00474DE9">
              <w:rPr>
                <w:webHidden/>
              </w:rPr>
            </w:r>
            <w:r w:rsidR="009A40DC" w:rsidRPr="00474DE9">
              <w:rPr>
                <w:webHidden/>
              </w:rPr>
              <w:fldChar w:fldCharType="separate"/>
            </w:r>
            <w:r w:rsidR="009A40DC" w:rsidRPr="00474DE9">
              <w:rPr>
                <w:webHidden/>
              </w:rPr>
              <w:t>4</w:t>
            </w:r>
            <w:r w:rsidR="009A40DC" w:rsidRPr="00474DE9">
              <w:rPr>
                <w:webHidden/>
              </w:rPr>
              <w:fldChar w:fldCharType="end"/>
            </w:r>
          </w:hyperlink>
        </w:p>
        <w:p w14:paraId="2CD5248D"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096" w:history="1">
            <w:r w:rsidR="009A40DC" w:rsidRPr="00474DE9">
              <w:rPr>
                <w:rStyle w:val="Hyperlink"/>
                <w:noProof/>
                <w:lang w:val="mn-MN"/>
              </w:rPr>
              <w:t>2.1. “Зорилгод хүрэх байдал” шалгуур үзүүлэлтийн хүрээнд хуулийн төслөөс үр нөлөөг нь тооцох хэсгээ тогтоосон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_Toc164632096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4</w:t>
            </w:r>
            <w:r w:rsidR="009A40DC" w:rsidRPr="00474DE9">
              <w:rPr>
                <w:noProof/>
                <w:webHidden/>
                <w:lang w:val="mn-MN"/>
              </w:rPr>
              <w:fldChar w:fldCharType="end"/>
            </w:r>
          </w:hyperlink>
        </w:p>
        <w:p w14:paraId="07E803FA"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097" w:history="1">
            <w:r w:rsidR="009A40DC" w:rsidRPr="00474DE9">
              <w:rPr>
                <w:rStyle w:val="Hyperlink"/>
                <w:noProof/>
                <w:lang w:val="mn-MN"/>
              </w:rPr>
              <w:t>2.2. “Практикт хэрэгжих боломж” шалгуур үзүүлэлтийн хүрээнд хуулийн төслөөс үр нөлөөг нь тооцох хэсгээ тогтоосон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_Toc164632097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5</w:t>
            </w:r>
            <w:r w:rsidR="009A40DC" w:rsidRPr="00474DE9">
              <w:rPr>
                <w:noProof/>
                <w:webHidden/>
                <w:lang w:val="mn-MN"/>
              </w:rPr>
              <w:fldChar w:fldCharType="end"/>
            </w:r>
          </w:hyperlink>
        </w:p>
        <w:p w14:paraId="6AED3D9F"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098" w:history="1">
            <w:r w:rsidR="009A40DC" w:rsidRPr="00474DE9">
              <w:rPr>
                <w:rStyle w:val="Hyperlink"/>
                <w:noProof/>
                <w:lang w:val="mn-MN"/>
              </w:rPr>
              <w:t>2.3. “Ойлгомжтой байдал” шалгуур үзүүлэлтийн хүрээнд хуулийн төслөөс үр нөлөөг нь тооцох хэсгээ тогтоосон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_Toc164632098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6</w:t>
            </w:r>
            <w:r w:rsidR="009A40DC" w:rsidRPr="00474DE9">
              <w:rPr>
                <w:noProof/>
                <w:webHidden/>
                <w:lang w:val="mn-MN"/>
              </w:rPr>
              <w:fldChar w:fldCharType="end"/>
            </w:r>
          </w:hyperlink>
        </w:p>
        <w:p w14:paraId="2A61F89F"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099" w:history="1">
            <w:r w:rsidR="009A40DC" w:rsidRPr="00474DE9">
              <w:rPr>
                <w:rStyle w:val="Hyperlink"/>
                <w:noProof/>
                <w:lang w:val="mn-MN"/>
              </w:rPr>
              <w:t>2.4. “Харилцан уялдаа” шалгуур үзүүлэлтийн хүрээнд хуулийн төслөөс үр нөлөөг нь тооцох хэсгээ тогтоосон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_Toc164632099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6</w:t>
            </w:r>
            <w:r w:rsidR="009A40DC" w:rsidRPr="00474DE9">
              <w:rPr>
                <w:noProof/>
                <w:webHidden/>
                <w:lang w:val="mn-MN"/>
              </w:rPr>
              <w:fldChar w:fldCharType="end"/>
            </w:r>
          </w:hyperlink>
        </w:p>
        <w:p w14:paraId="0B8BA8FB" w14:textId="77777777" w:rsidR="009A40DC" w:rsidRPr="00474DE9" w:rsidRDefault="00000000" w:rsidP="00213707">
          <w:pPr>
            <w:pStyle w:val="TOC1"/>
            <w:rPr>
              <w:rFonts w:asciiTheme="minorHAnsi" w:eastAsiaTheme="minorEastAsia" w:hAnsiTheme="minorHAnsi" w:cstheme="minorBidi"/>
              <w:kern w:val="0"/>
              <w:sz w:val="22"/>
              <w14:ligatures w14:val="none"/>
            </w:rPr>
          </w:pPr>
          <w:hyperlink w:anchor="_Toc164632100" w:history="1">
            <w:r w:rsidR="009A40DC" w:rsidRPr="00474DE9">
              <w:rPr>
                <w:rStyle w:val="Hyperlink"/>
                <w:b/>
              </w:rPr>
              <w:t>ГУРАВ. ШАЛГУУР ҮЗҮҮЛЭЛТЭД ТОХИРОХ ШАЛГАХ ХЭРЭГСЛИЙН ДАГУУ ХУУЛИЙН ТӨСЛИЙН ҮР НӨЛӨӨГ ҮНЭЛСЭН БАЙДАЛ</w:t>
            </w:r>
            <w:r w:rsidR="009A40DC" w:rsidRPr="00474DE9">
              <w:rPr>
                <w:webHidden/>
              </w:rPr>
              <w:tab/>
            </w:r>
            <w:r w:rsidR="009A40DC" w:rsidRPr="00474DE9">
              <w:rPr>
                <w:webHidden/>
              </w:rPr>
              <w:fldChar w:fldCharType="begin"/>
            </w:r>
            <w:r w:rsidR="009A40DC" w:rsidRPr="00474DE9">
              <w:rPr>
                <w:webHidden/>
              </w:rPr>
              <w:instrText xml:space="preserve"> PAGEREF _Toc164632100 \h </w:instrText>
            </w:r>
            <w:r w:rsidR="009A40DC" w:rsidRPr="00474DE9">
              <w:rPr>
                <w:webHidden/>
              </w:rPr>
            </w:r>
            <w:r w:rsidR="009A40DC" w:rsidRPr="00474DE9">
              <w:rPr>
                <w:webHidden/>
              </w:rPr>
              <w:fldChar w:fldCharType="separate"/>
            </w:r>
            <w:r w:rsidR="009A40DC" w:rsidRPr="00474DE9">
              <w:rPr>
                <w:webHidden/>
              </w:rPr>
              <w:t>7</w:t>
            </w:r>
            <w:r w:rsidR="009A40DC" w:rsidRPr="00474DE9">
              <w:rPr>
                <w:webHidden/>
              </w:rPr>
              <w:fldChar w:fldCharType="end"/>
            </w:r>
          </w:hyperlink>
        </w:p>
        <w:p w14:paraId="07DE6806"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101" w:history="1">
            <w:r w:rsidR="009A40DC" w:rsidRPr="00474DE9">
              <w:rPr>
                <w:rStyle w:val="Hyperlink"/>
                <w:noProof/>
                <w:lang w:val="mn-MN"/>
              </w:rPr>
              <w:t>3.1. “Зорилгод хүрэх байдал” шалгуур үзүүлэлтээр үнэлсэн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_Toc164632101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7</w:t>
            </w:r>
            <w:r w:rsidR="009A40DC" w:rsidRPr="00474DE9">
              <w:rPr>
                <w:noProof/>
                <w:webHidden/>
                <w:lang w:val="mn-MN"/>
              </w:rPr>
              <w:fldChar w:fldCharType="end"/>
            </w:r>
          </w:hyperlink>
        </w:p>
        <w:p w14:paraId="7A49628D"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102" w:history="1">
            <w:r w:rsidR="009A40DC" w:rsidRPr="00474DE9">
              <w:rPr>
                <w:rStyle w:val="Hyperlink"/>
                <w:rFonts w:cs="Arial"/>
                <w:noProof/>
                <w:lang w:val="mn-MN"/>
              </w:rPr>
              <w:t>3.2. “Практикт хэрэгжих боломж” шалгуур үзүүлэлтээр үнэлсэн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_Toc164632102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13</w:t>
            </w:r>
            <w:r w:rsidR="009A40DC" w:rsidRPr="00474DE9">
              <w:rPr>
                <w:noProof/>
                <w:webHidden/>
                <w:lang w:val="mn-MN"/>
              </w:rPr>
              <w:fldChar w:fldCharType="end"/>
            </w:r>
          </w:hyperlink>
        </w:p>
        <w:p w14:paraId="6C56BA26"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103" w:history="1">
            <w:r w:rsidR="009A40DC" w:rsidRPr="00474DE9">
              <w:rPr>
                <w:rStyle w:val="Hyperlink"/>
                <w:rFonts w:cs="Arial"/>
                <w:noProof/>
                <w:lang w:val="mn-MN"/>
              </w:rPr>
              <w:t>3.3. “Ойлгомжтой байдал” шалгуур үзүүлэлтээр үнэлсэн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_Toc164632103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14</w:t>
            </w:r>
            <w:r w:rsidR="009A40DC" w:rsidRPr="00474DE9">
              <w:rPr>
                <w:noProof/>
                <w:webHidden/>
                <w:lang w:val="mn-MN"/>
              </w:rPr>
              <w:fldChar w:fldCharType="end"/>
            </w:r>
          </w:hyperlink>
        </w:p>
        <w:p w14:paraId="5630389E"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104" w:history="1">
            <w:r w:rsidR="009A40DC" w:rsidRPr="00474DE9">
              <w:rPr>
                <w:rStyle w:val="Hyperlink"/>
                <w:rFonts w:cs="Arial"/>
                <w:noProof/>
                <w:lang w:val="mn-MN"/>
              </w:rPr>
              <w:t>3.4. “Харилцан уялдаа” шалгуур үзүүлэлтээр үнэлсэн байдал</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_Toc164632104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15</w:t>
            </w:r>
            <w:r w:rsidR="009A40DC" w:rsidRPr="00474DE9">
              <w:rPr>
                <w:noProof/>
                <w:webHidden/>
                <w:lang w:val="mn-MN"/>
              </w:rPr>
              <w:fldChar w:fldCharType="end"/>
            </w:r>
          </w:hyperlink>
        </w:p>
        <w:p w14:paraId="12F8E622" w14:textId="77777777" w:rsidR="009A40DC" w:rsidRPr="00474DE9" w:rsidRDefault="00000000" w:rsidP="00213707">
          <w:pPr>
            <w:pStyle w:val="TOC1"/>
            <w:rPr>
              <w:rFonts w:asciiTheme="minorHAnsi" w:eastAsiaTheme="minorEastAsia" w:hAnsiTheme="minorHAnsi" w:cstheme="minorBidi"/>
              <w:kern w:val="0"/>
              <w:sz w:val="22"/>
              <w14:ligatures w14:val="none"/>
            </w:rPr>
          </w:pPr>
          <w:hyperlink w:anchor="_Toc164632105" w:history="1">
            <w:r w:rsidR="009A40DC" w:rsidRPr="00474DE9">
              <w:rPr>
                <w:rStyle w:val="Hyperlink"/>
                <w:b/>
              </w:rPr>
              <w:t>ДӨРӨВ. ҮР ДҮНГ ҮНЭЛЖ, ЗӨВЛӨМЖ ӨГСӨН БАЙДАЛ</w:t>
            </w:r>
            <w:r w:rsidR="009A40DC" w:rsidRPr="00474DE9">
              <w:rPr>
                <w:webHidden/>
              </w:rPr>
              <w:tab/>
            </w:r>
            <w:r w:rsidR="009A40DC" w:rsidRPr="00474DE9">
              <w:rPr>
                <w:webHidden/>
              </w:rPr>
              <w:fldChar w:fldCharType="begin"/>
            </w:r>
            <w:r w:rsidR="009A40DC" w:rsidRPr="00474DE9">
              <w:rPr>
                <w:webHidden/>
              </w:rPr>
              <w:instrText xml:space="preserve"> PAGEREF _Toc164632105 \h </w:instrText>
            </w:r>
            <w:r w:rsidR="009A40DC" w:rsidRPr="00474DE9">
              <w:rPr>
                <w:webHidden/>
              </w:rPr>
            </w:r>
            <w:r w:rsidR="009A40DC" w:rsidRPr="00474DE9">
              <w:rPr>
                <w:webHidden/>
              </w:rPr>
              <w:fldChar w:fldCharType="separate"/>
            </w:r>
            <w:r w:rsidR="009A40DC" w:rsidRPr="00474DE9">
              <w:rPr>
                <w:webHidden/>
              </w:rPr>
              <w:t>17</w:t>
            </w:r>
            <w:r w:rsidR="009A40DC" w:rsidRPr="00474DE9">
              <w:rPr>
                <w:webHidden/>
              </w:rPr>
              <w:fldChar w:fldCharType="end"/>
            </w:r>
          </w:hyperlink>
        </w:p>
        <w:p w14:paraId="71A16CEE" w14:textId="77777777" w:rsidR="009A40DC" w:rsidRPr="00474DE9" w:rsidRDefault="00000000">
          <w:pPr>
            <w:pStyle w:val="TOC2"/>
            <w:tabs>
              <w:tab w:val="right" w:leader="dot" w:pos="9347"/>
            </w:tabs>
            <w:rPr>
              <w:rFonts w:asciiTheme="minorHAnsi" w:eastAsiaTheme="minorEastAsia" w:hAnsiTheme="minorHAnsi" w:cstheme="minorBidi"/>
              <w:noProof/>
              <w:kern w:val="0"/>
              <w:sz w:val="22"/>
              <w:lang w:val="mn-MN"/>
              <w14:ligatures w14:val="none"/>
            </w:rPr>
          </w:pPr>
          <w:hyperlink w:anchor="_Toc164632106" w:history="1">
            <w:r w:rsidR="009A40DC" w:rsidRPr="00474DE9">
              <w:rPr>
                <w:rStyle w:val="Hyperlink"/>
                <w:noProof/>
                <w:lang w:val="mn-MN"/>
              </w:rPr>
              <w:t>4.1. Үнэлэлт, дүгнэлт</w:t>
            </w:r>
            <w:r w:rsidR="009A40DC" w:rsidRPr="00474DE9">
              <w:rPr>
                <w:noProof/>
                <w:webHidden/>
                <w:lang w:val="mn-MN"/>
              </w:rPr>
              <w:tab/>
            </w:r>
            <w:r w:rsidR="009A40DC" w:rsidRPr="00474DE9">
              <w:rPr>
                <w:noProof/>
                <w:webHidden/>
                <w:lang w:val="mn-MN"/>
              </w:rPr>
              <w:fldChar w:fldCharType="begin"/>
            </w:r>
            <w:r w:rsidR="009A40DC" w:rsidRPr="00474DE9">
              <w:rPr>
                <w:noProof/>
                <w:webHidden/>
                <w:lang w:val="mn-MN"/>
              </w:rPr>
              <w:instrText xml:space="preserve"> PAGEREF _Toc164632106 \h </w:instrText>
            </w:r>
            <w:r w:rsidR="009A40DC" w:rsidRPr="00474DE9">
              <w:rPr>
                <w:noProof/>
                <w:webHidden/>
                <w:lang w:val="mn-MN"/>
              </w:rPr>
            </w:r>
            <w:r w:rsidR="009A40DC" w:rsidRPr="00474DE9">
              <w:rPr>
                <w:noProof/>
                <w:webHidden/>
                <w:lang w:val="mn-MN"/>
              </w:rPr>
              <w:fldChar w:fldCharType="separate"/>
            </w:r>
            <w:r w:rsidR="009A40DC" w:rsidRPr="00474DE9">
              <w:rPr>
                <w:noProof/>
                <w:webHidden/>
                <w:lang w:val="mn-MN"/>
              </w:rPr>
              <w:t>17</w:t>
            </w:r>
            <w:r w:rsidR="009A40DC" w:rsidRPr="00474DE9">
              <w:rPr>
                <w:noProof/>
                <w:webHidden/>
                <w:lang w:val="mn-MN"/>
              </w:rPr>
              <w:fldChar w:fldCharType="end"/>
            </w:r>
          </w:hyperlink>
        </w:p>
        <w:p w14:paraId="58DCEAB5" w14:textId="77777777" w:rsidR="009A40DC" w:rsidRPr="00474DE9" w:rsidRDefault="00000000" w:rsidP="00213707">
          <w:pPr>
            <w:pStyle w:val="TOC1"/>
            <w:rPr>
              <w:rFonts w:asciiTheme="minorHAnsi" w:eastAsiaTheme="minorEastAsia" w:hAnsiTheme="minorHAnsi" w:cstheme="minorBidi"/>
              <w:kern w:val="0"/>
              <w:sz w:val="22"/>
              <w14:ligatures w14:val="none"/>
            </w:rPr>
          </w:pPr>
          <w:hyperlink w:anchor="_Toc164632107" w:history="1">
            <w:r w:rsidR="009A40DC" w:rsidRPr="00474DE9">
              <w:rPr>
                <w:rStyle w:val="Hyperlink"/>
                <w:b/>
              </w:rPr>
              <w:t>НОМ ЗҮЙ</w:t>
            </w:r>
            <w:r w:rsidR="009A40DC" w:rsidRPr="00474DE9">
              <w:rPr>
                <w:webHidden/>
              </w:rPr>
              <w:tab/>
            </w:r>
            <w:r w:rsidR="009A40DC" w:rsidRPr="00474DE9">
              <w:rPr>
                <w:webHidden/>
              </w:rPr>
              <w:fldChar w:fldCharType="begin"/>
            </w:r>
            <w:r w:rsidR="009A40DC" w:rsidRPr="00474DE9">
              <w:rPr>
                <w:webHidden/>
              </w:rPr>
              <w:instrText xml:space="preserve"> PAGEREF _Toc164632107 \h </w:instrText>
            </w:r>
            <w:r w:rsidR="009A40DC" w:rsidRPr="00474DE9">
              <w:rPr>
                <w:webHidden/>
              </w:rPr>
            </w:r>
            <w:r w:rsidR="009A40DC" w:rsidRPr="00474DE9">
              <w:rPr>
                <w:webHidden/>
              </w:rPr>
              <w:fldChar w:fldCharType="separate"/>
            </w:r>
            <w:r w:rsidR="009A40DC" w:rsidRPr="00474DE9">
              <w:rPr>
                <w:webHidden/>
              </w:rPr>
              <w:t>19</w:t>
            </w:r>
            <w:r w:rsidR="009A40DC" w:rsidRPr="00474DE9">
              <w:rPr>
                <w:webHidden/>
              </w:rPr>
              <w:fldChar w:fldCharType="end"/>
            </w:r>
          </w:hyperlink>
        </w:p>
        <w:p w14:paraId="2E251286" w14:textId="77777777" w:rsidR="00FC5FE5" w:rsidRPr="00474DE9" w:rsidRDefault="00FC5FE5">
          <w:pPr>
            <w:rPr>
              <w:rFonts w:cs="Arial"/>
              <w:szCs w:val="24"/>
              <w:lang w:val="mn-MN"/>
            </w:rPr>
          </w:pPr>
          <w:r w:rsidRPr="00474DE9">
            <w:rPr>
              <w:rFonts w:cs="Arial"/>
              <w:b/>
              <w:bCs/>
              <w:noProof/>
              <w:szCs w:val="24"/>
              <w:lang w:val="mn-MN"/>
            </w:rPr>
            <w:fldChar w:fldCharType="end"/>
          </w:r>
        </w:p>
      </w:sdtContent>
    </w:sdt>
    <w:p w14:paraId="5F446051" w14:textId="77777777" w:rsidR="00FC5FE5" w:rsidRPr="00474DE9" w:rsidRDefault="00FC5FE5">
      <w:pPr>
        <w:jc w:val="both"/>
        <w:rPr>
          <w:rFonts w:eastAsiaTheme="majorEastAsia" w:cs="Arial"/>
          <w:b/>
          <w:color w:val="000000" w:themeColor="text1"/>
          <w:kern w:val="0"/>
          <w:szCs w:val="32"/>
          <w:lang w:val="mn-MN" w:eastAsia="zh-CN"/>
          <w14:ligatures w14:val="none"/>
        </w:rPr>
      </w:pPr>
      <w:r w:rsidRPr="00474DE9">
        <w:rPr>
          <w:rFonts w:eastAsiaTheme="majorEastAsia" w:cs="Arial"/>
          <w:b/>
          <w:color w:val="000000" w:themeColor="text1"/>
          <w:kern w:val="0"/>
          <w:szCs w:val="32"/>
          <w:lang w:val="mn-MN" w:eastAsia="zh-CN"/>
          <w14:ligatures w14:val="none"/>
        </w:rPr>
        <w:br w:type="page"/>
      </w:r>
    </w:p>
    <w:p w14:paraId="5D2FE1C2" w14:textId="77777777" w:rsidR="008C6C13" w:rsidRPr="00474DE9" w:rsidRDefault="008C6C13" w:rsidP="008C6C13">
      <w:pPr>
        <w:pStyle w:val="Heading1"/>
        <w:spacing w:after="240"/>
        <w:jc w:val="center"/>
        <w:rPr>
          <w:rFonts w:cs="Arial"/>
          <w:lang w:val="mn-MN"/>
        </w:rPr>
      </w:pPr>
      <w:bookmarkStart w:id="0" w:name="_Toc164632093"/>
      <w:r w:rsidRPr="00474DE9">
        <w:rPr>
          <w:rFonts w:cs="Arial"/>
          <w:lang w:val="mn-MN"/>
        </w:rPr>
        <w:lastRenderedPageBreak/>
        <w:t>УДИРТГАЛ</w:t>
      </w:r>
      <w:bookmarkEnd w:id="0"/>
    </w:p>
    <w:p w14:paraId="10F4C39E" w14:textId="77777777" w:rsidR="00FD76F1" w:rsidRPr="00474DE9" w:rsidRDefault="00FD76F1" w:rsidP="00FD76F1">
      <w:pPr>
        <w:jc w:val="both"/>
        <w:rPr>
          <w:rFonts w:cs="Arial"/>
          <w:lang w:val="mn-MN"/>
        </w:rPr>
      </w:pPr>
      <w:r w:rsidRPr="00474DE9">
        <w:rPr>
          <w:rFonts w:cs="Arial"/>
          <w:color w:val="000000"/>
          <w:lang w:val="mn-MN"/>
        </w:rPr>
        <w:t>Монгол Улсын Засгийн газрын 2016-2020 оны үйл ажиллагааны хөтөлбөрийн 5 дугаар зүйлийн 5.1.22 дахь хэсэгт “Хууль зүйн судалгааны чанарыг шинэ түвшинд гаргаж, хууль тогтоомжийн боловсруулалт, хэрэгжилтийг судалгаанд суурилан хөгжүүлэх боломжийг бүрдүүлнэ”, мөн Хууль тогтоомжийн тухай хуул</w:t>
      </w:r>
      <w:r w:rsidR="00C34E66" w:rsidRPr="00474DE9">
        <w:rPr>
          <w:rFonts w:cs="Arial"/>
          <w:color w:val="000000"/>
          <w:lang w:val="mn-MN"/>
        </w:rPr>
        <w:t>ь</w:t>
      </w:r>
      <w:r w:rsidR="00C34E66" w:rsidRPr="00474DE9">
        <w:rPr>
          <w:rStyle w:val="FootnoteReference"/>
          <w:rFonts w:cs="Arial"/>
          <w:color w:val="000000"/>
          <w:lang w:val="mn-MN"/>
        </w:rPr>
        <w:footnoteReference w:id="1"/>
      </w:r>
      <w:r w:rsidR="00C34E66" w:rsidRPr="00474DE9">
        <w:rPr>
          <w:rFonts w:cs="Arial"/>
          <w:color w:val="000000"/>
          <w:lang w:val="mn-MN"/>
        </w:rPr>
        <w:t>-</w:t>
      </w:r>
      <w:r w:rsidRPr="00474DE9">
        <w:rPr>
          <w:rFonts w:cs="Arial"/>
          <w:color w:val="000000"/>
          <w:lang w:val="mn-MN"/>
        </w:rPr>
        <w:t xml:space="preserve">ийн 1 дүгээр зүйлийн 1.1-т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 Энэ хүрээнд </w:t>
      </w:r>
      <w:r w:rsidRPr="00474DE9">
        <w:rPr>
          <w:rFonts w:cs="Arial"/>
          <w:color w:val="000000"/>
          <w:highlight w:val="white"/>
          <w:lang w:val="mn-MN"/>
        </w:rPr>
        <w:t xml:space="preserve">2017 оны 1 дүгээр сарын 1-ний өдрөөс хүчин төгөлдөр мөрдөж эхэлсэн “Хууль тогтоомжийн тухай” хуулийн хэрэгжилтийг хангах үүднээс Засгийн газрын </w:t>
      </w:r>
      <w:r w:rsidRPr="00474DE9">
        <w:rPr>
          <w:rFonts w:cs="Arial"/>
          <w:color w:val="000000"/>
          <w:lang w:val="mn-MN"/>
        </w:rPr>
        <w:t>2016 оны 59 дүгээр тогтоолоор “Хууль тогтоомжийн төслийн үр нөлөөг үнэлэх аргачлал”-ыг баталсан.</w:t>
      </w:r>
    </w:p>
    <w:p w14:paraId="19014CB5" w14:textId="77777777" w:rsidR="00FD76F1" w:rsidRPr="00474DE9" w:rsidRDefault="00FD76F1" w:rsidP="00FD76F1">
      <w:pPr>
        <w:jc w:val="both"/>
        <w:rPr>
          <w:rFonts w:cs="Arial"/>
          <w:lang w:val="mn-MN"/>
        </w:rPr>
      </w:pPr>
      <w:r w:rsidRPr="00474DE9">
        <w:rPr>
          <w:rFonts w:cs="Arial"/>
          <w:color w:val="000000"/>
          <w:highlight w:val="white"/>
          <w:lang w:val="mn-MN"/>
        </w:rPr>
        <w:t xml:space="preserve">Энэхүү судалгааны зорилго нь Засгийн газраас баталсан аргачлалыг баримтлан </w:t>
      </w:r>
      <w:r w:rsidRPr="00474DE9">
        <w:rPr>
          <w:rFonts w:cs="Arial"/>
          <w:color w:val="000000"/>
          <w:lang w:val="mn-MN"/>
        </w:rPr>
        <w:t>“</w:t>
      </w:r>
      <w:r w:rsidR="00406AB6" w:rsidRPr="00474DE9">
        <w:rPr>
          <w:rFonts w:cs="Arial"/>
          <w:color w:val="000000"/>
          <w:lang w:val="mn-MN"/>
        </w:rPr>
        <w:t xml:space="preserve">Монгол Улсын Шүүхийн тухай хуульд нэмэлт, өөрчлөлт оруулах </w:t>
      </w:r>
      <w:r w:rsidRPr="00474DE9">
        <w:rPr>
          <w:rFonts w:cs="Arial"/>
          <w:color w:val="000000"/>
          <w:lang w:val="mn-MN"/>
        </w:rPr>
        <w:t xml:space="preserve">тухай” хуулийн төсөлд “Хууль тогтоомжийн төслийн үр нөлөөг үнэлэх аргачлал”-ын дагуу үнэлгээ хийж, хуулийн төслийг боловсронгуй болгох санал боловсруулахад оршино. </w:t>
      </w:r>
    </w:p>
    <w:p w14:paraId="61E87A18" w14:textId="77777777" w:rsidR="00FD76F1" w:rsidRPr="00474DE9" w:rsidRDefault="00FD76F1" w:rsidP="00FD76F1">
      <w:pPr>
        <w:jc w:val="both"/>
        <w:rPr>
          <w:rFonts w:cs="Arial"/>
          <w:lang w:val="mn-MN"/>
        </w:rPr>
      </w:pPr>
      <w:r w:rsidRPr="00474DE9">
        <w:rPr>
          <w:rFonts w:cs="Arial"/>
          <w:color w:val="000000"/>
          <w:lang w:val="mn-MN"/>
        </w:rPr>
        <w:t>Түүнчлэн энэхүү судалгаагаар “</w:t>
      </w:r>
      <w:r w:rsidR="00406AB6" w:rsidRPr="00474DE9">
        <w:rPr>
          <w:rFonts w:cs="Arial"/>
          <w:color w:val="000000"/>
          <w:lang w:val="mn-MN"/>
        </w:rPr>
        <w:t>Монгол Улсын Шүүхийн тухай хуульд нэмэлт, өөрчлөлт оруулах тухай</w:t>
      </w:r>
      <w:r w:rsidRPr="00474DE9">
        <w:rPr>
          <w:rFonts w:cs="Arial"/>
          <w:color w:val="000000"/>
          <w:lang w:val="mn-MN"/>
        </w:rPr>
        <w:t xml:space="preserve">” хуулийн төслийн үр нөлөөг үнэлж, уг төслийн давхардал, хийдэл, зөрчлийг арилгах замаар </w:t>
      </w:r>
      <w:r w:rsidR="00F72824" w:rsidRPr="00474DE9">
        <w:rPr>
          <w:rFonts w:cs="Arial"/>
          <w:color w:val="000000"/>
          <w:lang w:val="mn-MN"/>
        </w:rPr>
        <w:t>шүүхийн</w:t>
      </w:r>
      <w:r w:rsidRPr="00474DE9">
        <w:rPr>
          <w:rFonts w:cs="Arial"/>
          <w:color w:val="000000"/>
          <w:lang w:val="mn-MN"/>
        </w:rPr>
        <w:t xml:space="preserve"> эрх зүйн байдал, үйл ажиллагаатай холбогдох зохицуулалтыг боловсронгуй болгохыг зорьсон. Мөн хуулийг хэрэглэхэд ойлгомжтой, хэрэгжих боломжтой байдлаар боловсруулахад хууль санаачлагчид дэмжлэг үзүүлэх, улмаар хуулийн төслийн чанарыг сайжруулахад чиглэсэн зөвлөмж өгөхийг зорилоо.</w:t>
      </w:r>
    </w:p>
    <w:p w14:paraId="2EA0C95B" w14:textId="77777777" w:rsidR="00FD76F1" w:rsidRPr="00474DE9" w:rsidRDefault="00FD76F1" w:rsidP="00FD76F1">
      <w:pPr>
        <w:jc w:val="both"/>
        <w:rPr>
          <w:rFonts w:cs="Arial"/>
          <w:lang w:val="mn-MN"/>
        </w:rPr>
      </w:pPr>
      <w:r w:rsidRPr="00474DE9">
        <w:rPr>
          <w:rFonts w:cs="Arial"/>
          <w:color w:val="000000"/>
          <w:lang w:val="mn-MN"/>
        </w:rPr>
        <w:t>“</w:t>
      </w:r>
      <w:r w:rsidR="00406AB6" w:rsidRPr="00474DE9">
        <w:rPr>
          <w:rFonts w:cs="Arial"/>
          <w:color w:val="000000"/>
          <w:lang w:val="mn-MN"/>
        </w:rPr>
        <w:t>Монгол Улсын Шүүхийн тухай хуульд нэмэлт, өөрчлөлт оруулах тухай</w:t>
      </w:r>
      <w:r w:rsidRPr="00474DE9">
        <w:rPr>
          <w:rFonts w:cs="Arial"/>
          <w:color w:val="000000"/>
          <w:lang w:val="mn-MN"/>
        </w:rPr>
        <w:t>”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дараахь үе шаттайгаар хийлээ. Үүнд:</w:t>
      </w:r>
    </w:p>
    <w:p w14:paraId="69596B58" w14:textId="77777777" w:rsidR="00406AB6" w:rsidRPr="00474DE9" w:rsidRDefault="00FD76F1" w:rsidP="00406AB6">
      <w:pPr>
        <w:pStyle w:val="ListParagraph"/>
        <w:numPr>
          <w:ilvl w:val="0"/>
          <w:numId w:val="6"/>
        </w:numPr>
        <w:jc w:val="both"/>
        <w:rPr>
          <w:rFonts w:ascii="Arial" w:hAnsi="Arial" w:cs="Arial"/>
          <w:sz w:val="24"/>
          <w:szCs w:val="24"/>
          <w:lang w:val="mn-MN"/>
        </w:rPr>
      </w:pPr>
      <w:r w:rsidRPr="00474DE9">
        <w:rPr>
          <w:rFonts w:ascii="Arial" w:hAnsi="Arial" w:cs="Arial"/>
          <w:color w:val="000000"/>
          <w:sz w:val="24"/>
          <w:szCs w:val="24"/>
          <w:lang w:val="mn-MN"/>
        </w:rPr>
        <w:t>Шалгуур үзүүлэлтийг сонгох;</w:t>
      </w:r>
    </w:p>
    <w:p w14:paraId="2677ED28" w14:textId="77777777" w:rsidR="00406AB6" w:rsidRPr="00474DE9" w:rsidRDefault="00FD76F1" w:rsidP="00406AB6">
      <w:pPr>
        <w:pStyle w:val="ListParagraph"/>
        <w:numPr>
          <w:ilvl w:val="0"/>
          <w:numId w:val="6"/>
        </w:numPr>
        <w:jc w:val="both"/>
        <w:rPr>
          <w:rFonts w:ascii="Arial" w:hAnsi="Arial" w:cs="Arial"/>
          <w:sz w:val="24"/>
          <w:szCs w:val="24"/>
          <w:lang w:val="mn-MN"/>
        </w:rPr>
      </w:pPr>
      <w:r w:rsidRPr="00474DE9">
        <w:rPr>
          <w:rFonts w:ascii="Arial" w:hAnsi="Arial" w:cs="Arial"/>
          <w:color w:val="000000"/>
          <w:sz w:val="24"/>
          <w:szCs w:val="24"/>
          <w:lang w:val="mn-MN"/>
        </w:rPr>
        <w:t>Хуулийн төслөөс үр нөлөө тооцох хэсгээ тогтоох;</w:t>
      </w:r>
    </w:p>
    <w:p w14:paraId="61D1D75E" w14:textId="77777777" w:rsidR="00406AB6" w:rsidRPr="00474DE9" w:rsidRDefault="00FD76F1" w:rsidP="00406AB6">
      <w:pPr>
        <w:pStyle w:val="ListParagraph"/>
        <w:numPr>
          <w:ilvl w:val="0"/>
          <w:numId w:val="6"/>
        </w:numPr>
        <w:jc w:val="both"/>
        <w:rPr>
          <w:rFonts w:ascii="Arial" w:hAnsi="Arial" w:cs="Arial"/>
          <w:sz w:val="24"/>
          <w:szCs w:val="24"/>
          <w:lang w:val="mn-MN"/>
        </w:rPr>
      </w:pPr>
      <w:r w:rsidRPr="00474DE9">
        <w:rPr>
          <w:rFonts w:ascii="Arial" w:hAnsi="Arial" w:cs="Arial"/>
          <w:color w:val="000000"/>
          <w:sz w:val="24"/>
          <w:szCs w:val="24"/>
          <w:lang w:val="mn-MN"/>
        </w:rPr>
        <w:t>Урьдчилан сонгосон шалгуур үзүүлэлтэд тохирох шалгах хэрэгслийн дагуу үр нөлөөг тооцох;</w:t>
      </w:r>
    </w:p>
    <w:p w14:paraId="4A40280F" w14:textId="77777777" w:rsidR="00FD76F1" w:rsidRPr="00474DE9" w:rsidRDefault="00FD76F1" w:rsidP="00406AB6">
      <w:pPr>
        <w:pStyle w:val="ListParagraph"/>
        <w:numPr>
          <w:ilvl w:val="0"/>
          <w:numId w:val="6"/>
        </w:numPr>
        <w:jc w:val="both"/>
        <w:rPr>
          <w:rFonts w:ascii="Arial" w:hAnsi="Arial" w:cs="Arial"/>
          <w:sz w:val="24"/>
          <w:szCs w:val="24"/>
          <w:lang w:val="mn-MN"/>
        </w:rPr>
      </w:pPr>
      <w:r w:rsidRPr="00474DE9">
        <w:rPr>
          <w:rFonts w:ascii="Arial" w:hAnsi="Arial" w:cs="Arial"/>
          <w:color w:val="000000"/>
          <w:sz w:val="24"/>
          <w:szCs w:val="24"/>
          <w:lang w:val="mn-MN"/>
        </w:rPr>
        <w:t xml:space="preserve">Үр дүнг үнэлэх, зөвлөмж өгөх. </w:t>
      </w:r>
      <w:r w:rsidRPr="00474DE9">
        <w:rPr>
          <w:rFonts w:ascii="Arial" w:hAnsi="Arial" w:cs="Arial"/>
          <w:color w:val="000000"/>
          <w:sz w:val="24"/>
          <w:szCs w:val="24"/>
          <w:lang w:val="mn-MN"/>
        </w:rPr>
        <w:tab/>
      </w:r>
      <w:r w:rsidRPr="00474DE9">
        <w:rPr>
          <w:rFonts w:ascii="Arial" w:hAnsi="Arial" w:cs="Arial"/>
          <w:lang w:val="mn-MN"/>
        </w:rPr>
        <w:br w:type="page"/>
      </w:r>
    </w:p>
    <w:p w14:paraId="1A4DAB68" w14:textId="77777777" w:rsidR="00FD76F1" w:rsidRPr="00474DE9" w:rsidRDefault="00FD76F1" w:rsidP="00801FFF">
      <w:pPr>
        <w:pStyle w:val="Heading1"/>
        <w:spacing w:after="240"/>
        <w:jc w:val="center"/>
        <w:rPr>
          <w:rFonts w:cs="Arial"/>
          <w:lang w:val="mn-MN"/>
        </w:rPr>
      </w:pPr>
      <w:bookmarkStart w:id="1" w:name="_Toc164632094"/>
      <w:r w:rsidRPr="00474DE9">
        <w:rPr>
          <w:rFonts w:cs="Arial"/>
          <w:lang w:val="mn-MN"/>
        </w:rPr>
        <w:lastRenderedPageBreak/>
        <w:t>НЭГ. ШАЛГУУР ҮЗҮҮЛЭЛТИЙГ СОНГОСОН БАЙДАЛ, ҮНДЭСЛЭЛ</w:t>
      </w:r>
      <w:bookmarkEnd w:id="1"/>
    </w:p>
    <w:p w14:paraId="30B57419" w14:textId="77777777" w:rsidR="00801FFF" w:rsidRPr="00474DE9" w:rsidRDefault="00801FFF" w:rsidP="00801FFF">
      <w:pPr>
        <w:spacing w:before="240"/>
        <w:jc w:val="both"/>
        <w:rPr>
          <w:rFonts w:eastAsiaTheme="majorEastAsia" w:cs="Arial"/>
          <w:color w:val="000000" w:themeColor="text1"/>
          <w:kern w:val="0"/>
          <w:szCs w:val="32"/>
          <w:lang w:val="mn-MN" w:eastAsia="zh-CN"/>
          <w14:ligatures w14:val="none"/>
        </w:rPr>
      </w:pPr>
      <w:r w:rsidRPr="00474DE9">
        <w:rPr>
          <w:rFonts w:eastAsiaTheme="majorEastAsia" w:cs="Arial"/>
          <w:color w:val="000000" w:themeColor="text1"/>
          <w:kern w:val="0"/>
          <w:szCs w:val="32"/>
          <w:lang w:val="mn-MN" w:eastAsia="zh-CN"/>
          <w14:ligatures w14:val="none"/>
        </w:rPr>
        <w:t>Хуулийн төслийн үр нөлөөний судалгааг хийж гүйцэтгэхдээ хуулийн төслийн зорилго, хамрах хүрээ, зохицуулах асуудалтай уялдуулан, аргачлалд дурдсан 6 шалгуураас 4 шалгуур үзүүлэлтийг сонгож төслийн үр нөлөөг үнэллээ. Үүнд:</w:t>
      </w:r>
    </w:p>
    <w:p w14:paraId="3C33A937" w14:textId="77777777" w:rsidR="00801FFF" w:rsidRPr="00474DE9" w:rsidRDefault="00801FFF" w:rsidP="00801FFF">
      <w:pPr>
        <w:pStyle w:val="ListParagraph"/>
        <w:numPr>
          <w:ilvl w:val="0"/>
          <w:numId w:val="7"/>
        </w:numPr>
        <w:spacing w:before="240"/>
        <w:jc w:val="both"/>
        <w:rPr>
          <w:rFonts w:ascii="Arial" w:eastAsiaTheme="majorEastAsia" w:hAnsi="Arial" w:cs="Arial"/>
          <w:color w:val="000000" w:themeColor="text1"/>
          <w:sz w:val="24"/>
          <w:szCs w:val="32"/>
          <w:lang w:val="mn-MN" w:eastAsia="zh-CN"/>
        </w:rPr>
      </w:pPr>
      <w:r w:rsidRPr="00474DE9">
        <w:rPr>
          <w:rFonts w:ascii="Arial" w:eastAsiaTheme="majorEastAsia" w:hAnsi="Arial" w:cs="Arial"/>
          <w:color w:val="000000" w:themeColor="text1"/>
          <w:sz w:val="24"/>
          <w:szCs w:val="32"/>
          <w:lang w:val="mn-MN" w:eastAsia="zh-CN"/>
        </w:rPr>
        <w:t xml:space="preserve">Зорилгод хүрэх байдал   </w:t>
      </w:r>
    </w:p>
    <w:p w14:paraId="24EF7D6C" w14:textId="77777777" w:rsidR="00801FFF" w:rsidRPr="00474DE9" w:rsidRDefault="00801FFF" w:rsidP="00801FFF">
      <w:pPr>
        <w:pStyle w:val="ListParagraph"/>
        <w:numPr>
          <w:ilvl w:val="0"/>
          <w:numId w:val="7"/>
        </w:numPr>
        <w:spacing w:before="240"/>
        <w:jc w:val="both"/>
        <w:rPr>
          <w:rFonts w:ascii="Arial" w:eastAsiaTheme="majorEastAsia" w:hAnsi="Arial" w:cs="Arial"/>
          <w:color w:val="000000" w:themeColor="text1"/>
          <w:sz w:val="24"/>
          <w:szCs w:val="32"/>
          <w:lang w:val="mn-MN" w:eastAsia="zh-CN"/>
        </w:rPr>
      </w:pPr>
      <w:r w:rsidRPr="00474DE9">
        <w:rPr>
          <w:rFonts w:ascii="Arial" w:eastAsiaTheme="majorEastAsia" w:hAnsi="Arial" w:cs="Arial"/>
          <w:color w:val="000000" w:themeColor="text1"/>
          <w:sz w:val="24"/>
          <w:szCs w:val="32"/>
          <w:lang w:val="mn-MN" w:eastAsia="zh-CN"/>
        </w:rPr>
        <w:t>Практикт хэрэгжих байдал</w:t>
      </w:r>
    </w:p>
    <w:p w14:paraId="12AB54EE" w14:textId="77777777" w:rsidR="00801FFF" w:rsidRPr="00474DE9" w:rsidRDefault="00801FFF" w:rsidP="00801FFF">
      <w:pPr>
        <w:pStyle w:val="ListParagraph"/>
        <w:numPr>
          <w:ilvl w:val="0"/>
          <w:numId w:val="7"/>
        </w:numPr>
        <w:spacing w:before="240"/>
        <w:jc w:val="both"/>
        <w:rPr>
          <w:rFonts w:ascii="Arial" w:eastAsiaTheme="majorEastAsia" w:hAnsi="Arial" w:cs="Arial"/>
          <w:color w:val="000000" w:themeColor="text1"/>
          <w:sz w:val="24"/>
          <w:szCs w:val="32"/>
          <w:lang w:val="mn-MN" w:eastAsia="zh-CN"/>
        </w:rPr>
      </w:pPr>
      <w:r w:rsidRPr="00474DE9">
        <w:rPr>
          <w:rFonts w:ascii="Arial" w:eastAsiaTheme="majorEastAsia" w:hAnsi="Arial" w:cs="Arial"/>
          <w:color w:val="000000" w:themeColor="text1"/>
          <w:sz w:val="24"/>
          <w:szCs w:val="32"/>
          <w:lang w:val="mn-MN" w:eastAsia="zh-CN"/>
        </w:rPr>
        <w:t xml:space="preserve">Ойлгомжтой байдал                                               </w:t>
      </w:r>
      <w:r w:rsidRPr="00474DE9">
        <w:rPr>
          <w:rFonts w:ascii="Arial" w:eastAsiaTheme="majorEastAsia" w:hAnsi="Arial" w:cs="Arial"/>
          <w:color w:val="000000" w:themeColor="text1"/>
          <w:sz w:val="24"/>
          <w:szCs w:val="32"/>
          <w:lang w:val="mn-MN" w:eastAsia="zh-CN"/>
        </w:rPr>
        <w:tab/>
      </w:r>
    </w:p>
    <w:p w14:paraId="51E5E6E2" w14:textId="77777777" w:rsidR="00801FFF" w:rsidRPr="00474DE9" w:rsidRDefault="00801FFF" w:rsidP="00801FFF">
      <w:pPr>
        <w:pStyle w:val="ListParagraph"/>
        <w:numPr>
          <w:ilvl w:val="0"/>
          <w:numId w:val="7"/>
        </w:numPr>
        <w:spacing w:before="240"/>
        <w:jc w:val="both"/>
        <w:rPr>
          <w:rFonts w:ascii="Arial" w:eastAsiaTheme="majorEastAsia" w:hAnsi="Arial" w:cs="Arial"/>
          <w:color w:val="000000" w:themeColor="text1"/>
          <w:sz w:val="24"/>
          <w:szCs w:val="32"/>
          <w:lang w:val="mn-MN" w:eastAsia="zh-CN"/>
        </w:rPr>
      </w:pPr>
      <w:r w:rsidRPr="00474DE9">
        <w:rPr>
          <w:rFonts w:ascii="Arial" w:eastAsiaTheme="majorEastAsia" w:hAnsi="Arial" w:cs="Arial"/>
          <w:color w:val="000000" w:themeColor="text1"/>
          <w:sz w:val="24"/>
          <w:szCs w:val="32"/>
          <w:lang w:val="mn-MN" w:eastAsia="zh-CN"/>
        </w:rPr>
        <w:t xml:space="preserve">Харилцан уялдаа зэрэг болно.     </w:t>
      </w:r>
    </w:p>
    <w:p w14:paraId="7BD73D52" w14:textId="77777777" w:rsidR="00801FFF" w:rsidRPr="00474DE9" w:rsidRDefault="00801FFF" w:rsidP="00801FFF">
      <w:pPr>
        <w:spacing w:before="240"/>
        <w:jc w:val="both"/>
        <w:rPr>
          <w:rFonts w:eastAsiaTheme="majorEastAsia" w:cs="Arial"/>
          <w:color w:val="000000" w:themeColor="text1"/>
          <w:kern w:val="0"/>
          <w:szCs w:val="32"/>
          <w:lang w:val="mn-MN" w:eastAsia="zh-CN"/>
          <w14:ligatures w14:val="none"/>
        </w:rPr>
      </w:pPr>
      <w:r w:rsidRPr="00474DE9">
        <w:rPr>
          <w:rFonts w:eastAsiaTheme="majorEastAsia" w:cs="Arial"/>
          <w:color w:val="000000" w:themeColor="text1"/>
          <w:kern w:val="0"/>
          <w:szCs w:val="32"/>
          <w:lang w:val="mn-MN" w:eastAsia="zh-CN"/>
          <w14:ligatures w14:val="none"/>
        </w:rPr>
        <w:t xml:space="preserve">Эдгээр шалгуур үзүүлэлтийг сонгохдоо дараахь үндэслэлийг харгалзан үзсэн. Үүнд: </w:t>
      </w:r>
    </w:p>
    <w:p w14:paraId="0B586F19" w14:textId="77777777" w:rsidR="00CA69E3" w:rsidRPr="00474DE9" w:rsidRDefault="00801FFF" w:rsidP="00CA69E3">
      <w:pPr>
        <w:pStyle w:val="ListParagraph"/>
        <w:numPr>
          <w:ilvl w:val="0"/>
          <w:numId w:val="8"/>
        </w:numPr>
        <w:spacing w:before="240"/>
        <w:jc w:val="both"/>
        <w:rPr>
          <w:rFonts w:ascii="Arial" w:eastAsiaTheme="majorEastAsia" w:hAnsi="Arial" w:cs="Arial"/>
          <w:color w:val="000000" w:themeColor="text1"/>
          <w:sz w:val="24"/>
          <w:szCs w:val="32"/>
          <w:lang w:val="mn-MN" w:eastAsia="zh-CN"/>
        </w:rPr>
      </w:pPr>
      <w:r w:rsidRPr="00474DE9">
        <w:rPr>
          <w:rFonts w:ascii="Arial" w:eastAsiaTheme="majorEastAsia" w:hAnsi="Arial" w:cs="Arial"/>
          <w:color w:val="000000" w:themeColor="text1"/>
          <w:sz w:val="24"/>
          <w:szCs w:val="32"/>
          <w:lang w:val="mn-MN" w:eastAsia="zh-CN"/>
        </w:rPr>
        <w:t>Хуулийн төсөл нь</w:t>
      </w:r>
      <w:r w:rsidR="00CA69E3" w:rsidRPr="00474DE9">
        <w:rPr>
          <w:rFonts w:ascii="Arial" w:eastAsiaTheme="majorEastAsia" w:hAnsi="Arial" w:cs="Arial"/>
          <w:color w:val="000000" w:themeColor="text1"/>
          <w:sz w:val="24"/>
          <w:szCs w:val="32"/>
          <w:lang w:val="mn-MN" w:eastAsia="zh-CN"/>
        </w:rPr>
        <w:t xml:space="preserve"> шүүхийн үйл ажиллагааны нээлттэй, ил тод байдал, шүүхийн хүний нөөцийн хөдөлгөөн, бүрдүүлэлт, цалин, нэмэгдэл, төсөв зэрэг асуудлаар Монгол Улсын шүүхийн тухай хуульд, шүүхийн хэрэг, маргаан хянан шийдвэрлэх ажиллагааг цахим</w:t>
      </w:r>
      <w:r w:rsidR="006C068D" w:rsidRPr="00474DE9">
        <w:rPr>
          <w:rFonts w:ascii="Arial" w:eastAsiaTheme="majorEastAsia" w:hAnsi="Arial" w:cs="Arial"/>
          <w:color w:val="000000" w:themeColor="text1"/>
          <w:sz w:val="24"/>
          <w:szCs w:val="32"/>
          <w:lang w:val="mn-MN" w:eastAsia="zh-CN"/>
        </w:rPr>
        <w:t>аар</w:t>
      </w:r>
      <w:r w:rsidR="00CA69E3" w:rsidRPr="00474DE9">
        <w:rPr>
          <w:rFonts w:ascii="Arial" w:eastAsiaTheme="majorEastAsia" w:hAnsi="Arial" w:cs="Arial"/>
          <w:color w:val="000000" w:themeColor="text1"/>
          <w:sz w:val="24"/>
          <w:szCs w:val="32"/>
          <w:lang w:val="mn-MN" w:eastAsia="zh-CN"/>
        </w:rPr>
        <w:t xml:space="preserve"> үзүүлэхтэй холбоотойгоор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шүүх цахимаар хэрэг хянан шийдвэрлэх ажиллагаа явуулах эрх зүйн орчныг бүрдүүл</w:t>
      </w:r>
      <w:r w:rsidR="006C068D" w:rsidRPr="00474DE9">
        <w:rPr>
          <w:rFonts w:ascii="Arial" w:eastAsiaTheme="majorEastAsia" w:hAnsi="Arial" w:cs="Arial"/>
          <w:color w:val="000000" w:themeColor="text1"/>
          <w:sz w:val="24"/>
          <w:szCs w:val="32"/>
          <w:lang w:val="mn-MN" w:eastAsia="zh-CN"/>
        </w:rPr>
        <w:t>сэн</w:t>
      </w:r>
      <w:r w:rsidRPr="00474DE9">
        <w:rPr>
          <w:rFonts w:ascii="Arial" w:eastAsiaTheme="majorEastAsia" w:hAnsi="Arial" w:cs="Arial"/>
          <w:color w:val="000000" w:themeColor="text1"/>
          <w:sz w:val="24"/>
          <w:szCs w:val="32"/>
          <w:lang w:val="mn-MN" w:eastAsia="zh-CN"/>
        </w:rPr>
        <w:t xml:space="preserve"> эсэх;</w:t>
      </w:r>
    </w:p>
    <w:p w14:paraId="5AAAD2BE" w14:textId="77777777" w:rsidR="00CA69E3" w:rsidRPr="00474DE9" w:rsidRDefault="00801FFF" w:rsidP="00CA69E3">
      <w:pPr>
        <w:pStyle w:val="ListParagraph"/>
        <w:numPr>
          <w:ilvl w:val="0"/>
          <w:numId w:val="8"/>
        </w:numPr>
        <w:spacing w:before="240"/>
        <w:jc w:val="both"/>
        <w:rPr>
          <w:rFonts w:ascii="Arial" w:eastAsiaTheme="majorEastAsia" w:hAnsi="Arial" w:cs="Arial"/>
          <w:color w:val="000000" w:themeColor="text1"/>
          <w:sz w:val="28"/>
          <w:szCs w:val="32"/>
          <w:lang w:val="mn-MN" w:eastAsia="zh-CN"/>
        </w:rPr>
      </w:pPr>
      <w:r w:rsidRPr="00474DE9">
        <w:rPr>
          <w:rFonts w:ascii="Arial" w:eastAsiaTheme="majorEastAsia" w:hAnsi="Arial" w:cs="Arial"/>
          <w:color w:val="000000" w:themeColor="text1"/>
          <w:sz w:val="24"/>
          <w:szCs w:val="32"/>
          <w:lang w:val="mn-MN" w:eastAsia="zh-CN"/>
        </w:rPr>
        <w:t xml:space="preserve">Хуулийн төслөөр </w:t>
      </w:r>
      <w:r w:rsidR="00CA69E3" w:rsidRPr="00474DE9">
        <w:rPr>
          <w:rFonts w:ascii="Arial" w:eastAsiaTheme="majorEastAsia" w:hAnsi="Arial" w:cs="Arial"/>
          <w:color w:val="000000" w:themeColor="text1"/>
          <w:sz w:val="24"/>
          <w:szCs w:val="32"/>
          <w:lang w:val="mn-MN" w:eastAsia="zh-CN"/>
        </w:rPr>
        <w:t xml:space="preserve">шүүхэд хэрэг хянан шийдвэрлэх ажиллагаа цахим хэлбэрт шилжсэнээр зарим хэрэг, маргааныг богино хугацаанд хянан шийдвэрлэх замаар хүний эрх, эрх чөлөө хамгаалагдаж, шүүхийн үйлчилгээний чанар, хүртээмж дээшилж, иргэд цаг хугацаа, орон зайнаас үл хамааран үйлчилгээг шат дамжлагагүй, шуурхай авах </w:t>
      </w:r>
      <w:r w:rsidRPr="00474DE9">
        <w:rPr>
          <w:rFonts w:ascii="Arial" w:eastAsiaTheme="majorEastAsia" w:hAnsi="Arial" w:cs="Arial"/>
          <w:color w:val="000000" w:themeColor="text1"/>
          <w:sz w:val="24"/>
          <w:szCs w:val="32"/>
          <w:lang w:val="mn-MN" w:eastAsia="zh-CN"/>
        </w:rPr>
        <w:t>зохицуулалт практикт хэрэгжих эсэх;</w:t>
      </w:r>
    </w:p>
    <w:p w14:paraId="6663B9DC" w14:textId="77777777" w:rsidR="00CA69E3" w:rsidRPr="00474DE9" w:rsidRDefault="00801FFF" w:rsidP="00CA69E3">
      <w:pPr>
        <w:pStyle w:val="ListParagraph"/>
        <w:numPr>
          <w:ilvl w:val="0"/>
          <w:numId w:val="8"/>
        </w:numPr>
        <w:spacing w:before="240"/>
        <w:jc w:val="both"/>
        <w:rPr>
          <w:rFonts w:ascii="Arial" w:eastAsiaTheme="majorEastAsia" w:hAnsi="Arial" w:cs="Arial"/>
          <w:color w:val="000000" w:themeColor="text1"/>
          <w:sz w:val="32"/>
          <w:szCs w:val="32"/>
          <w:lang w:val="mn-MN" w:eastAsia="zh-CN"/>
        </w:rPr>
      </w:pPr>
      <w:r w:rsidRPr="00474DE9">
        <w:rPr>
          <w:rFonts w:ascii="Arial" w:eastAsiaTheme="majorEastAsia" w:hAnsi="Arial" w:cs="Arial"/>
          <w:color w:val="000000" w:themeColor="text1"/>
          <w:sz w:val="24"/>
          <w:szCs w:val="32"/>
          <w:lang w:val="mn-MN" w:eastAsia="zh-CN"/>
        </w:rPr>
        <w:t>Хуулийн төсөлд тусгагдсан зохицуулалтуудыг хэрэглэх, хэрэгжүүлэх субъектүүдийн хувьд ойлгомжтой, логик уялдаатай боловсруулагдсан эсэх;</w:t>
      </w:r>
    </w:p>
    <w:p w14:paraId="1ADE09E9" w14:textId="77777777" w:rsidR="00801FFF" w:rsidRPr="00474DE9" w:rsidRDefault="00801FFF" w:rsidP="00CA69E3">
      <w:pPr>
        <w:pStyle w:val="ListParagraph"/>
        <w:numPr>
          <w:ilvl w:val="0"/>
          <w:numId w:val="8"/>
        </w:numPr>
        <w:spacing w:before="240"/>
        <w:jc w:val="both"/>
        <w:rPr>
          <w:rFonts w:ascii="Arial" w:eastAsiaTheme="majorEastAsia" w:hAnsi="Arial" w:cs="Arial"/>
          <w:color w:val="000000" w:themeColor="text1"/>
          <w:sz w:val="36"/>
          <w:szCs w:val="32"/>
          <w:lang w:val="mn-MN" w:eastAsia="zh-CN"/>
        </w:rPr>
      </w:pPr>
      <w:r w:rsidRPr="00474DE9">
        <w:rPr>
          <w:rFonts w:ascii="Arial" w:eastAsiaTheme="majorEastAsia" w:hAnsi="Arial" w:cs="Arial"/>
          <w:color w:val="000000" w:themeColor="text1"/>
          <w:sz w:val="24"/>
          <w:szCs w:val="32"/>
          <w:lang w:val="mn-MN" w:eastAsia="zh-CN"/>
        </w:rPr>
        <w:t>Хуулийн төслийн 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эсэх зэргийг тус тусад нь шалгана.</w:t>
      </w:r>
    </w:p>
    <w:p w14:paraId="532EF314" w14:textId="77777777" w:rsidR="00801FFF" w:rsidRPr="00474DE9" w:rsidRDefault="00801FFF">
      <w:pPr>
        <w:jc w:val="both"/>
        <w:rPr>
          <w:rFonts w:eastAsiaTheme="majorEastAsia" w:cs="Arial"/>
          <w:color w:val="000000" w:themeColor="text1"/>
          <w:kern w:val="0"/>
          <w:szCs w:val="32"/>
          <w:lang w:val="mn-MN" w:eastAsia="zh-CN"/>
          <w14:ligatures w14:val="none"/>
        </w:rPr>
      </w:pPr>
      <w:r w:rsidRPr="00474DE9">
        <w:rPr>
          <w:rFonts w:eastAsiaTheme="majorEastAsia" w:cs="Arial"/>
          <w:color w:val="000000" w:themeColor="text1"/>
          <w:kern w:val="0"/>
          <w:szCs w:val="32"/>
          <w:lang w:val="mn-MN" w:eastAsia="zh-CN"/>
          <w14:ligatures w14:val="none"/>
        </w:rPr>
        <w:br w:type="page"/>
      </w:r>
    </w:p>
    <w:p w14:paraId="4B303263" w14:textId="77777777" w:rsidR="00FD76F1" w:rsidRPr="00474DE9" w:rsidRDefault="00FD76F1" w:rsidP="00FD76F1">
      <w:pPr>
        <w:pStyle w:val="Heading1"/>
        <w:jc w:val="center"/>
        <w:rPr>
          <w:rFonts w:cs="Arial"/>
          <w:lang w:val="mn-MN"/>
        </w:rPr>
      </w:pPr>
      <w:bookmarkStart w:id="2" w:name="_Toc164632095"/>
      <w:r w:rsidRPr="00474DE9">
        <w:rPr>
          <w:rFonts w:cs="Arial"/>
          <w:lang w:val="mn-MN"/>
        </w:rPr>
        <w:lastRenderedPageBreak/>
        <w:t>ХОЁР. ХУУЛИЙН ТӨСЛӨӨС ҮР НӨЛӨӨГ НЬ ТООЦОХ ХЭСГЭЭ ТОГТООСОН БАЙДАЛ</w:t>
      </w:r>
      <w:bookmarkEnd w:id="2"/>
    </w:p>
    <w:p w14:paraId="1309DDEE" w14:textId="77777777" w:rsidR="00CA69E3" w:rsidRPr="00474DE9" w:rsidRDefault="00CA69E3" w:rsidP="00CA69E3">
      <w:pPr>
        <w:spacing w:before="240"/>
        <w:jc w:val="both"/>
        <w:rPr>
          <w:rFonts w:cs="Arial"/>
          <w:lang w:val="mn-MN"/>
        </w:rPr>
      </w:pPr>
      <w:r w:rsidRPr="00474DE9">
        <w:rPr>
          <w:rFonts w:cs="Arial"/>
          <w:lang w:val="mn-MN"/>
        </w:rPr>
        <w:t xml:space="preserve">Энэхүү хэсэгт уг хуулийн төслөөс үр нөлөөг нь үнэлэх хэсгээ тогтоож, шалгуур үзүүлэлтийн хүрээнд холбогдох зүйл, заалтыг сонгов. Эдгээр зүйл, заалтыг сонгохдоо хууль зүйн хувьд шууд үр дагавар үүсгэж байгаа голлох ач холбогдол бүхий заалтуудыг сонгож авсан. Өөрөөр хэлбэл тус хуулийн төслийн үр нөлөөг үнэлэхдээ цаг хугацаа, зардал хэмнэх үүднээс хуулийн төслөөс шинэлэг зохицуулалт бий болгож буй, голлох ач холбогдол бүхий заалтыг сонгож, тухайн сонгосон зүйл, заалтын үр нөлөөг судаллаа. </w:t>
      </w:r>
    </w:p>
    <w:p w14:paraId="7C939E64" w14:textId="77777777" w:rsidR="00CA69E3" w:rsidRPr="00474DE9" w:rsidRDefault="00CA69E3" w:rsidP="00CA69E3">
      <w:pPr>
        <w:jc w:val="both"/>
        <w:rPr>
          <w:rFonts w:cs="Arial"/>
          <w:lang w:val="mn-MN"/>
        </w:rPr>
      </w:pPr>
      <w:r w:rsidRPr="00474DE9">
        <w:rPr>
          <w:rFonts w:cs="Arial"/>
          <w:lang w:val="mn-MN"/>
        </w:rPr>
        <w:t>Ингээд сонгосон шалгуур үзүүлэлтийн дагуу хуулийн төслөөс үр нөлөөг нь тооцох хэсгээ тогтоосон байдлыг шалгуур үзүүлэлт тус бүрийн дагуу авч үзье.</w:t>
      </w:r>
    </w:p>
    <w:p w14:paraId="4630659A" w14:textId="77777777" w:rsidR="00CA69E3" w:rsidRPr="00474DE9" w:rsidRDefault="00CA69E3" w:rsidP="00CA69E3">
      <w:pPr>
        <w:pStyle w:val="Heading2"/>
        <w:spacing w:after="240"/>
        <w:rPr>
          <w:lang w:val="mn-MN"/>
        </w:rPr>
      </w:pPr>
      <w:bookmarkStart w:id="3" w:name="_heading=h.1t3h5sf" w:colFirst="0" w:colLast="0"/>
      <w:bookmarkStart w:id="4" w:name="_Toc164632096"/>
      <w:bookmarkEnd w:id="3"/>
      <w:r w:rsidRPr="00474DE9">
        <w:rPr>
          <w:lang w:val="mn-MN"/>
        </w:rPr>
        <w:t>2.1. “Зорилгод хүрэх байдал” шалгуур үзүүлэлтийн хүрээнд хуулийн төслөөс үр нөлөөг нь тооцох хэсгээ тогтоосон байдал:</w:t>
      </w:r>
      <w:bookmarkEnd w:id="4"/>
    </w:p>
    <w:p w14:paraId="49B6A7C7" w14:textId="77777777" w:rsidR="00B071C3" w:rsidRPr="00474DE9" w:rsidRDefault="00CA69E3" w:rsidP="00B071C3">
      <w:pPr>
        <w:jc w:val="both"/>
        <w:rPr>
          <w:rFonts w:cs="Arial"/>
          <w:color w:val="000000"/>
          <w:lang w:val="mn-MN"/>
        </w:rPr>
      </w:pPr>
      <w:r w:rsidRPr="00474DE9">
        <w:rPr>
          <w:rFonts w:cs="Arial"/>
          <w:lang w:val="mn-MN"/>
        </w:rPr>
        <w:t xml:space="preserve"> Тус хуулийн төслийг </w:t>
      </w:r>
      <w:r w:rsidR="00B071C3" w:rsidRPr="00474DE9">
        <w:rPr>
          <w:rFonts w:cs="Arial"/>
          <w:lang w:val="mn-MN"/>
        </w:rPr>
        <w:t>шүүхийн үйл ажиллагааны нээлттэй, ил тод байдал, шүүхийн хүний нөөцийн хөдөлгөөн, бүрдүүлэлт, цалин, нэмэгдэл, төсөв зэрэг асуудлаар Монгол Улсын шүүхийн тухай хуульд, шүүхийн хэрэг, маргаан хянан шийдвэрлэх ажиллагааг цахим</w:t>
      </w:r>
      <w:r w:rsidR="006C068D" w:rsidRPr="00474DE9">
        <w:rPr>
          <w:rFonts w:cs="Arial"/>
          <w:lang w:val="mn-MN"/>
        </w:rPr>
        <w:t>аар</w:t>
      </w:r>
      <w:r w:rsidR="00B071C3" w:rsidRPr="00474DE9">
        <w:rPr>
          <w:rFonts w:cs="Arial"/>
          <w:lang w:val="mn-MN"/>
        </w:rPr>
        <w:t xml:space="preserve"> үзүүлэхтэй холбоотойгоор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шүүх цахимаар хэрэг хянан шийдвэрлэх ажиллагаа явуулах эрх зүйн орчныг бүрдүүлэх</w:t>
      </w:r>
      <w:r w:rsidRPr="00474DE9">
        <w:rPr>
          <w:rFonts w:cs="Arial"/>
          <w:lang w:val="mn-MN"/>
        </w:rPr>
        <w:t xml:space="preserve"> зорилгын хүрээнд боловсруулсан</w:t>
      </w:r>
      <w:r w:rsidRPr="00474DE9">
        <w:rPr>
          <w:rFonts w:cs="Arial"/>
          <w:vertAlign w:val="superscript"/>
          <w:lang w:val="mn-MN"/>
        </w:rPr>
        <w:footnoteReference w:id="2"/>
      </w:r>
      <w:r w:rsidRPr="00474DE9">
        <w:rPr>
          <w:rFonts w:cs="Arial"/>
          <w:lang w:val="mn-MN"/>
        </w:rPr>
        <w:t xml:space="preserve"> бөгөөд </w:t>
      </w:r>
      <w:r w:rsidR="00B071C3" w:rsidRPr="00474DE9">
        <w:rPr>
          <w:rFonts w:cs="Arial"/>
          <w:lang w:val="mn-MN"/>
        </w:rPr>
        <w:t xml:space="preserve">энэ хүрээнд Монгол Улсын </w:t>
      </w:r>
      <w:r w:rsidR="006C068D" w:rsidRPr="00474DE9">
        <w:rPr>
          <w:rFonts w:cs="Arial"/>
          <w:lang w:val="mn-MN"/>
        </w:rPr>
        <w:t>ш</w:t>
      </w:r>
      <w:r w:rsidR="00B071C3" w:rsidRPr="00474DE9">
        <w:rPr>
          <w:rFonts w:cs="Arial"/>
          <w:lang w:val="mn-MN"/>
        </w:rPr>
        <w:t>үүхийн тухай хуулийн холбогдох зүйл, заалт, хэсэгт нэмэлт, өөрчлөлтүүдийг</w:t>
      </w:r>
      <w:r w:rsidRPr="00474DE9">
        <w:rPr>
          <w:rFonts w:cs="Arial"/>
          <w:color w:val="000000"/>
          <w:lang w:val="mn-MN"/>
        </w:rPr>
        <w:t xml:space="preserve"> тусгасан бай</w:t>
      </w:r>
      <w:r w:rsidR="00B071C3" w:rsidRPr="00474DE9">
        <w:rPr>
          <w:rFonts w:cs="Arial"/>
          <w:color w:val="000000"/>
          <w:lang w:val="mn-MN"/>
        </w:rPr>
        <w:t>на</w:t>
      </w:r>
      <w:r w:rsidRPr="00474DE9">
        <w:rPr>
          <w:rFonts w:cs="Arial"/>
          <w:color w:val="000000"/>
          <w:lang w:val="mn-MN"/>
        </w:rPr>
        <w:t>.</w:t>
      </w:r>
    </w:p>
    <w:p w14:paraId="7F4F472B" w14:textId="77777777" w:rsidR="00CA69E3" w:rsidRPr="00474DE9" w:rsidRDefault="00B071C3" w:rsidP="00CA69E3">
      <w:pPr>
        <w:jc w:val="both"/>
        <w:rPr>
          <w:rFonts w:cs="Arial"/>
          <w:lang w:val="mn-MN"/>
        </w:rPr>
      </w:pPr>
      <w:r w:rsidRPr="00474DE9">
        <w:rPr>
          <w:rFonts w:cs="Arial"/>
          <w:color w:val="000000"/>
          <w:lang w:val="mn-MN"/>
        </w:rPr>
        <w:t xml:space="preserve">Монгол Улсын </w:t>
      </w:r>
      <w:r w:rsidR="006C068D" w:rsidRPr="00474DE9">
        <w:rPr>
          <w:rFonts w:cs="Arial"/>
          <w:color w:val="000000"/>
          <w:lang w:val="mn-MN"/>
        </w:rPr>
        <w:t>ш</w:t>
      </w:r>
      <w:r w:rsidRPr="00474DE9">
        <w:rPr>
          <w:rFonts w:cs="Arial"/>
          <w:color w:val="000000"/>
          <w:lang w:val="mn-MN"/>
        </w:rPr>
        <w:t>үүхийн тухай хуульд нэмэлт, өөрчлөлт оруулах тухай хуулийн төслөөр хэд хэдэн асуудлуудыг зэрэг хөндсөн боловч энэхүү үр нөлөөний судалгааны “Зорилгод хүрэх байдал” шалгуур үзүүлэлтийн хүрээнд 1) Шүүхийн сургалт, судалгаа, мэдээллийн хүрээлэн</w:t>
      </w:r>
      <w:r w:rsidR="009A40DC" w:rsidRPr="00474DE9">
        <w:rPr>
          <w:rFonts w:cs="Arial"/>
          <w:color w:val="000000"/>
          <w:lang w:val="mn-MN"/>
        </w:rPr>
        <w:t xml:space="preserve"> (цаашид “ШССМХ” гэх)-</w:t>
      </w:r>
      <w:r w:rsidRPr="00474DE9">
        <w:rPr>
          <w:rFonts w:cs="Arial"/>
          <w:color w:val="000000"/>
          <w:lang w:val="mn-MN"/>
        </w:rPr>
        <w:t xml:space="preserve">г “Шүүхийн сургалт, судалгаа, мэдээллийн академи” болгож өөрчлөх; 2) Шүүхийн ил тод, нээлттэй байдлыг нэмэгдүүлэх талаарх хуулийн нэмэлт, өөрчлөлтийн хэсэгт </w:t>
      </w:r>
      <w:r w:rsidR="00CA69E3" w:rsidRPr="00474DE9">
        <w:rPr>
          <w:rFonts w:cs="Arial"/>
          <w:lang w:val="mn-MN"/>
        </w:rPr>
        <w:t xml:space="preserve">үр нөлөөг нь тооцлоо. </w:t>
      </w:r>
    </w:p>
    <w:tbl>
      <w:tblPr>
        <w:tblW w:w="91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3756"/>
        <w:gridCol w:w="4908"/>
      </w:tblGrid>
      <w:tr w:rsidR="00CA69E3" w:rsidRPr="00474DE9" w14:paraId="0BDC57C1" w14:textId="77777777" w:rsidTr="0019779A">
        <w:tc>
          <w:tcPr>
            <w:tcW w:w="529" w:type="dxa"/>
          </w:tcPr>
          <w:p w14:paraId="1F6A4092" w14:textId="77777777" w:rsidR="00CA69E3" w:rsidRPr="00474DE9" w:rsidRDefault="00B071C3" w:rsidP="00B071C3">
            <w:pPr>
              <w:ind w:firstLine="0"/>
              <w:jc w:val="center"/>
              <w:rPr>
                <w:rFonts w:cs="Arial"/>
                <w:b/>
                <w:lang w:val="mn-MN"/>
              </w:rPr>
            </w:pPr>
            <w:r w:rsidRPr="00474DE9">
              <w:rPr>
                <w:rFonts w:cs="Arial"/>
                <w:b/>
                <w:lang w:val="mn-MN"/>
              </w:rPr>
              <w:t>№</w:t>
            </w:r>
          </w:p>
        </w:tc>
        <w:tc>
          <w:tcPr>
            <w:tcW w:w="3756" w:type="dxa"/>
          </w:tcPr>
          <w:p w14:paraId="4A3BF5EF" w14:textId="77777777" w:rsidR="00CA69E3" w:rsidRPr="00474DE9" w:rsidRDefault="00CA69E3" w:rsidP="00B071C3">
            <w:pPr>
              <w:spacing w:before="240"/>
              <w:jc w:val="both"/>
              <w:rPr>
                <w:rFonts w:cs="Arial"/>
                <w:b/>
                <w:lang w:val="mn-MN"/>
              </w:rPr>
            </w:pPr>
            <w:r w:rsidRPr="00474DE9">
              <w:rPr>
                <w:rFonts w:cs="Arial"/>
                <w:b/>
                <w:lang w:val="mn-MN"/>
              </w:rPr>
              <w:t xml:space="preserve">Зорилгод хүрэх байдал  </w:t>
            </w:r>
          </w:p>
        </w:tc>
        <w:tc>
          <w:tcPr>
            <w:tcW w:w="4908" w:type="dxa"/>
          </w:tcPr>
          <w:p w14:paraId="7956A3F1" w14:textId="77777777" w:rsidR="00CA69E3" w:rsidRPr="00474DE9" w:rsidRDefault="00CA69E3" w:rsidP="00B071C3">
            <w:pPr>
              <w:spacing w:before="240"/>
              <w:jc w:val="both"/>
              <w:rPr>
                <w:rFonts w:cs="Arial"/>
                <w:b/>
                <w:lang w:val="mn-MN"/>
              </w:rPr>
            </w:pPr>
            <w:r w:rsidRPr="00474DE9">
              <w:rPr>
                <w:rFonts w:cs="Arial"/>
                <w:b/>
                <w:lang w:val="mn-MN"/>
              </w:rPr>
              <w:t xml:space="preserve">Сонгосон зүйл, заалт </w:t>
            </w:r>
          </w:p>
        </w:tc>
      </w:tr>
      <w:tr w:rsidR="00CA69E3" w:rsidRPr="00474DE9" w14:paraId="125D1E3B" w14:textId="77777777" w:rsidTr="0019779A">
        <w:tc>
          <w:tcPr>
            <w:tcW w:w="529" w:type="dxa"/>
          </w:tcPr>
          <w:p w14:paraId="1F1F3CB0" w14:textId="77777777" w:rsidR="00CA69E3" w:rsidRPr="00474DE9" w:rsidRDefault="00CA69E3" w:rsidP="00CF5CD5">
            <w:pPr>
              <w:ind w:firstLine="0"/>
              <w:jc w:val="center"/>
              <w:rPr>
                <w:rFonts w:cs="Arial"/>
                <w:lang w:val="mn-MN"/>
              </w:rPr>
            </w:pPr>
            <w:r w:rsidRPr="00474DE9">
              <w:rPr>
                <w:rFonts w:cs="Arial"/>
                <w:lang w:val="mn-MN"/>
              </w:rPr>
              <w:t>1</w:t>
            </w:r>
            <w:r w:rsidR="00B071C3" w:rsidRPr="00474DE9">
              <w:rPr>
                <w:rFonts w:cs="Arial"/>
                <w:lang w:val="mn-MN"/>
              </w:rPr>
              <w:t>.</w:t>
            </w:r>
          </w:p>
        </w:tc>
        <w:tc>
          <w:tcPr>
            <w:tcW w:w="3756" w:type="dxa"/>
          </w:tcPr>
          <w:p w14:paraId="0C6800E9" w14:textId="77777777" w:rsidR="00CA69E3" w:rsidRPr="00474DE9" w:rsidRDefault="00CF5CD5" w:rsidP="00CF5CD5">
            <w:pPr>
              <w:ind w:firstLine="0"/>
              <w:jc w:val="both"/>
              <w:rPr>
                <w:rFonts w:cs="Arial"/>
                <w:lang w:val="mn-MN"/>
              </w:rPr>
            </w:pPr>
            <w:r w:rsidRPr="00474DE9">
              <w:rPr>
                <w:rFonts w:cs="Arial"/>
                <w:color w:val="000000"/>
                <w:lang w:val="mn-MN"/>
              </w:rPr>
              <w:t>Шүүхийн сургалт, судалгаа, мэдээллийн хүрээлэнг “Шүүхийн сургалт, судалгаа, мэдээллийн академи” болгож өөрчлөх</w:t>
            </w:r>
          </w:p>
        </w:tc>
        <w:tc>
          <w:tcPr>
            <w:tcW w:w="4908" w:type="dxa"/>
          </w:tcPr>
          <w:p w14:paraId="0CF79D60" w14:textId="77777777" w:rsidR="00CA69E3" w:rsidRPr="00474DE9" w:rsidRDefault="00CA69E3" w:rsidP="00CF5CD5">
            <w:pPr>
              <w:ind w:firstLine="0"/>
              <w:jc w:val="both"/>
              <w:rPr>
                <w:rFonts w:cs="Arial"/>
                <w:lang w:val="mn-MN"/>
              </w:rPr>
            </w:pPr>
            <w:r w:rsidRPr="00474DE9">
              <w:rPr>
                <w:rFonts w:cs="Arial"/>
                <w:lang w:val="mn-MN"/>
              </w:rPr>
              <w:t xml:space="preserve">Хуулийн төслийн </w:t>
            </w:r>
            <w:r w:rsidR="00CF5CD5" w:rsidRPr="00474DE9">
              <w:rPr>
                <w:rFonts w:cs="Arial"/>
                <w:szCs w:val="24"/>
                <w:lang w:val="mn-MN"/>
              </w:rPr>
              <w:t>24 дүгээр зүйлийн 24.1, 24.2, 24.5, 24.6 дахь хэсэг</w:t>
            </w:r>
          </w:p>
        </w:tc>
      </w:tr>
      <w:tr w:rsidR="00CA69E3" w:rsidRPr="00474DE9" w14:paraId="3ACB7EA4" w14:textId="77777777" w:rsidTr="0019779A">
        <w:tc>
          <w:tcPr>
            <w:tcW w:w="529" w:type="dxa"/>
          </w:tcPr>
          <w:p w14:paraId="195D734F" w14:textId="77777777" w:rsidR="00CA69E3" w:rsidRPr="00474DE9" w:rsidRDefault="00CA69E3" w:rsidP="00CF5CD5">
            <w:pPr>
              <w:ind w:firstLine="0"/>
              <w:jc w:val="center"/>
              <w:rPr>
                <w:rFonts w:cs="Arial"/>
                <w:lang w:val="mn-MN"/>
              </w:rPr>
            </w:pPr>
            <w:r w:rsidRPr="00474DE9">
              <w:rPr>
                <w:rFonts w:cs="Arial"/>
                <w:lang w:val="mn-MN"/>
              </w:rPr>
              <w:lastRenderedPageBreak/>
              <w:t>2</w:t>
            </w:r>
            <w:r w:rsidR="00CF5CD5" w:rsidRPr="00474DE9">
              <w:rPr>
                <w:rFonts w:cs="Arial"/>
                <w:lang w:val="mn-MN"/>
              </w:rPr>
              <w:t>.</w:t>
            </w:r>
          </w:p>
        </w:tc>
        <w:tc>
          <w:tcPr>
            <w:tcW w:w="3756" w:type="dxa"/>
          </w:tcPr>
          <w:p w14:paraId="311D682E" w14:textId="77777777" w:rsidR="00CA69E3" w:rsidRPr="00474DE9" w:rsidRDefault="00CF5CD5" w:rsidP="00CF5CD5">
            <w:pPr>
              <w:ind w:firstLine="0"/>
              <w:jc w:val="both"/>
              <w:rPr>
                <w:rFonts w:cs="Arial"/>
                <w:lang w:val="mn-MN"/>
              </w:rPr>
            </w:pPr>
            <w:r w:rsidRPr="00474DE9">
              <w:rPr>
                <w:rFonts w:cs="Arial"/>
                <w:color w:val="000000"/>
                <w:lang w:val="mn-MN"/>
              </w:rPr>
              <w:t>Шүүхийн ил тод, нээлттэй байдлыг нэмэгдүүлэх</w:t>
            </w:r>
          </w:p>
        </w:tc>
        <w:tc>
          <w:tcPr>
            <w:tcW w:w="4908" w:type="dxa"/>
          </w:tcPr>
          <w:p w14:paraId="50327551" w14:textId="77777777" w:rsidR="00CA69E3" w:rsidRPr="00474DE9" w:rsidRDefault="00CA69E3" w:rsidP="00CF5CD5">
            <w:pPr>
              <w:ind w:firstLine="0"/>
              <w:jc w:val="both"/>
              <w:rPr>
                <w:rFonts w:cs="Arial"/>
                <w:lang w:val="mn-MN"/>
              </w:rPr>
            </w:pPr>
            <w:r w:rsidRPr="00474DE9">
              <w:rPr>
                <w:rFonts w:cs="Arial"/>
                <w:lang w:val="mn-MN"/>
              </w:rPr>
              <w:t xml:space="preserve">Хуулийн төслийн </w:t>
            </w:r>
            <w:r w:rsidR="00CF5CD5" w:rsidRPr="00474DE9">
              <w:rPr>
                <w:rFonts w:cs="Arial"/>
                <w:lang w:val="mn-MN"/>
              </w:rPr>
              <w:t xml:space="preserve">12 дугаар зүйлийн </w:t>
            </w:r>
            <w:r w:rsidR="00894B52" w:rsidRPr="00474DE9">
              <w:rPr>
                <w:rFonts w:cs="Arial"/>
                <w:lang w:val="mn-MN"/>
              </w:rPr>
              <w:t>12.1, 12.2, 12.5, 12.6, 12.7, 12.10, 12.12, 12.16, 12.17, 12.18</w:t>
            </w:r>
          </w:p>
        </w:tc>
      </w:tr>
    </w:tbl>
    <w:p w14:paraId="2BC627BB" w14:textId="77777777" w:rsidR="00CA69E3" w:rsidRPr="00474DE9" w:rsidRDefault="00CA69E3" w:rsidP="00CA69E3">
      <w:pPr>
        <w:rPr>
          <w:rFonts w:cs="Arial"/>
          <w:lang w:val="mn-MN"/>
        </w:rPr>
      </w:pPr>
    </w:p>
    <w:p w14:paraId="6BEEF5B7" w14:textId="77777777" w:rsidR="00CA69E3" w:rsidRPr="00474DE9" w:rsidRDefault="00CA69E3" w:rsidP="00894B52">
      <w:pPr>
        <w:pStyle w:val="Heading2"/>
        <w:spacing w:after="240"/>
        <w:rPr>
          <w:color w:val="FF0000"/>
          <w:lang w:val="mn-MN"/>
        </w:rPr>
      </w:pPr>
      <w:bookmarkStart w:id="5" w:name="_heading=h.4d34og8" w:colFirst="0" w:colLast="0"/>
      <w:bookmarkStart w:id="6" w:name="_Toc164632097"/>
      <w:bookmarkEnd w:id="5"/>
      <w:r w:rsidRPr="00474DE9">
        <w:rPr>
          <w:lang w:val="mn-MN"/>
        </w:rPr>
        <w:t>2.2. “Практикт хэрэгжих боломж” шалгуур үзүүлэлтийн хүрээнд хуулийн төслөөс үр нөлөөг нь тооцох хэсгээ тогтоосон байдал:</w:t>
      </w:r>
      <w:bookmarkEnd w:id="6"/>
    </w:p>
    <w:p w14:paraId="495563F1" w14:textId="77777777" w:rsidR="00CA69E3" w:rsidRPr="00474DE9" w:rsidRDefault="00CA69E3" w:rsidP="00894B52">
      <w:pPr>
        <w:jc w:val="both"/>
        <w:rPr>
          <w:rFonts w:cs="Arial"/>
          <w:lang w:val="mn-MN"/>
        </w:rPr>
      </w:pPr>
      <w:r w:rsidRPr="00474DE9">
        <w:rPr>
          <w:rFonts w:cs="Arial"/>
          <w:lang w:val="mn-MN"/>
        </w:rPr>
        <w:t xml:space="preserve">Практикт хэрэгжих байдал гэсэн шалгуур үзүүлэлтийн хүрээнд </w:t>
      </w:r>
      <w:r w:rsidRPr="00474DE9">
        <w:rPr>
          <w:rFonts w:cs="Arial"/>
          <w:color w:val="000000"/>
          <w:lang w:val="mn-MN"/>
        </w:rPr>
        <w:t xml:space="preserve">хуулийн төслөөр </w:t>
      </w:r>
      <w:r w:rsidR="005E6DDA" w:rsidRPr="00474DE9">
        <w:rPr>
          <w:rFonts w:cs="Arial"/>
          <w:color w:val="000000"/>
          <w:lang w:val="mn-MN"/>
        </w:rPr>
        <w:t>шүүхийн үйл ажиллагааны нээлттэй, ил тод байдлыг тодорхой болгохоос гадна шүүхэд хэрэг хянан шийдвэрлэх ажиллагааг цахимаар явуулах эрх зүйн орчныг бүрдүүлэх</w:t>
      </w:r>
      <w:r w:rsidRPr="00474DE9">
        <w:rPr>
          <w:rFonts w:cs="Arial"/>
          <w:lang w:val="mn-MN"/>
        </w:rPr>
        <w:t xml:space="preserve"> зохицуулалтыг сонгон “Практикт хэрэгжих байдал”-ын үр нөлөөг нь тооцсон болно. Сонгосон зүйл заалтуудыг хүснэгтээр үзүүлбэл:</w:t>
      </w:r>
    </w:p>
    <w:tbl>
      <w:tblPr>
        <w:tblW w:w="910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2"/>
        <w:gridCol w:w="6463"/>
      </w:tblGrid>
      <w:tr w:rsidR="00C34E66" w:rsidRPr="00474DE9" w14:paraId="5F4BC78C" w14:textId="77777777" w:rsidTr="0019779A">
        <w:tc>
          <w:tcPr>
            <w:tcW w:w="2642" w:type="dxa"/>
            <w:tcMar>
              <w:top w:w="100" w:type="dxa"/>
              <w:left w:w="100" w:type="dxa"/>
              <w:bottom w:w="100" w:type="dxa"/>
              <w:right w:w="100" w:type="dxa"/>
            </w:tcMar>
          </w:tcPr>
          <w:p w14:paraId="6BE7F522" w14:textId="77777777" w:rsidR="00C34E66" w:rsidRPr="00474DE9" w:rsidRDefault="00C34E66" w:rsidP="00CD08F5">
            <w:pPr>
              <w:widowControl w:val="0"/>
              <w:rPr>
                <w:b/>
                <w:lang w:val="mn-MN"/>
              </w:rPr>
            </w:pPr>
            <w:bookmarkStart w:id="7" w:name="_heading=h.2s8eyo1" w:colFirst="0" w:colLast="0"/>
            <w:bookmarkEnd w:id="7"/>
            <w:r w:rsidRPr="00474DE9">
              <w:rPr>
                <w:b/>
                <w:lang w:val="mn-MN"/>
              </w:rPr>
              <w:t>Практикт хэрэгжих боломж</w:t>
            </w:r>
          </w:p>
        </w:tc>
        <w:tc>
          <w:tcPr>
            <w:tcW w:w="6463" w:type="dxa"/>
            <w:tcMar>
              <w:top w:w="100" w:type="dxa"/>
              <w:left w:w="100" w:type="dxa"/>
              <w:bottom w:w="100" w:type="dxa"/>
              <w:right w:w="100" w:type="dxa"/>
            </w:tcMar>
          </w:tcPr>
          <w:p w14:paraId="3CB3F85C" w14:textId="77777777" w:rsidR="00C34E66" w:rsidRPr="00474DE9" w:rsidRDefault="00C34E66" w:rsidP="00CD08F5">
            <w:pPr>
              <w:widowControl w:val="0"/>
              <w:jc w:val="center"/>
              <w:rPr>
                <w:b/>
                <w:lang w:val="mn-MN"/>
              </w:rPr>
            </w:pPr>
            <w:r w:rsidRPr="00474DE9">
              <w:rPr>
                <w:b/>
                <w:lang w:val="mn-MN"/>
              </w:rPr>
              <w:t>Сонгосон зүйл, заалт</w:t>
            </w:r>
          </w:p>
        </w:tc>
      </w:tr>
      <w:tr w:rsidR="00C34E66" w:rsidRPr="00474DE9" w14:paraId="715B6611" w14:textId="77777777" w:rsidTr="0019779A">
        <w:tc>
          <w:tcPr>
            <w:tcW w:w="2642" w:type="dxa"/>
            <w:tcMar>
              <w:top w:w="100" w:type="dxa"/>
              <w:left w:w="100" w:type="dxa"/>
              <w:bottom w:w="100" w:type="dxa"/>
              <w:right w:w="100" w:type="dxa"/>
            </w:tcMar>
          </w:tcPr>
          <w:p w14:paraId="793335CD" w14:textId="77777777" w:rsidR="00C34E66" w:rsidRPr="00474DE9" w:rsidRDefault="00C34E66" w:rsidP="00CD08F5">
            <w:pPr>
              <w:jc w:val="both"/>
              <w:rPr>
                <w:lang w:val="mn-MN"/>
              </w:rPr>
            </w:pPr>
            <w:r w:rsidRPr="00474DE9">
              <w:rPr>
                <w:lang w:val="mn-MN"/>
              </w:rPr>
              <w:t xml:space="preserve">Шүүхийн үйл ажиллагааг олон нийтэд нээлттэй, ил тод явуулахтай холбогдох зохицуулалт. </w:t>
            </w:r>
          </w:p>
        </w:tc>
        <w:tc>
          <w:tcPr>
            <w:tcW w:w="6463" w:type="dxa"/>
            <w:shd w:val="clear" w:color="auto" w:fill="FFFFFF"/>
            <w:tcMar>
              <w:top w:w="100" w:type="dxa"/>
              <w:left w:w="100" w:type="dxa"/>
              <w:bottom w:w="100" w:type="dxa"/>
              <w:right w:w="100" w:type="dxa"/>
            </w:tcMar>
          </w:tcPr>
          <w:p w14:paraId="3CA3E18C" w14:textId="77777777" w:rsidR="00C34E66" w:rsidRPr="00474DE9" w:rsidRDefault="00C34E66" w:rsidP="00CD08F5">
            <w:pPr>
              <w:ind w:firstLine="567"/>
              <w:jc w:val="both"/>
              <w:rPr>
                <w:noProof/>
                <w:shd w:val="clear" w:color="auto" w:fill="FFFFFF"/>
                <w:lang w:val="mn-MN"/>
              </w:rPr>
            </w:pPr>
            <w:r w:rsidRPr="00474DE9">
              <w:rPr>
                <w:b/>
                <w:lang w:val="mn-MN"/>
              </w:rPr>
              <w:t>12 дугаар зүйл</w:t>
            </w:r>
          </w:p>
          <w:p w14:paraId="76109D3C" w14:textId="77777777" w:rsidR="00C34E66" w:rsidRPr="00474DE9" w:rsidRDefault="00C34E66" w:rsidP="00CD08F5">
            <w:pPr>
              <w:jc w:val="both"/>
              <w:rPr>
                <w:noProof/>
                <w:shd w:val="clear" w:color="auto" w:fill="FFFFFF"/>
                <w:lang w:val="mn-MN"/>
              </w:rPr>
            </w:pPr>
            <w:r w:rsidRPr="00474DE9">
              <w:rPr>
                <w:noProof/>
                <w:shd w:val="clear" w:color="auto" w:fill="FFFFFF"/>
                <w:lang w:val="mn-MN"/>
              </w:rPr>
              <w:t>12.1.Шүүхийн үйл ажиллагааг хуульд зааснаас бусад тохиолдолд дараах байдлаар олон нийтэд нээлттэй, ил тод явуулна:</w:t>
            </w:r>
          </w:p>
          <w:p w14:paraId="766CFDC8" w14:textId="77777777" w:rsidR="00C34E66" w:rsidRPr="00474DE9" w:rsidRDefault="00C34E66" w:rsidP="00CD08F5">
            <w:pPr>
              <w:jc w:val="both"/>
              <w:rPr>
                <w:b/>
                <w:lang w:val="mn-MN"/>
              </w:rPr>
            </w:pPr>
            <w:r w:rsidRPr="00474DE9">
              <w:rPr>
                <w:noProof/>
                <w:shd w:val="clear" w:color="auto" w:fill="FFFFFF"/>
                <w:lang w:val="mn-MN"/>
              </w:rPr>
              <w:t>12.1.1.хэрэг хянан шийдвэрлэх ажиллагааны явцад талуудын гаргасан гомдол, нэхэмжлэл, тайлбар, хүсэлт, шүүх хуралдааны тэмдэглэл, шүүхийн шийдвэрийг энэ хуульд заасны дагуу сонирхогч этгээд биечлэн болон цахимаар танилцах боломжийг бүрдүүлэх</w:t>
            </w:r>
            <w:r w:rsidRPr="00474DE9">
              <w:rPr>
                <w:b/>
                <w:lang w:val="mn-MN"/>
              </w:rPr>
              <w:t>;</w:t>
            </w:r>
          </w:p>
          <w:p w14:paraId="4E50CC94" w14:textId="77777777" w:rsidR="00C34E66" w:rsidRPr="00474DE9" w:rsidRDefault="00C34E66" w:rsidP="00CD08F5">
            <w:pPr>
              <w:jc w:val="both"/>
              <w:rPr>
                <w:lang w:val="mn-MN"/>
              </w:rPr>
            </w:pPr>
            <w:r w:rsidRPr="00474DE9">
              <w:rPr>
                <w:noProof/>
                <w:shd w:val="clear" w:color="auto" w:fill="FFFFFF"/>
                <w:lang w:val="mn-MN"/>
              </w:rPr>
              <w:t>12.1.2.хуульд тухайлан зааснаас бусад тохиолдолд шүүх хуралдааныг нээлттэй явуулах, шүүхийн цахим хуудас, эсхүл хэвлэл мэдээллийн хэрэгсэл, эсхүл олон нийтийн цахим сүлжээгээр энэ хуульд заасны дагуу шууд дамжуулах, эсхүл олон нийтэд дуу-дүрсний бичлэгээр хүргэх;</w:t>
            </w:r>
          </w:p>
          <w:p w14:paraId="0CC52B67" w14:textId="77777777" w:rsidR="00C34E66" w:rsidRPr="00474DE9" w:rsidRDefault="00C34E66" w:rsidP="00CD08F5">
            <w:pPr>
              <w:jc w:val="both"/>
              <w:rPr>
                <w:noProof/>
                <w:shd w:val="clear" w:color="auto" w:fill="FFFFFF"/>
                <w:lang w:val="mn-MN"/>
              </w:rPr>
            </w:pPr>
            <w:r w:rsidRPr="00474DE9">
              <w:rPr>
                <w:noProof/>
                <w:shd w:val="clear" w:color="auto" w:fill="FFFFFF"/>
                <w:lang w:val="mn-MN"/>
              </w:rPr>
              <w:t xml:space="preserve">12.1.3.талуудын гаргасан гомдол, нэхэмжлэл, тайлбар, хүсэлт, шүүх хуралдааны тэмдэглэл, шүүхийн шийдвэр, шүүх хуралдааны бичлэгийн цахим мэдээллийн сантай байх, тус сангийн мэдээллийг сонирхогч этгээд нээлттэй ашиглах боломж бүрдүүлэх. </w:t>
            </w:r>
          </w:p>
          <w:p w14:paraId="031EB589" w14:textId="77777777" w:rsidR="00C34E66" w:rsidRPr="00474DE9" w:rsidRDefault="00C34E66" w:rsidP="00C34E66">
            <w:pPr>
              <w:jc w:val="both"/>
              <w:rPr>
                <w:noProof/>
                <w:shd w:val="clear" w:color="auto" w:fill="FFFFFF"/>
                <w:lang w:val="mn-MN"/>
              </w:rPr>
            </w:pPr>
            <w:r w:rsidRPr="00474DE9">
              <w:rPr>
                <w:noProof/>
                <w:shd w:val="clear" w:color="auto" w:fill="FFFFFF"/>
                <w:lang w:val="mn-MN"/>
              </w:rPr>
              <w:t>12.5.Нээлттэй шүүх хуралдааны бичлэгийг шүүхийн цахим хуудаст, эсхүл шүүхийн нээлттэй бусад цахим платформд заавал байршуулна.</w:t>
            </w:r>
          </w:p>
          <w:p w14:paraId="4C26F534" w14:textId="77777777" w:rsidR="00C34E66" w:rsidRPr="00474DE9" w:rsidRDefault="00C34E66" w:rsidP="00CD08F5">
            <w:pPr>
              <w:jc w:val="both"/>
              <w:rPr>
                <w:noProof/>
                <w:shd w:val="clear" w:color="auto" w:fill="FFFFFF"/>
                <w:lang w:val="mn-MN"/>
              </w:rPr>
            </w:pPr>
            <w:r w:rsidRPr="00474DE9">
              <w:rPr>
                <w:noProof/>
                <w:shd w:val="clear" w:color="auto" w:fill="FFFFFF"/>
                <w:lang w:val="mn-MN"/>
              </w:rPr>
              <w:lastRenderedPageBreak/>
              <w:t>12.6.Дараах шүүх хуралдааныг шууд дамжуулах, эсхүл олон нийтэд дуу-дүрсний бичлэгээр хүргэнэ:</w:t>
            </w:r>
          </w:p>
          <w:p w14:paraId="0D999AB9" w14:textId="77777777" w:rsidR="00C34E66" w:rsidRPr="00474DE9" w:rsidRDefault="00C34E66" w:rsidP="00CD08F5">
            <w:pPr>
              <w:ind w:firstLine="1134"/>
              <w:jc w:val="both"/>
              <w:rPr>
                <w:noProof/>
                <w:shd w:val="clear" w:color="auto" w:fill="FFFFFF"/>
                <w:lang w:val="mn-MN"/>
              </w:rPr>
            </w:pPr>
            <w:r w:rsidRPr="00474DE9">
              <w:rPr>
                <w:noProof/>
                <w:shd w:val="clear" w:color="auto" w:fill="FFFFFF"/>
                <w:lang w:val="mn-MN"/>
              </w:rPr>
              <w:t>12.6.1.хяналтын шатны нээлттэй шүүх хуралдаан;</w:t>
            </w:r>
          </w:p>
          <w:p w14:paraId="58D1529E" w14:textId="77777777" w:rsidR="00C34E66" w:rsidRPr="00474DE9" w:rsidRDefault="00C34E66" w:rsidP="00C34E66">
            <w:pPr>
              <w:ind w:firstLine="1134"/>
              <w:jc w:val="both"/>
              <w:rPr>
                <w:noProof/>
                <w:shd w:val="clear" w:color="auto" w:fill="FFFFFF"/>
                <w:lang w:val="mn-MN"/>
              </w:rPr>
            </w:pPr>
            <w:r w:rsidRPr="00474DE9">
              <w:rPr>
                <w:noProof/>
                <w:shd w:val="clear" w:color="auto" w:fill="FFFFFF"/>
                <w:lang w:val="mn-MN"/>
              </w:rPr>
              <w:t>12.6.2.авлигын гэмт хэргийн анхан ба давж заалдах шатны нээлттэй шүүх хуралдаан.</w:t>
            </w:r>
          </w:p>
        </w:tc>
      </w:tr>
    </w:tbl>
    <w:p w14:paraId="5A677EE1" w14:textId="77777777" w:rsidR="005E6DDA" w:rsidRPr="00474DE9" w:rsidRDefault="005E6DDA" w:rsidP="0019779A">
      <w:pPr>
        <w:pStyle w:val="Heading2"/>
        <w:spacing w:after="240"/>
        <w:jc w:val="both"/>
        <w:rPr>
          <w:lang w:val="mn-MN"/>
        </w:rPr>
      </w:pPr>
    </w:p>
    <w:p w14:paraId="4F7B5C5F" w14:textId="77777777" w:rsidR="00CA69E3" w:rsidRPr="00474DE9" w:rsidRDefault="00CA69E3" w:rsidP="0019779A">
      <w:pPr>
        <w:pStyle w:val="Heading2"/>
        <w:spacing w:after="240"/>
        <w:jc w:val="both"/>
        <w:rPr>
          <w:lang w:val="mn-MN"/>
        </w:rPr>
      </w:pPr>
      <w:bookmarkStart w:id="8" w:name="_Toc164632098"/>
      <w:r w:rsidRPr="00474DE9">
        <w:rPr>
          <w:lang w:val="mn-MN"/>
        </w:rPr>
        <w:t>2.3. “Ойлгомжтой байдал” шалгуур үзүүлэлтийн хүрээнд хуулийн төслөөс үр нөлөөг нь тооцох хэсгээ тогтоосон байдал:</w:t>
      </w:r>
      <w:bookmarkEnd w:id="8"/>
    </w:p>
    <w:p w14:paraId="4A939229" w14:textId="77777777" w:rsidR="00CA69E3" w:rsidRPr="00474DE9" w:rsidRDefault="00CA69E3" w:rsidP="0019779A">
      <w:pPr>
        <w:jc w:val="both"/>
        <w:rPr>
          <w:lang w:val="mn-MN"/>
        </w:rPr>
      </w:pPr>
      <w:r w:rsidRPr="00474DE9">
        <w:rPr>
          <w:rFonts w:cs="Arial"/>
          <w:lang w:val="mn-MN"/>
        </w:rPr>
        <w:t xml:space="preserve">“Ойлгомжтой байдал” гэсэн шалгуур үзүүлэлтийн хүрээнд уг хуулийн төслийн зүйл заалтад бүхэлд нь дүн шинжилгээ хийж, үр нөлөөг тооцов. </w:t>
      </w:r>
      <w:r w:rsidR="005E6DDA" w:rsidRPr="00474DE9">
        <w:rPr>
          <w:lang w:val="mn-MN"/>
        </w:rPr>
        <w:t>/Хуулийн төсөл 6 зүйл, 11 хэсэгтэй./</w:t>
      </w:r>
    </w:p>
    <w:p w14:paraId="1A5B0D15" w14:textId="77777777" w:rsidR="00CA69E3" w:rsidRPr="00474DE9" w:rsidRDefault="00CA69E3" w:rsidP="0019779A">
      <w:pPr>
        <w:pStyle w:val="Heading2"/>
        <w:spacing w:after="240"/>
        <w:jc w:val="both"/>
        <w:rPr>
          <w:lang w:val="mn-MN"/>
        </w:rPr>
      </w:pPr>
      <w:bookmarkStart w:id="9" w:name="_heading=h.17dp8vu" w:colFirst="0" w:colLast="0"/>
      <w:bookmarkStart w:id="10" w:name="_Toc164632099"/>
      <w:bookmarkEnd w:id="9"/>
      <w:r w:rsidRPr="00474DE9">
        <w:rPr>
          <w:lang w:val="mn-MN"/>
        </w:rPr>
        <w:t>2.4. “Харилцан уялдаа” шалгуур үзүүлэлтийн хүрээнд хуулийн төслөөс үр нөлөөг нь тооцох хэсгээ тогтоосон байдал:</w:t>
      </w:r>
      <w:bookmarkEnd w:id="10"/>
    </w:p>
    <w:p w14:paraId="32119E78" w14:textId="77777777" w:rsidR="005E6DDA" w:rsidRPr="00474DE9" w:rsidRDefault="00CA69E3" w:rsidP="0019779A">
      <w:pPr>
        <w:jc w:val="both"/>
        <w:rPr>
          <w:lang w:val="mn-MN"/>
        </w:rPr>
      </w:pPr>
      <w:r w:rsidRPr="00474DE9">
        <w:rPr>
          <w:rFonts w:cs="Arial"/>
          <w:lang w:val="mn-MN"/>
        </w:rPr>
        <w:t xml:space="preserve"> “Харилцан уялдаа” гэсэн шалгуур үзүүлэлтийн хүрээнд уг хуулийн төслийн зүйл заалтад бүхэлд нь дүн шинжилгээ хийж, үр нөлөөг тооцов. </w:t>
      </w:r>
      <w:r w:rsidR="005E6DDA" w:rsidRPr="00474DE9">
        <w:rPr>
          <w:lang w:val="mn-MN"/>
        </w:rPr>
        <w:t>/Хуулийн төсөл 6 зүйл, 11 хэсэгтэй./</w:t>
      </w:r>
    </w:p>
    <w:p w14:paraId="68F93224" w14:textId="77777777" w:rsidR="00CA69E3" w:rsidRPr="00474DE9" w:rsidRDefault="00CA69E3" w:rsidP="00CA69E3">
      <w:pPr>
        <w:jc w:val="both"/>
        <w:rPr>
          <w:rFonts w:cs="Arial"/>
          <w:lang w:val="mn-MN"/>
        </w:rPr>
      </w:pPr>
    </w:p>
    <w:p w14:paraId="3B057308" w14:textId="77777777" w:rsidR="00FD76F1" w:rsidRPr="00474DE9" w:rsidRDefault="00FD76F1" w:rsidP="00CA69E3">
      <w:pPr>
        <w:spacing w:before="240"/>
        <w:ind w:firstLine="0"/>
        <w:jc w:val="both"/>
        <w:rPr>
          <w:rFonts w:eastAsiaTheme="majorEastAsia" w:cs="Arial"/>
          <w:b/>
          <w:color w:val="000000" w:themeColor="text1"/>
          <w:kern w:val="0"/>
          <w:szCs w:val="32"/>
          <w:lang w:val="mn-MN" w:eastAsia="zh-CN"/>
          <w14:ligatures w14:val="none"/>
        </w:rPr>
      </w:pPr>
      <w:r w:rsidRPr="00474DE9">
        <w:rPr>
          <w:rFonts w:cs="Arial"/>
          <w:lang w:val="mn-MN"/>
        </w:rPr>
        <w:br w:type="page"/>
      </w:r>
    </w:p>
    <w:p w14:paraId="5B1ADF95" w14:textId="77777777" w:rsidR="00FD76F1" w:rsidRPr="00474DE9" w:rsidRDefault="00FD76F1" w:rsidP="00FD76F1">
      <w:pPr>
        <w:pStyle w:val="Heading1"/>
        <w:spacing w:after="240"/>
        <w:jc w:val="center"/>
        <w:rPr>
          <w:rFonts w:cs="Arial"/>
          <w:lang w:val="mn-MN"/>
        </w:rPr>
      </w:pPr>
      <w:bookmarkStart w:id="11" w:name="_Toc164632100"/>
      <w:r w:rsidRPr="00474DE9">
        <w:rPr>
          <w:rFonts w:cs="Arial"/>
          <w:lang w:val="mn-MN"/>
        </w:rPr>
        <w:lastRenderedPageBreak/>
        <w:t>ГУРАВ. ШАЛГУУР ҮЗҮҮЛЭЛТЭД ТОХИРОХ ШАЛГАХ ХЭРЭГСЛИЙН ДАГУУ ХУУЛИЙН ТӨСЛИЙН ҮР НӨЛӨӨГ ҮНЭЛСЭН БАЙДАЛ</w:t>
      </w:r>
      <w:bookmarkEnd w:id="11"/>
    </w:p>
    <w:p w14:paraId="310043A0" w14:textId="77777777" w:rsidR="00FD76F1" w:rsidRPr="00474DE9" w:rsidRDefault="00FD76F1" w:rsidP="0019779A">
      <w:pPr>
        <w:jc w:val="both"/>
        <w:rPr>
          <w:rFonts w:cs="Arial"/>
          <w:lang w:val="mn-MN"/>
        </w:rPr>
      </w:pPr>
      <w:r w:rsidRPr="00474DE9">
        <w:rPr>
          <w:rFonts w:cs="Arial"/>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дараахь байдлаар харуулав:</w:t>
      </w:r>
    </w:p>
    <w:tbl>
      <w:tblPr>
        <w:tblStyle w:val="TableGrid"/>
        <w:tblW w:w="0" w:type="auto"/>
        <w:tblLook w:val="04A0" w:firstRow="1" w:lastRow="0" w:firstColumn="1" w:lastColumn="0" w:noHBand="0" w:noVBand="1"/>
      </w:tblPr>
      <w:tblGrid>
        <w:gridCol w:w="556"/>
        <w:gridCol w:w="2612"/>
        <w:gridCol w:w="2970"/>
        <w:gridCol w:w="2878"/>
      </w:tblGrid>
      <w:tr w:rsidR="00FD76F1" w:rsidRPr="00474DE9" w14:paraId="67135215" w14:textId="77777777" w:rsidTr="00FD76F1">
        <w:tc>
          <w:tcPr>
            <w:tcW w:w="562" w:type="dxa"/>
          </w:tcPr>
          <w:p w14:paraId="722F2B90" w14:textId="77777777" w:rsidR="00FD76F1" w:rsidRPr="00474DE9" w:rsidRDefault="00FD76F1" w:rsidP="00FD76F1">
            <w:pPr>
              <w:widowControl w:val="0"/>
              <w:ind w:firstLine="0"/>
              <w:rPr>
                <w:rFonts w:cs="Arial"/>
                <w:b/>
                <w:u w:val="single"/>
                <w:lang w:val="mn-MN"/>
              </w:rPr>
            </w:pPr>
            <w:r w:rsidRPr="00474DE9">
              <w:rPr>
                <w:rFonts w:cs="Arial"/>
                <w:b/>
                <w:lang w:val="mn-MN"/>
              </w:rPr>
              <w:t>№</w:t>
            </w:r>
          </w:p>
        </w:tc>
        <w:tc>
          <w:tcPr>
            <w:tcW w:w="2694" w:type="dxa"/>
          </w:tcPr>
          <w:p w14:paraId="16A7165F" w14:textId="77777777" w:rsidR="00FD76F1" w:rsidRPr="00474DE9" w:rsidRDefault="00FD76F1" w:rsidP="00FD76F1">
            <w:pPr>
              <w:ind w:firstLine="0"/>
              <w:jc w:val="center"/>
              <w:rPr>
                <w:rFonts w:cs="Arial"/>
                <w:b/>
                <w:lang w:val="mn-MN"/>
              </w:rPr>
            </w:pPr>
            <w:r w:rsidRPr="00474DE9">
              <w:rPr>
                <w:rFonts w:cs="Arial"/>
                <w:b/>
                <w:lang w:val="mn-MN"/>
              </w:rPr>
              <w:t>Шалгуур үзүүлэлт</w:t>
            </w:r>
          </w:p>
        </w:tc>
        <w:tc>
          <w:tcPr>
            <w:tcW w:w="3118" w:type="dxa"/>
          </w:tcPr>
          <w:p w14:paraId="2311F316" w14:textId="77777777" w:rsidR="00FD76F1" w:rsidRPr="00474DE9" w:rsidRDefault="00FD76F1" w:rsidP="00FD76F1">
            <w:pPr>
              <w:ind w:firstLine="0"/>
              <w:jc w:val="center"/>
              <w:rPr>
                <w:rFonts w:cs="Arial"/>
                <w:b/>
                <w:lang w:val="mn-MN"/>
              </w:rPr>
            </w:pPr>
            <w:r w:rsidRPr="00474DE9">
              <w:rPr>
                <w:rFonts w:cs="Arial"/>
                <w:b/>
                <w:lang w:val="mn-MN"/>
              </w:rPr>
              <w:t>Үр нөлөөг үнэлэх хэсэг</w:t>
            </w:r>
          </w:p>
        </w:tc>
        <w:tc>
          <w:tcPr>
            <w:tcW w:w="2973" w:type="dxa"/>
          </w:tcPr>
          <w:p w14:paraId="02A74BCB" w14:textId="77777777" w:rsidR="00FD76F1" w:rsidRPr="00474DE9" w:rsidRDefault="00FD76F1" w:rsidP="00FD76F1">
            <w:pPr>
              <w:ind w:firstLine="0"/>
              <w:jc w:val="center"/>
              <w:rPr>
                <w:rFonts w:cs="Arial"/>
                <w:b/>
                <w:lang w:val="mn-MN"/>
              </w:rPr>
            </w:pPr>
            <w:r w:rsidRPr="00474DE9">
              <w:rPr>
                <w:rFonts w:cs="Arial"/>
                <w:b/>
                <w:lang w:val="mn-MN"/>
              </w:rPr>
              <w:t>Тохирох шалгах хэрэгсэл</w:t>
            </w:r>
          </w:p>
        </w:tc>
      </w:tr>
      <w:tr w:rsidR="00FD76F1" w:rsidRPr="00474DE9" w14:paraId="6612FC8D" w14:textId="77777777" w:rsidTr="00FD76F1">
        <w:tc>
          <w:tcPr>
            <w:tcW w:w="562" w:type="dxa"/>
          </w:tcPr>
          <w:p w14:paraId="6B40D754" w14:textId="77777777" w:rsidR="00FD76F1" w:rsidRPr="00474DE9" w:rsidRDefault="00FD76F1" w:rsidP="00FD76F1">
            <w:pPr>
              <w:pStyle w:val="ListParagraph"/>
              <w:numPr>
                <w:ilvl w:val="0"/>
                <w:numId w:val="5"/>
              </w:numPr>
              <w:spacing w:line="240" w:lineRule="auto"/>
              <w:ind w:left="447"/>
              <w:rPr>
                <w:rFonts w:ascii="Arial" w:hAnsi="Arial" w:cs="Arial"/>
                <w:sz w:val="24"/>
                <w:lang w:val="mn-MN"/>
              </w:rPr>
            </w:pPr>
          </w:p>
        </w:tc>
        <w:tc>
          <w:tcPr>
            <w:tcW w:w="2694" w:type="dxa"/>
          </w:tcPr>
          <w:p w14:paraId="3191B158" w14:textId="77777777" w:rsidR="00FD76F1" w:rsidRPr="00474DE9" w:rsidRDefault="00FD76F1" w:rsidP="00FD76F1">
            <w:pPr>
              <w:ind w:firstLine="0"/>
              <w:rPr>
                <w:rFonts w:cs="Arial"/>
                <w:lang w:val="mn-MN"/>
              </w:rPr>
            </w:pPr>
            <w:r w:rsidRPr="00474DE9">
              <w:rPr>
                <w:rFonts w:cs="Arial"/>
                <w:lang w:val="mn-MN"/>
              </w:rPr>
              <w:t>Зорилгод хүрэх байдал</w:t>
            </w:r>
          </w:p>
        </w:tc>
        <w:tc>
          <w:tcPr>
            <w:tcW w:w="3118" w:type="dxa"/>
          </w:tcPr>
          <w:p w14:paraId="3D4D5250" w14:textId="77777777" w:rsidR="00FD76F1" w:rsidRPr="00474DE9" w:rsidRDefault="00FD76F1" w:rsidP="00FD76F1">
            <w:pPr>
              <w:widowControl w:val="0"/>
              <w:ind w:firstLine="0"/>
              <w:rPr>
                <w:rFonts w:cs="Arial"/>
                <w:lang w:val="mn-MN"/>
              </w:rPr>
            </w:pPr>
            <w:r w:rsidRPr="00474DE9">
              <w:rPr>
                <w:rFonts w:cs="Arial"/>
                <w:lang w:val="mn-MN"/>
              </w:rPr>
              <w:t xml:space="preserve">Хуулийн төслийн </w:t>
            </w:r>
            <w:r w:rsidR="005E6DDA" w:rsidRPr="00474DE9">
              <w:rPr>
                <w:rFonts w:cs="Arial"/>
                <w:szCs w:val="24"/>
                <w:lang w:val="mn-MN"/>
              </w:rPr>
              <w:t>24 дүгээр зүйлийн 24.1, 24.2, 24.5, 24.6 дахь хэсэг</w:t>
            </w:r>
          </w:p>
          <w:p w14:paraId="5A5B9CA1" w14:textId="77777777" w:rsidR="00FD76F1" w:rsidRPr="00474DE9" w:rsidRDefault="00FD76F1" w:rsidP="00FD76F1">
            <w:pPr>
              <w:widowControl w:val="0"/>
              <w:ind w:firstLine="0"/>
              <w:rPr>
                <w:rFonts w:eastAsia="Verdana" w:cs="Arial"/>
                <w:bCs/>
                <w:lang w:val="mn-MN"/>
              </w:rPr>
            </w:pPr>
            <w:r w:rsidRPr="00474DE9">
              <w:rPr>
                <w:rFonts w:cs="Arial"/>
                <w:lang w:val="mn-MN"/>
              </w:rPr>
              <w:t xml:space="preserve">Хуулийн төслийн </w:t>
            </w:r>
            <w:r w:rsidR="005E6DDA" w:rsidRPr="00474DE9">
              <w:rPr>
                <w:rFonts w:cs="Arial"/>
                <w:lang w:val="mn-MN"/>
              </w:rPr>
              <w:t xml:space="preserve">12.1, 12.2, 12.5, 12.16, 12.17, 12.18 дүгээр хэсэг </w:t>
            </w:r>
            <w:r w:rsidRPr="00474DE9">
              <w:rPr>
                <w:rFonts w:cs="Arial"/>
                <w:lang w:val="mn-MN"/>
              </w:rPr>
              <w:t xml:space="preserve">Хуулийн төслийн </w:t>
            </w:r>
            <w:r w:rsidR="005E6DDA" w:rsidRPr="00474DE9">
              <w:rPr>
                <w:rFonts w:eastAsia="Verdana" w:cs="Arial"/>
                <w:bCs/>
                <w:lang w:val="mn-MN"/>
              </w:rPr>
              <w:t>12.6, 12.7 дахь хэсэг</w:t>
            </w:r>
          </w:p>
          <w:p w14:paraId="0794B6F7" w14:textId="77777777" w:rsidR="005E6DDA" w:rsidRPr="00474DE9" w:rsidRDefault="005E6DDA" w:rsidP="00FD76F1">
            <w:pPr>
              <w:widowControl w:val="0"/>
              <w:ind w:firstLine="0"/>
              <w:rPr>
                <w:rFonts w:cs="Arial"/>
                <w:lang w:val="mn-MN"/>
              </w:rPr>
            </w:pPr>
            <w:r w:rsidRPr="00474DE9">
              <w:rPr>
                <w:rFonts w:cs="Arial"/>
                <w:lang w:val="mn-MN"/>
              </w:rPr>
              <w:t xml:space="preserve">Хуулийн төслийн </w:t>
            </w:r>
            <w:r w:rsidRPr="00474DE9">
              <w:rPr>
                <w:rFonts w:eastAsia="Verdana" w:cs="Arial"/>
                <w:bCs/>
                <w:lang w:val="mn-MN"/>
              </w:rPr>
              <w:t>12.10, 12.12 дахь хэсэг</w:t>
            </w:r>
          </w:p>
        </w:tc>
        <w:tc>
          <w:tcPr>
            <w:tcW w:w="2973" w:type="dxa"/>
          </w:tcPr>
          <w:p w14:paraId="6F3BD979" w14:textId="77777777" w:rsidR="00FD76F1" w:rsidRPr="00474DE9" w:rsidRDefault="00FD76F1" w:rsidP="00FD76F1">
            <w:pPr>
              <w:ind w:firstLine="0"/>
              <w:jc w:val="both"/>
              <w:rPr>
                <w:rFonts w:cs="Arial"/>
                <w:lang w:val="mn-MN"/>
              </w:rPr>
            </w:pPr>
            <w:r w:rsidRPr="00474DE9">
              <w:rPr>
                <w:rFonts w:cs="Arial"/>
                <w:lang w:val="mn-MN"/>
              </w:rPr>
              <w:t>Зорилгод дүн шинжилгээ хийсэн.</w:t>
            </w:r>
          </w:p>
        </w:tc>
      </w:tr>
      <w:tr w:rsidR="00FD76F1" w:rsidRPr="00474DE9" w14:paraId="26404788" w14:textId="77777777" w:rsidTr="00FD76F1">
        <w:tc>
          <w:tcPr>
            <w:tcW w:w="562" w:type="dxa"/>
          </w:tcPr>
          <w:p w14:paraId="016FA855" w14:textId="77777777" w:rsidR="00FD76F1" w:rsidRPr="00474DE9" w:rsidRDefault="00FD76F1" w:rsidP="00FD76F1">
            <w:pPr>
              <w:pStyle w:val="ListParagraph"/>
              <w:numPr>
                <w:ilvl w:val="0"/>
                <w:numId w:val="5"/>
              </w:numPr>
              <w:spacing w:line="240" w:lineRule="auto"/>
              <w:ind w:left="447"/>
              <w:rPr>
                <w:rFonts w:ascii="Arial" w:hAnsi="Arial" w:cs="Arial"/>
                <w:sz w:val="24"/>
                <w:lang w:val="mn-MN"/>
              </w:rPr>
            </w:pPr>
          </w:p>
        </w:tc>
        <w:tc>
          <w:tcPr>
            <w:tcW w:w="2694" w:type="dxa"/>
          </w:tcPr>
          <w:p w14:paraId="33998911" w14:textId="77777777" w:rsidR="00FD76F1" w:rsidRPr="00474DE9" w:rsidRDefault="00FD76F1" w:rsidP="00FD76F1">
            <w:pPr>
              <w:ind w:firstLine="0"/>
              <w:rPr>
                <w:rFonts w:cs="Arial"/>
                <w:lang w:val="mn-MN"/>
              </w:rPr>
            </w:pPr>
            <w:r w:rsidRPr="00474DE9">
              <w:rPr>
                <w:rFonts w:cs="Arial"/>
                <w:lang w:val="mn-MN"/>
              </w:rPr>
              <w:t>Практикт хэрэгжих боломж</w:t>
            </w:r>
          </w:p>
        </w:tc>
        <w:tc>
          <w:tcPr>
            <w:tcW w:w="3118" w:type="dxa"/>
          </w:tcPr>
          <w:p w14:paraId="242C0FE5" w14:textId="77777777" w:rsidR="00FD76F1" w:rsidRPr="00474DE9" w:rsidRDefault="00FD76F1" w:rsidP="005E6DDA">
            <w:pPr>
              <w:ind w:firstLine="0"/>
              <w:rPr>
                <w:rFonts w:cs="Arial"/>
                <w:lang w:val="mn-MN"/>
              </w:rPr>
            </w:pPr>
            <w:r w:rsidRPr="00474DE9">
              <w:rPr>
                <w:rFonts w:cs="Arial"/>
                <w:lang w:val="mn-MN"/>
              </w:rPr>
              <w:t xml:space="preserve">Хуулийн төслийн </w:t>
            </w:r>
            <w:r w:rsidR="005E6DDA" w:rsidRPr="00474DE9">
              <w:rPr>
                <w:rFonts w:eastAsia="Arial" w:cs="Arial"/>
                <w:shd w:val="clear" w:color="auto" w:fill="FFFFFF"/>
                <w:lang w:val="mn-MN"/>
              </w:rPr>
              <w:t>12 дугаар зүйлийн 12.1.1, 12.1.2, 12.1.3, 12.5, 12.6  дахь хэсэг</w:t>
            </w:r>
            <w:r w:rsidR="005E6DDA" w:rsidRPr="00474DE9">
              <w:rPr>
                <w:rFonts w:cs="Arial"/>
                <w:lang w:val="mn-MN"/>
              </w:rPr>
              <w:t xml:space="preserve"> </w:t>
            </w:r>
          </w:p>
          <w:p w14:paraId="496A8471" w14:textId="77777777" w:rsidR="00FD76F1" w:rsidRPr="00474DE9" w:rsidRDefault="00FD76F1" w:rsidP="00FD76F1">
            <w:pPr>
              <w:rPr>
                <w:rFonts w:cs="Arial"/>
                <w:lang w:val="mn-MN"/>
              </w:rPr>
            </w:pPr>
          </w:p>
        </w:tc>
        <w:tc>
          <w:tcPr>
            <w:tcW w:w="2973" w:type="dxa"/>
          </w:tcPr>
          <w:p w14:paraId="1667C6BF" w14:textId="77777777" w:rsidR="00FD76F1" w:rsidRPr="00474DE9" w:rsidRDefault="00FD76F1" w:rsidP="00FD76F1">
            <w:pPr>
              <w:ind w:firstLine="0"/>
              <w:jc w:val="both"/>
              <w:rPr>
                <w:rFonts w:cs="Arial"/>
                <w:lang w:val="mn-MN"/>
              </w:rPr>
            </w:pPr>
            <w:r w:rsidRPr="00474DE9">
              <w:rPr>
                <w:rFonts w:cs="Arial"/>
                <w:lang w:val="mn-MN"/>
              </w:rPr>
              <w:t>Тухайн зохицуулалт практикт хэрэгжих боломжтой эсэхэд дүн шинжилгээ хийсэн.</w:t>
            </w:r>
          </w:p>
        </w:tc>
      </w:tr>
      <w:tr w:rsidR="00FD76F1" w:rsidRPr="00474DE9" w14:paraId="553D9046" w14:textId="77777777" w:rsidTr="00FD76F1">
        <w:tc>
          <w:tcPr>
            <w:tcW w:w="562" w:type="dxa"/>
          </w:tcPr>
          <w:p w14:paraId="0B050473" w14:textId="77777777" w:rsidR="00FD76F1" w:rsidRPr="00474DE9" w:rsidRDefault="00FD76F1" w:rsidP="00FD76F1">
            <w:pPr>
              <w:pStyle w:val="ListParagraph"/>
              <w:numPr>
                <w:ilvl w:val="0"/>
                <w:numId w:val="5"/>
              </w:numPr>
              <w:spacing w:line="240" w:lineRule="auto"/>
              <w:ind w:left="447"/>
              <w:rPr>
                <w:rFonts w:ascii="Arial" w:hAnsi="Arial" w:cs="Arial"/>
                <w:sz w:val="24"/>
                <w:lang w:val="mn-MN"/>
              </w:rPr>
            </w:pPr>
          </w:p>
        </w:tc>
        <w:tc>
          <w:tcPr>
            <w:tcW w:w="2694" w:type="dxa"/>
          </w:tcPr>
          <w:p w14:paraId="5A8873A9" w14:textId="77777777" w:rsidR="00FD76F1" w:rsidRPr="00474DE9" w:rsidRDefault="00FD76F1" w:rsidP="00FD76F1">
            <w:pPr>
              <w:ind w:firstLine="0"/>
              <w:rPr>
                <w:rFonts w:cs="Arial"/>
                <w:lang w:val="mn-MN"/>
              </w:rPr>
            </w:pPr>
            <w:r w:rsidRPr="00474DE9">
              <w:rPr>
                <w:rFonts w:cs="Arial"/>
                <w:lang w:val="mn-MN"/>
              </w:rPr>
              <w:t>Ойлгомжтой байдал</w:t>
            </w:r>
          </w:p>
        </w:tc>
        <w:tc>
          <w:tcPr>
            <w:tcW w:w="3118" w:type="dxa"/>
          </w:tcPr>
          <w:p w14:paraId="3FCA09F7" w14:textId="77777777" w:rsidR="00FD76F1" w:rsidRPr="00474DE9" w:rsidRDefault="00FD76F1" w:rsidP="00FD76F1">
            <w:pPr>
              <w:ind w:firstLine="0"/>
              <w:rPr>
                <w:rFonts w:cs="Arial"/>
                <w:lang w:val="mn-MN"/>
              </w:rPr>
            </w:pPr>
            <w:r w:rsidRPr="00474DE9">
              <w:rPr>
                <w:rFonts w:cs="Arial"/>
                <w:lang w:val="mn-MN"/>
              </w:rPr>
              <w:t>Хуулийн төслийг бүхэлд нь тооцно</w:t>
            </w:r>
          </w:p>
        </w:tc>
        <w:tc>
          <w:tcPr>
            <w:tcW w:w="2973" w:type="dxa"/>
          </w:tcPr>
          <w:p w14:paraId="44ED0DF7" w14:textId="77777777" w:rsidR="00FD76F1" w:rsidRPr="00474DE9" w:rsidRDefault="00FD76F1" w:rsidP="00FD76F1">
            <w:pPr>
              <w:ind w:firstLine="0"/>
              <w:jc w:val="both"/>
              <w:rPr>
                <w:rFonts w:cs="Arial"/>
                <w:lang w:val="mn-MN"/>
              </w:rPr>
            </w:pPr>
            <w:r w:rsidRPr="00474DE9">
              <w:rPr>
                <w:rFonts w:cs="Arial"/>
                <w:lang w:val="mn-MN"/>
              </w:rPr>
              <w:t xml:space="preserve">Ойлгомжтой байдлыг судлах, ингэхдээ Хууль тогтоомжийн тухай хууль болон аргачлалд заасан асуулгаар хуулийн төслийг шалгасан. </w:t>
            </w:r>
          </w:p>
        </w:tc>
      </w:tr>
      <w:tr w:rsidR="00FD76F1" w:rsidRPr="00474DE9" w14:paraId="29A19E1B" w14:textId="77777777" w:rsidTr="00FD76F1">
        <w:tc>
          <w:tcPr>
            <w:tcW w:w="562" w:type="dxa"/>
          </w:tcPr>
          <w:p w14:paraId="35D4BB93" w14:textId="77777777" w:rsidR="00FD76F1" w:rsidRPr="00474DE9" w:rsidRDefault="00FD76F1" w:rsidP="00FD76F1">
            <w:pPr>
              <w:pStyle w:val="ListParagraph"/>
              <w:numPr>
                <w:ilvl w:val="0"/>
                <w:numId w:val="5"/>
              </w:numPr>
              <w:spacing w:line="240" w:lineRule="auto"/>
              <w:ind w:left="447"/>
              <w:rPr>
                <w:rFonts w:ascii="Arial" w:hAnsi="Arial" w:cs="Arial"/>
                <w:sz w:val="24"/>
                <w:lang w:val="mn-MN"/>
              </w:rPr>
            </w:pPr>
          </w:p>
        </w:tc>
        <w:tc>
          <w:tcPr>
            <w:tcW w:w="2694" w:type="dxa"/>
          </w:tcPr>
          <w:p w14:paraId="3D2CD0B1" w14:textId="77777777" w:rsidR="00FD76F1" w:rsidRPr="00474DE9" w:rsidRDefault="00FD76F1" w:rsidP="00FD76F1">
            <w:pPr>
              <w:ind w:firstLine="0"/>
              <w:rPr>
                <w:rFonts w:cs="Arial"/>
                <w:lang w:val="mn-MN"/>
              </w:rPr>
            </w:pPr>
            <w:r w:rsidRPr="00474DE9">
              <w:rPr>
                <w:rFonts w:cs="Arial"/>
                <w:lang w:val="mn-MN"/>
              </w:rPr>
              <w:t>Харилцан уялдаа</w:t>
            </w:r>
          </w:p>
        </w:tc>
        <w:tc>
          <w:tcPr>
            <w:tcW w:w="3118" w:type="dxa"/>
          </w:tcPr>
          <w:p w14:paraId="7B4EEB6B" w14:textId="77777777" w:rsidR="00FD76F1" w:rsidRPr="00474DE9" w:rsidRDefault="00FD76F1" w:rsidP="00FD76F1">
            <w:pPr>
              <w:ind w:firstLine="0"/>
              <w:rPr>
                <w:rFonts w:cs="Arial"/>
                <w:lang w:val="mn-MN"/>
              </w:rPr>
            </w:pPr>
            <w:r w:rsidRPr="00474DE9">
              <w:rPr>
                <w:rFonts w:cs="Arial"/>
                <w:lang w:val="mn-MN"/>
              </w:rPr>
              <w:t>Хуулийн төслийг бүхэлд нь тооцно</w:t>
            </w:r>
          </w:p>
        </w:tc>
        <w:tc>
          <w:tcPr>
            <w:tcW w:w="2973" w:type="dxa"/>
          </w:tcPr>
          <w:p w14:paraId="1DAA4EE6" w14:textId="77777777" w:rsidR="00FD76F1" w:rsidRPr="00474DE9" w:rsidRDefault="00FD76F1" w:rsidP="00FD76F1">
            <w:pPr>
              <w:ind w:firstLine="0"/>
              <w:jc w:val="both"/>
              <w:rPr>
                <w:rFonts w:cs="Arial"/>
                <w:lang w:val="mn-MN"/>
              </w:rPr>
            </w:pPr>
            <w:r w:rsidRPr="00474DE9">
              <w:rPr>
                <w:rFonts w:cs="Arial"/>
                <w:lang w:val="mn-MN"/>
              </w:rPr>
              <w:t xml:space="preserve">Хуулийн төслийн уялдаа холбоог Хууль тогтоомжийн тухай хууль болон аргачлалд заасан асуулгуудаар шалгасан. </w:t>
            </w:r>
          </w:p>
        </w:tc>
      </w:tr>
    </w:tbl>
    <w:p w14:paraId="383B2F67" w14:textId="77777777" w:rsidR="00FD76F1" w:rsidRPr="00474DE9" w:rsidRDefault="00FD76F1" w:rsidP="00FD76F1">
      <w:pPr>
        <w:jc w:val="both"/>
        <w:rPr>
          <w:rFonts w:cs="Arial"/>
          <w:lang w:val="mn-MN"/>
        </w:rPr>
      </w:pPr>
    </w:p>
    <w:p w14:paraId="519641BB" w14:textId="77777777" w:rsidR="005E6DDA" w:rsidRPr="00474DE9" w:rsidRDefault="00FD76F1" w:rsidP="005E6DDA">
      <w:pPr>
        <w:jc w:val="both"/>
        <w:rPr>
          <w:rFonts w:cs="Arial"/>
          <w:lang w:val="mn-MN"/>
        </w:rPr>
      </w:pPr>
      <w:r w:rsidRPr="00474DE9">
        <w:rPr>
          <w:rFonts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0C648F6F" w14:textId="77777777" w:rsidR="0019779A" w:rsidRPr="00474DE9" w:rsidRDefault="005E6DDA" w:rsidP="005E6DDA">
      <w:pPr>
        <w:pStyle w:val="Heading2"/>
        <w:rPr>
          <w:lang w:val="mn-MN"/>
        </w:rPr>
      </w:pPr>
      <w:r w:rsidRPr="00474DE9">
        <w:rPr>
          <w:lang w:val="mn-MN"/>
        </w:rPr>
        <w:t xml:space="preserve"> </w:t>
      </w:r>
      <w:bookmarkStart w:id="12" w:name="_Toc164632101"/>
    </w:p>
    <w:p w14:paraId="08DF4967" w14:textId="77777777" w:rsidR="00317515" w:rsidRPr="00474DE9" w:rsidRDefault="00317515" w:rsidP="005E6DDA">
      <w:pPr>
        <w:pStyle w:val="Heading2"/>
        <w:rPr>
          <w:rFonts w:cs="Arial"/>
          <w:lang w:val="mn-MN"/>
        </w:rPr>
      </w:pPr>
      <w:r w:rsidRPr="00474DE9">
        <w:rPr>
          <w:lang w:val="mn-MN"/>
        </w:rPr>
        <w:t>3.1. “Зорилгод хүрэх байдал” шалгуур үзүүлэлтээр үнэлсэн байдал</w:t>
      </w:r>
      <w:bookmarkEnd w:id="12"/>
    </w:p>
    <w:tbl>
      <w:tblPr>
        <w:tblStyle w:val="TableGrid"/>
        <w:tblpPr w:leftFromText="180" w:rightFromText="180" w:vertAnchor="page" w:horzAnchor="margin" w:tblpY="13186"/>
        <w:tblW w:w="0" w:type="auto"/>
        <w:tblLook w:val="04A0" w:firstRow="1" w:lastRow="0" w:firstColumn="1" w:lastColumn="0" w:noHBand="0" w:noVBand="1"/>
      </w:tblPr>
      <w:tblGrid>
        <w:gridCol w:w="9016"/>
      </w:tblGrid>
      <w:tr w:rsidR="005E6DDA" w:rsidRPr="00474DE9" w14:paraId="6A0A5DF4" w14:textId="77777777" w:rsidTr="005E6DDA">
        <w:tc>
          <w:tcPr>
            <w:tcW w:w="9347" w:type="dxa"/>
          </w:tcPr>
          <w:p w14:paraId="790FB11B" w14:textId="77777777" w:rsidR="005E6DDA" w:rsidRPr="00474DE9" w:rsidRDefault="005E6DDA" w:rsidP="005E6DDA">
            <w:pPr>
              <w:spacing w:before="240" w:line="276" w:lineRule="auto"/>
              <w:jc w:val="both"/>
              <w:rPr>
                <w:rFonts w:cs="Arial"/>
                <w:szCs w:val="24"/>
                <w:lang w:val="mn-MN"/>
              </w:rPr>
            </w:pPr>
            <w:r w:rsidRPr="00474DE9">
              <w:rPr>
                <w:rFonts w:cs="Arial"/>
                <w:szCs w:val="24"/>
                <w:lang w:val="mn-MN"/>
              </w:rPr>
              <w:t>Шүүхийн сургалт, судалгаа, мэдээллийн хүрээлэнг “Академи” болгох зорилтын хүрээнд 24 дүгээр зүйлийн 24.1, 24.2, 24.5, 24.6 дугаар заалтад дүн шинжилгээ хийсэн байдал.</w:t>
            </w:r>
          </w:p>
        </w:tc>
      </w:tr>
    </w:tbl>
    <w:p w14:paraId="2AC3514D" w14:textId="77777777" w:rsidR="00522565" w:rsidRPr="00474DE9" w:rsidRDefault="005E6DDA" w:rsidP="00EA7955">
      <w:pPr>
        <w:spacing w:before="240" w:line="276" w:lineRule="auto"/>
        <w:jc w:val="both"/>
        <w:rPr>
          <w:rFonts w:cs="Arial"/>
          <w:szCs w:val="24"/>
          <w:lang w:val="mn-MN"/>
        </w:rPr>
      </w:pPr>
      <w:r w:rsidRPr="00474DE9">
        <w:rPr>
          <w:rFonts w:cs="Arial"/>
          <w:szCs w:val="24"/>
          <w:lang w:val="mn-MN"/>
        </w:rPr>
        <w:lastRenderedPageBreak/>
        <w:t xml:space="preserve"> </w:t>
      </w:r>
      <w:r w:rsidR="00522565" w:rsidRPr="00474DE9">
        <w:rPr>
          <w:rFonts w:cs="Arial"/>
          <w:szCs w:val="24"/>
          <w:lang w:val="mn-MN"/>
        </w:rPr>
        <w:t xml:space="preserve">Хуулийн төслийн 24 дүгээр зүйлд </w:t>
      </w:r>
      <w:r w:rsidR="00E91B3F" w:rsidRPr="00474DE9">
        <w:rPr>
          <w:rFonts w:cs="Arial"/>
          <w:szCs w:val="24"/>
          <w:lang w:val="mn-MN"/>
        </w:rPr>
        <w:t>Шүүхийн ак</w:t>
      </w:r>
      <w:r w:rsidR="009B29A1" w:rsidRPr="00474DE9">
        <w:rPr>
          <w:rFonts w:cs="Arial"/>
          <w:szCs w:val="24"/>
          <w:lang w:val="mn-MN"/>
        </w:rPr>
        <w:t>а</w:t>
      </w:r>
      <w:r w:rsidR="00E91B3F" w:rsidRPr="00474DE9">
        <w:rPr>
          <w:rFonts w:cs="Arial"/>
          <w:szCs w:val="24"/>
          <w:lang w:val="mn-MN"/>
        </w:rPr>
        <w:t xml:space="preserve">демийн чиг үүрэг, эрх зүйн байдал, бүтэц, үйл ажиллагааг тусгасан. Энэ хэсэгт эдгээр заалт зорилгодоо хүрэхүйц байгаа эсэхийг шалгах буюу </w:t>
      </w:r>
      <w:r w:rsidR="00647E15" w:rsidRPr="00474DE9">
        <w:rPr>
          <w:rFonts w:cs="Arial"/>
          <w:szCs w:val="24"/>
          <w:lang w:val="mn-MN"/>
        </w:rPr>
        <w:t>Ш</w:t>
      </w:r>
      <w:r w:rsidR="009A40DC" w:rsidRPr="00474DE9">
        <w:rPr>
          <w:rFonts w:cs="Arial"/>
          <w:szCs w:val="24"/>
          <w:lang w:val="mn-MN"/>
        </w:rPr>
        <w:t>ССМХ-</w:t>
      </w:r>
      <w:r w:rsidR="00647E15" w:rsidRPr="00474DE9">
        <w:rPr>
          <w:rFonts w:cs="Arial"/>
          <w:szCs w:val="24"/>
          <w:lang w:val="mn-MN"/>
        </w:rPr>
        <w:t xml:space="preserve">г “Академи” болгосноор </w:t>
      </w:r>
      <w:r w:rsidR="005D6D44" w:rsidRPr="00474DE9">
        <w:rPr>
          <w:rFonts w:cs="Arial"/>
          <w:szCs w:val="24"/>
          <w:lang w:val="mn-MN"/>
        </w:rPr>
        <w:t>шүүгч болох хуульчдыг урьдаас бэлдэх, шүүгчдийг мэргэжлийн ур чадвар, ёс зүйн хувьд тасралтгүй, тогтмол хөгжих боломжийг бүрдүүлэх нөхц</w:t>
      </w:r>
      <w:r w:rsidR="009B29A1" w:rsidRPr="00474DE9">
        <w:rPr>
          <w:rFonts w:cs="Arial"/>
          <w:szCs w:val="24"/>
          <w:lang w:val="mn-MN"/>
        </w:rPr>
        <w:t>ө</w:t>
      </w:r>
      <w:r w:rsidR="005D6D44" w:rsidRPr="00474DE9">
        <w:rPr>
          <w:rFonts w:cs="Arial"/>
          <w:szCs w:val="24"/>
          <w:lang w:val="mn-MN"/>
        </w:rPr>
        <w:t>лийг хангасан эсэх, ингэснээр олон улсын жишигт нийцсэн институц</w:t>
      </w:r>
      <w:r w:rsidR="009B29A1" w:rsidRPr="00474DE9">
        <w:rPr>
          <w:rFonts w:cs="Arial"/>
          <w:szCs w:val="24"/>
          <w:lang w:val="mn-MN"/>
        </w:rPr>
        <w:t>и</w:t>
      </w:r>
      <w:r w:rsidR="005D6D44" w:rsidRPr="00474DE9">
        <w:rPr>
          <w:rFonts w:cs="Arial"/>
          <w:szCs w:val="24"/>
          <w:lang w:val="mn-MN"/>
        </w:rPr>
        <w:t xml:space="preserve"> болох эсэхийг шалгана.</w:t>
      </w:r>
    </w:p>
    <w:p w14:paraId="2212D3E3" w14:textId="77777777" w:rsidR="005D6D44" w:rsidRPr="00474DE9" w:rsidRDefault="005D6D44" w:rsidP="00EA7955">
      <w:pPr>
        <w:spacing w:before="240" w:line="276" w:lineRule="auto"/>
        <w:jc w:val="both"/>
        <w:rPr>
          <w:rFonts w:cs="Arial"/>
          <w:szCs w:val="24"/>
          <w:lang w:val="mn-MN"/>
        </w:rPr>
      </w:pPr>
      <w:r w:rsidRPr="00474DE9">
        <w:rPr>
          <w:rFonts w:cs="Arial"/>
          <w:szCs w:val="24"/>
          <w:lang w:val="mn-MN"/>
        </w:rPr>
        <w:t>Энэхүү шалгуурыг дүгнэхийн тулд “Шүүхийн академи”-</w:t>
      </w:r>
      <w:r w:rsidR="00406F97" w:rsidRPr="00474DE9">
        <w:rPr>
          <w:rFonts w:cs="Arial"/>
          <w:szCs w:val="24"/>
          <w:lang w:val="mn-MN"/>
        </w:rPr>
        <w:t>д холбогдох олон улсын</w:t>
      </w:r>
      <w:r w:rsidRPr="00474DE9">
        <w:rPr>
          <w:rFonts w:cs="Arial"/>
          <w:szCs w:val="24"/>
          <w:lang w:val="mn-MN"/>
        </w:rPr>
        <w:t xml:space="preserve"> </w:t>
      </w:r>
      <w:r w:rsidR="00406F97" w:rsidRPr="00474DE9">
        <w:rPr>
          <w:rFonts w:cs="Arial"/>
          <w:szCs w:val="24"/>
          <w:lang w:val="mn-MN"/>
        </w:rPr>
        <w:t>ойлголт, зарчмыг</w:t>
      </w:r>
      <w:r w:rsidRPr="00474DE9">
        <w:rPr>
          <w:rFonts w:cs="Arial"/>
          <w:szCs w:val="24"/>
          <w:lang w:val="mn-MN"/>
        </w:rPr>
        <w:t xml:space="preserve"> авч үзье.</w:t>
      </w:r>
    </w:p>
    <w:p w14:paraId="475767EF" w14:textId="77777777" w:rsidR="002A58C0" w:rsidRPr="00474DE9" w:rsidRDefault="002A58C0" w:rsidP="00EA7955">
      <w:pPr>
        <w:spacing w:before="240" w:line="276" w:lineRule="auto"/>
        <w:jc w:val="both"/>
        <w:rPr>
          <w:rFonts w:cs="Arial"/>
          <w:szCs w:val="24"/>
          <w:lang w:val="mn-MN"/>
        </w:rPr>
      </w:pPr>
      <w:r w:rsidRPr="00474DE9">
        <w:rPr>
          <w:rFonts w:cs="Arial"/>
          <w:szCs w:val="24"/>
          <w:lang w:val="mn-MN"/>
        </w:rPr>
        <w:t>Шүүгчийн ёс зүйн талаарх Бангалорын зарчмууд</w:t>
      </w:r>
      <w:r w:rsidR="00542D26" w:rsidRPr="00474DE9">
        <w:rPr>
          <w:rStyle w:val="FootnoteReference"/>
          <w:rFonts w:cs="Arial"/>
          <w:szCs w:val="24"/>
          <w:lang w:val="mn-MN"/>
        </w:rPr>
        <w:footnoteReference w:id="3"/>
      </w:r>
      <w:r w:rsidR="00542D26" w:rsidRPr="00474DE9">
        <w:rPr>
          <w:rFonts w:cs="Arial"/>
          <w:szCs w:val="24"/>
          <w:lang w:val="mn-MN"/>
        </w:rPr>
        <w:t>-</w:t>
      </w:r>
      <w:r w:rsidRPr="00474DE9">
        <w:rPr>
          <w:rFonts w:cs="Arial"/>
          <w:szCs w:val="24"/>
          <w:lang w:val="mn-MN"/>
        </w:rPr>
        <w:t>ын 6.3-т “</w:t>
      </w:r>
      <w:r w:rsidRPr="00474DE9">
        <w:rPr>
          <w:rFonts w:cs="Arial"/>
          <w:i/>
          <w:szCs w:val="24"/>
          <w:lang w:val="mn-MN"/>
        </w:rPr>
        <w:t>Шүүгч нь шүүгчийн мэдлэг, ур чадвар, хувийн чанарыг  дээшлүүлэх,  сайжруулах  зохих  арга  хэмжээг  тухай  бүр  авах  бөгөөд  энэ  зорилгоор  шүүгчийн  албан  үүргээ  зохих  ёсоор  хэрэгжүүлэхэд  шаардлагатай  шүүхийн  сургалт,  бусад  арга хэрэгслийг зохих ёсоор бүтээлчээр ашиглана</w:t>
      </w:r>
      <w:r w:rsidRPr="00474DE9">
        <w:rPr>
          <w:rFonts w:cs="Arial"/>
          <w:szCs w:val="24"/>
          <w:lang w:val="mn-MN"/>
        </w:rPr>
        <w:t>” гэж тусгасан.</w:t>
      </w:r>
      <w:r w:rsidR="00542D26" w:rsidRPr="00474DE9">
        <w:rPr>
          <w:rFonts w:cs="Arial"/>
          <w:szCs w:val="24"/>
          <w:lang w:val="mn-MN"/>
        </w:rPr>
        <w:t xml:space="preserve"> Тус зарчмын агуулга нь “шүүгч нь албан үүргээ хангалттай хэмжээнд гүйцэтгэхийн тулд, юун түрүүнд өөрийн мэргэжлийн туршлагад тохирсон нарийвчилсан, гүнзгийрүүлсэн, төрөл бүрийн сургалтад хамрагдах зайлшгүй шаардлагатай бөгөөд сургалтын арга хэмжээ нь шүүхийн үйл ажиллагаа бодитой, шударга, чадварлаг явагдах үндэс бөгөөд шүүгчийг зүй бус нөлөөллөөс хамгаалдаг” гэж тайлбарладаг.</w:t>
      </w:r>
      <w:r w:rsidR="00542D26" w:rsidRPr="00474DE9">
        <w:rPr>
          <w:rStyle w:val="FootnoteReference"/>
          <w:rFonts w:cs="Arial"/>
          <w:szCs w:val="24"/>
          <w:lang w:val="mn-MN"/>
        </w:rPr>
        <w:footnoteReference w:id="4"/>
      </w:r>
    </w:p>
    <w:p w14:paraId="7F3B05B3" w14:textId="77777777" w:rsidR="00542D26" w:rsidRPr="00474DE9" w:rsidRDefault="00542D26" w:rsidP="00EA7955">
      <w:pPr>
        <w:spacing w:before="240" w:line="276" w:lineRule="auto"/>
        <w:jc w:val="both"/>
        <w:rPr>
          <w:rFonts w:cs="Arial"/>
          <w:szCs w:val="24"/>
          <w:lang w:val="mn-MN"/>
        </w:rPr>
      </w:pPr>
      <w:r w:rsidRPr="00474DE9">
        <w:rPr>
          <w:rFonts w:cs="Arial"/>
          <w:szCs w:val="24"/>
          <w:lang w:val="mn-MN"/>
        </w:rPr>
        <w:t>Түүнчлэн Бангалорын зарчмуудын тайлбарт дурдсанаар шүүгчийг сургах үүрэгтэй байгууллага нь шүүгчид сахилгын хариуцлага хүлээлгэдэг, томилдог, дэвшүүлдэг байгууллагаас тусдаа байх</w:t>
      </w:r>
      <w:r w:rsidR="002D00D6" w:rsidRPr="00474DE9">
        <w:rPr>
          <w:rFonts w:cs="Arial"/>
          <w:szCs w:val="24"/>
          <w:lang w:val="mn-MN"/>
        </w:rPr>
        <w:t xml:space="preserve"> </w:t>
      </w:r>
      <w:r w:rsidRPr="00474DE9">
        <w:rPr>
          <w:rFonts w:cs="Arial"/>
          <w:szCs w:val="24"/>
          <w:lang w:val="mn-MN"/>
        </w:rPr>
        <w:t>ёстой</w:t>
      </w:r>
      <w:r w:rsidR="002D00D6" w:rsidRPr="00474DE9">
        <w:rPr>
          <w:rFonts w:cs="Arial"/>
          <w:szCs w:val="24"/>
          <w:lang w:val="mn-MN"/>
        </w:rPr>
        <w:t xml:space="preserve"> бөгөөд тухайн</w:t>
      </w:r>
      <w:r w:rsidRPr="00474DE9">
        <w:rPr>
          <w:rFonts w:cs="Arial"/>
          <w:szCs w:val="24"/>
          <w:lang w:val="mn-MN"/>
        </w:rPr>
        <w:t xml:space="preserve"> </w:t>
      </w:r>
      <w:r w:rsidR="002D00D6" w:rsidRPr="00474DE9">
        <w:rPr>
          <w:rFonts w:cs="Arial"/>
          <w:szCs w:val="24"/>
          <w:lang w:val="mn-MN"/>
        </w:rPr>
        <w:t xml:space="preserve">сургалтын </w:t>
      </w:r>
      <w:r w:rsidRPr="00474DE9">
        <w:rPr>
          <w:rFonts w:cs="Arial"/>
          <w:szCs w:val="24"/>
          <w:lang w:val="mn-MN"/>
        </w:rPr>
        <w:t>байгууллага нь сургалтын үйл ажиллагааг өөрийн төсөвтэйгөөр,</w:t>
      </w:r>
      <w:r w:rsidR="002D00D6" w:rsidRPr="00474DE9">
        <w:rPr>
          <w:rFonts w:cs="Arial"/>
          <w:szCs w:val="24"/>
          <w:lang w:val="mn-MN"/>
        </w:rPr>
        <w:t xml:space="preserve"> </w:t>
      </w:r>
      <w:r w:rsidRPr="00474DE9">
        <w:rPr>
          <w:rFonts w:cs="Arial"/>
          <w:szCs w:val="24"/>
          <w:lang w:val="mn-MN"/>
        </w:rPr>
        <w:t>шүүгчидтэй зөвлөлдөн сургалтын хөтөлбөр боловсруулж,</w:t>
      </w:r>
      <w:r w:rsidR="002D00D6" w:rsidRPr="00474DE9">
        <w:rPr>
          <w:rFonts w:cs="Arial"/>
          <w:szCs w:val="24"/>
          <w:lang w:val="mn-MN"/>
        </w:rPr>
        <w:t xml:space="preserve"> </w:t>
      </w:r>
      <w:r w:rsidRPr="00474DE9">
        <w:rPr>
          <w:rFonts w:cs="Arial"/>
          <w:szCs w:val="24"/>
          <w:lang w:val="mn-MN"/>
        </w:rPr>
        <w:t>хэрэгжүүл</w:t>
      </w:r>
      <w:r w:rsidR="002D00D6" w:rsidRPr="00474DE9">
        <w:rPr>
          <w:rFonts w:cs="Arial"/>
          <w:szCs w:val="24"/>
          <w:lang w:val="mn-MN"/>
        </w:rPr>
        <w:t>нэ</w:t>
      </w:r>
      <w:r w:rsidR="00073695" w:rsidRPr="00474DE9">
        <w:rPr>
          <w:rFonts w:cs="Arial"/>
          <w:szCs w:val="24"/>
          <w:lang w:val="mn-MN"/>
        </w:rPr>
        <w:t>; мөн сургалтыг тухайн салбарт мэргэшсэн шүүгчид, мэргэжилтнүүд удирдан явуулах нь чухал бөгөөд сургалт хариуцсан байгууллага нь сургагч багшийг мэдлэг, боловсрол, мэргэшсэн байдал болон тухайн сэдвийг эзэмшсэн байдал, заах ур чадварыг нь үндэслэн шилж сонгоно</w:t>
      </w:r>
      <w:r w:rsidR="002D00D6" w:rsidRPr="00474DE9">
        <w:rPr>
          <w:rFonts w:cs="Arial"/>
          <w:szCs w:val="24"/>
          <w:lang w:val="mn-MN"/>
        </w:rPr>
        <w:t xml:space="preserve"> гэжээ.</w:t>
      </w:r>
    </w:p>
    <w:p w14:paraId="1656A7FB" w14:textId="77777777" w:rsidR="00320AB0" w:rsidRPr="00474DE9" w:rsidRDefault="00406F97" w:rsidP="00EA7955">
      <w:pPr>
        <w:spacing w:before="240" w:line="276" w:lineRule="auto"/>
        <w:jc w:val="both"/>
        <w:rPr>
          <w:rFonts w:cs="Arial"/>
          <w:szCs w:val="24"/>
          <w:lang w:val="mn-MN"/>
        </w:rPr>
      </w:pPr>
      <w:r w:rsidRPr="00474DE9">
        <w:rPr>
          <w:rFonts w:cs="Arial"/>
          <w:szCs w:val="24"/>
          <w:lang w:val="mn-MN"/>
        </w:rPr>
        <w:t>“Академи” гэх нэр томьёоны тухайд Кэмбриджийн толь бичиг</w:t>
      </w:r>
      <w:r w:rsidRPr="00474DE9">
        <w:rPr>
          <w:rStyle w:val="FootnoteReference"/>
          <w:rFonts w:cs="Arial"/>
          <w:szCs w:val="24"/>
          <w:lang w:val="mn-MN"/>
        </w:rPr>
        <w:footnoteReference w:id="5"/>
      </w:r>
      <w:r w:rsidRPr="00474DE9">
        <w:rPr>
          <w:rFonts w:cs="Arial"/>
          <w:szCs w:val="24"/>
          <w:lang w:val="mn-MN"/>
        </w:rPr>
        <w:t>-т “1) шинжлэх ухаан, хэл, урлаг зэргийг хамгаалах, хөгжүүлэх зорилго бүхий байгууллага эсхүл тодорхой төрлийн чиглэлээр сургалт явуулдаг байгууллага гэж; Британика толь</w:t>
      </w:r>
      <w:r w:rsidRPr="00474DE9">
        <w:rPr>
          <w:rStyle w:val="FootnoteReference"/>
          <w:rFonts w:cs="Arial"/>
          <w:szCs w:val="24"/>
          <w:lang w:val="mn-MN"/>
        </w:rPr>
        <w:footnoteReference w:id="6"/>
      </w:r>
      <w:r w:rsidRPr="00474DE9">
        <w:rPr>
          <w:rFonts w:cs="Arial"/>
          <w:szCs w:val="24"/>
          <w:lang w:val="mn-MN"/>
        </w:rPr>
        <w:t>-д “1) тусгай ур чадвар олгох чиглэлээр сургалт явуулдаг сургалтын байгууллага гэж; Монгол хэлний их тайлбар толь</w:t>
      </w:r>
      <w:r w:rsidRPr="00474DE9">
        <w:rPr>
          <w:rStyle w:val="FootnoteReference"/>
          <w:rFonts w:cs="Arial"/>
          <w:szCs w:val="24"/>
          <w:lang w:val="mn-MN"/>
        </w:rPr>
        <w:footnoteReference w:id="7"/>
      </w:r>
      <w:r w:rsidRPr="00474DE9">
        <w:rPr>
          <w:rFonts w:cs="Arial"/>
          <w:szCs w:val="24"/>
          <w:lang w:val="mn-MN"/>
        </w:rPr>
        <w:t xml:space="preserve">-д 1) эрдэм шинжилгээний төв байгууллага гэж тус тус тодорхойлсон байна. Эдгээрээс үзвэл, </w:t>
      </w:r>
      <w:r w:rsidR="00073695" w:rsidRPr="00474DE9">
        <w:rPr>
          <w:rFonts w:cs="Arial"/>
          <w:szCs w:val="24"/>
          <w:lang w:val="mn-MN"/>
        </w:rPr>
        <w:lastRenderedPageBreak/>
        <w:t>“академи” нь тодорхой чиглэлээр мэргэжилтэн бэлтгэх зорилгын хүрээнд гүнзгийрүүлсэн үйл ажиллагаа эрхэлдэг сургалтын байгууллага гэж дүгнэж болох юм.</w:t>
      </w:r>
    </w:p>
    <w:p w14:paraId="1576F6B8" w14:textId="77777777" w:rsidR="00073695" w:rsidRPr="00474DE9" w:rsidRDefault="00073695" w:rsidP="00EA7955">
      <w:pPr>
        <w:spacing w:before="240" w:line="276" w:lineRule="auto"/>
        <w:jc w:val="both"/>
        <w:rPr>
          <w:rFonts w:cs="Arial"/>
          <w:szCs w:val="24"/>
          <w:lang w:val="mn-MN"/>
        </w:rPr>
      </w:pPr>
      <w:r w:rsidRPr="00474DE9">
        <w:rPr>
          <w:rFonts w:cs="Arial"/>
          <w:szCs w:val="24"/>
          <w:lang w:val="mn-MN"/>
        </w:rPr>
        <w:t>Хуулийн төслийн 24 дүгээр зүйлийн 24.1, 24.</w:t>
      </w:r>
      <w:r w:rsidR="004C2BD9" w:rsidRPr="00474DE9">
        <w:rPr>
          <w:rFonts w:cs="Arial"/>
          <w:szCs w:val="24"/>
          <w:lang w:val="mn-MN"/>
        </w:rPr>
        <w:t>2</w:t>
      </w:r>
      <w:r w:rsidRPr="00474DE9">
        <w:rPr>
          <w:rFonts w:cs="Arial"/>
          <w:szCs w:val="24"/>
          <w:lang w:val="mn-MN"/>
        </w:rPr>
        <w:t>, 24.</w:t>
      </w:r>
      <w:r w:rsidR="004C2BD9" w:rsidRPr="00474DE9">
        <w:rPr>
          <w:rFonts w:cs="Arial"/>
          <w:szCs w:val="24"/>
          <w:lang w:val="mn-MN"/>
        </w:rPr>
        <w:t>5</w:t>
      </w:r>
      <w:r w:rsidRPr="00474DE9">
        <w:rPr>
          <w:rFonts w:cs="Arial"/>
          <w:szCs w:val="24"/>
          <w:lang w:val="mn-MN"/>
        </w:rPr>
        <w:t>, 24.</w:t>
      </w:r>
      <w:r w:rsidR="004C2BD9" w:rsidRPr="00474DE9">
        <w:rPr>
          <w:rFonts w:cs="Arial"/>
          <w:szCs w:val="24"/>
          <w:lang w:val="mn-MN"/>
        </w:rPr>
        <w:t>6</w:t>
      </w:r>
      <w:r w:rsidRPr="00474DE9">
        <w:rPr>
          <w:rFonts w:cs="Arial"/>
          <w:szCs w:val="24"/>
          <w:lang w:val="mn-MN"/>
        </w:rPr>
        <w:t xml:space="preserve"> дугаар заалт</w:t>
      </w:r>
      <w:r w:rsidR="00EA7955" w:rsidRPr="00474DE9">
        <w:rPr>
          <w:rFonts w:cs="Arial"/>
          <w:szCs w:val="24"/>
          <w:lang w:val="mn-MN"/>
        </w:rPr>
        <w:t>аар “Шүүхийн академи”-ийн эрх зүйн байдлыг өөрчилсөн нь Бангалорын зарчмуудын 6.3-т заасан шүүгчийн мэдлэг, ур чадвар, хувийн чанарыг  дээшлүүлэх,  сайжруулах  зорилгоор  шүүгчийн  албан  үүргээ  зохих  ёсоор  хэрэгжүүлэхэд  шаардлагатай  шүү</w:t>
      </w:r>
      <w:r w:rsidR="009B29A1" w:rsidRPr="00474DE9">
        <w:rPr>
          <w:rFonts w:cs="Arial"/>
          <w:szCs w:val="24"/>
          <w:lang w:val="mn-MN"/>
        </w:rPr>
        <w:t>гчийн</w:t>
      </w:r>
      <w:r w:rsidR="00EA7955" w:rsidRPr="00474DE9">
        <w:rPr>
          <w:rFonts w:cs="Arial"/>
          <w:szCs w:val="24"/>
          <w:lang w:val="mn-MN"/>
        </w:rPr>
        <w:t xml:space="preserve">  сургалтыг явуулах зорилгод нийцэж байна гэж үзэж байна. </w:t>
      </w:r>
    </w:p>
    <w:p w14:paraId="0FE39C9B" w14:textId="77777777" w:rsidR="00EA7955" w:rsidRPr="00474DE9" w:rsidRDefault="00EA7955" w:rsidP="00EA7955">
      <w:pPr>
        <w:spacing w:line="276" w:lineRule="auto"/>
        <w:ind w:firstLine="567"/>
        <w:jc w:val="both"/>
        <w:rPr>
          <w:rFonts w:eastAsia="Times New Roman" w:cs="Arial"/>
          <w:bCs/>
          <w:szCs w:val="24"/>
          <w:lang w:val="mn-MN"/>
        </w:rPr>
      </w:pPr>
      <w:r w:rsidRPr="00474DE9">
        <w:rPr>
          <w:rFonts w:cs="Arial"/>
          <w:szCs w:val="24"/>
          <w:lang w:val="mn-MN"/>
        </w:rPr>
        <w:t xml:space="preserve">Тодруулбал, </w:t>
      </w:r>
      <w:r w:rsidRPr="00474DE9">
        <w:rPr>
          <w:rFonts w:eastAsia="Times New Roman" w:cs="Arial"/>
          <w:bCs/>
          <w:szCs w:val="24"/>
          <w:lang w:val="mn-MN"/>
        </w:rPr>
        <w:t>Шүүхийн сургалт, судалгаа, мэдээллийн хүрээлэн (одоогийн нэршлээр) “Шүүгчийн сургалтын нэгдсэн бодлого”-ыг 2022 оноос эхлэн хэрэгжүүлж, шүүгчийн сургалт зохион байгуулж бай</w:t>
      </w:r>
      <w:r w:rsidR="009B29A1" w:rsidRPr="00474DE9">
        <w:rPr>
          <w:rFonts w:eastAsia="Times New Roman" w:cs="Arial"/>
          <w:bCs/>
          <w:szCs w:val="24"/>
          <w:lang w:val="mn-MN"/>
        </w:rPr>
        <w:t>гаа</w:t>
      </w:r>
      <w:r w:rsidRPr="00474DE9">
        <w:rPr>
          <w:rFonts w:eastAsia="Times New Roman" w:cs="Arial"/>
          <w:bCs/>
          <w:szCs w:val="24"/>
          <w:lang w:val="mn-MN"/>
        </w:rPr>
        <w:t xml:space="preserve"> бөгөөд нэгдсэн бодлогын хүрээнд одоо ажиллаж байгаа шүүгчийг мэргэшүүлэх, давтан сургах сургалтын тогтолцоо бүрэн бүрдсэн. Хэдий тийм боловч шүүгчээр ажиллах шаардлага хангасан, шилэгдмэл хуульчид шүүгч болдог тогтолцоог бүрдүүлэхийн тулд шүүгчид нэр дэвшигчийг бэлтгэх сургалтын тогтолцоо, хөтөлбөрийг шинээр нэвтрүүлэх дараах практик шаардлага тулгар</w:t>
      </w:r>
      <w:r w:rsidR="00995DCF" w:rsidRPr="00474DE9">
        <w:rPr>
          <w:rFonts w:eastAsia="Times New Roman" w:cs="Arial"/>
          <w:bCs/>
          <w:szCs w:val="24"/>
          <w:lang w:val="mn-MN"/>
        </w:rPr>
        <w:t>чээ</w:t>
      </w:r>
      <w:r w:rsidRPr="00474DE9">
        <w:rPr>
          <w:rFonts w:eastAsia="Times New Roman" w:cs="Arial"/>
          <w:bCs/>
          <w:szCs w:val="24"/>
          <w:lang w:val="mn-MN"/>
        </w:rPr>
        <w:t xml:space="preserve">. </w:t>
      </w:r>
    </w:p>
    <w:p w14:paraId="29FB9CC8" w14:textId="77777777" w:rsidR="00EA7955" w:rsidRPr="00474DE9" w:rsidRDefault="00EA7955" w:rsidP="00EA7955">
      <w:pPr>
        <w:spacing w:line="276" w:lineRule="auto"/>
        <w:ind w:firstLine="567"/>
        <w:jc w:val="both"/>
        <w:rPr>
          <w:rFonts w:eastAsia="Times New Roman" w:cs="Arial"/>
          <w:bCs/>
          <w:szCs w:val="24"/>
          <w:lang w:val="mn-MN"/>
        </w:rPr>
      </w:pPr>
      <w:r w:rsidRPr="00474DE9">
        <w:rPr>
          <w:rFonts w:cs="Arial"/>
          <w:szCs w:val="24"/>
          <w:lang w:val="mn-MN" w:eastAsia="ja-JP"/>
        </w:rPr>
        <w:t>Шүүхийн ерөнхий зөвлөлийн 2021-2023 оны тайланд</w:t>
      </w:r>
      <w:r w:rsidR="00995DCF" w:rsidRPr="00474DE9">
        <w:rPr>
          <w:rFonts w:cs="Arial"/>
          <w:szCs w:val="24"/>
          <w:lang w:val="mn-MN" w:eastAsia="ja-JP"/>
        </w:rPr>
        <w:t xml:space="preserve"> дурдсанаар</w:t>
      </w:r>
      <w:r w:rsidRPr="00474DE9">
        <w:rPr>
          <w:rFonts w:cs="Arial"/>
          <w:szCs w:val="24"/>
          <w:lang w:val="mn-MN" w:eastAsia="ja-JP"/>
        </w:rPr>
        <w:t xml:space="preserve"> шүүгчийн сонгон шалгаруулалтад оролцогчдын 85 хувь нь шалгал</w:t>
      </w:r>
      <w:r w:rsidR="009B29A1" w:rsidRPr="00474DE9">
        <w:rPr>
          <w:rFonts w:cs="Arial"/>
          <w:szCs w:val="24"/>
          <w:lang w:val="mn-MN" w:eastAsia="ja-JP"/>
        </w:rPr>
        <w:t>та</w:t>
      </w:r>
      <w:r w:rsidRPr="00474DE9">
        <w:rPr>
          <w:rFonts w:cs="Arial"/>
          <w:szCs w:val="24"/>
          <w:lang w:val="mn-MN" w:eastAsia="ja-JP"/>
        </w:rPr>
        <w:t>д тэнцээгүй</w:t>
      </w:r>
      <w:r w:rsidRPr="00474DE9">
        <w:rPr>
          <w:rStyle w:val="FootnoteReference"/>
          <w:rFonts w:cs="Arial"/>
          <w:szCs w:val="24"/>
          <w:lang w:val="mn-MN" w:eastAsia="ja-JP"/>
        </w:rPr>
        <w:footnoteReference w:id="8"/>
      </w:r>
      <w:r w:rsidRPr="00474DE9">
        <w:rPr>
          <w:rFonts w:cs="Arial"/>
          <w:szCs w:val="24"/>
          <w:lang w:val="mn-MN" w:eastAsia="ja-JP"/>
        </w:rPr>
        <w:t xml:space="preserve"> буюу Шүүхийн ерөнхий зөвлөлөөс шүүгчийн сул орон тоонд сонгон шалгаруулалт удаа дараа зарлан зохион байгуулж байгаа хэдий ч тухайн шалгаруулалтад тэнцэж шүүгчээр томилогдож байгаа хувь маш бага байгаагаас харахад шүүгчээр ажиллах зорилготой хуульчдыг урьдчилан  мэргэжлийн болон ёс зүйн сургалтад хамруулж, мэргэжлийн өндөр түвшний шилэгдмэл хуульчид шүүгчийн сонгон шалгаруулалтад оролцох, цаашлаад шүүгчээр ажиллах боломжийг бүрдүүлэх шаардлага зүй ёсоор тавигдаж байна. </w:t>
      </w:r>
      <w:r w:rsidRPr="00474DE9">
        <w:rPr>
          <w:rFonts w:cs="Arial"/>
          <w:szCs w:val="24"/>
          <w:lang w:val="mn-MN"/>
        </w:rPr>
        <w:t>Иймд шүүгчээр ажиллах хүсэл тэмүүлэлтэй хуульчдыг анхан шатны шүүхийн шүүгчид нэр дэвшихээс өмнө эсхүл нэр дэвшихэд нь хэрэг хянан шийдвэрлэх ажиллагааны суурь мэдлэгтэй болгох, ёс зүй, харилцаа хандлагыг төлөвшүүлэх, практик туршлага хуримтлуулах зорилгоор тэднийг урьдчилан бэлтгэх сургалтад заавал хамруулдаг байх сургалтын тогтолцоог бүрдүүлэх шаардлагатай байна.</w:t>
      </w:r>
    </w:p>
    <w:p w14:paraId="34BA8085" w14:textId="77777777" w:rsidR="00EA7955" w:rsidRPr="00474DE9" w:rsidRDefault="00995DCF" w:rsidP="00EA7955">
      <w:pPr>
        <w:spacing w:before="240" w:line="276" w:lineRule="auto"/>
        <w:jc w:val="both"/>
        <w:rPr>
          <w:rFonts w:cs="Arial"/>
          <w:szCs w:val="24"/>
          <w:lang w:val="mn-MN"/>
        </w:rPr>
      </w:pPr>
      <w:r w:rsidRPr="00474DE9">
        <w:rPr>
          <w:rFonts w:cs="Arial"/>
          <w:szCs w:val="24"/>
          <w:lang w:val="mn-MN"/>
        </w:rPr>
        <w:t xml:space="preserve">Түүнчлэн </w:t>
      </w:r>
      <w:r w:rsidR="009B29A1" w:rsidRPr="00474DE9">
        <w:rPr>
          <w:rFonts w:cs="Arial"/>
          <w:szCs w:val="24"/>
          <w:lang w:val="mn-MN"/>
        </w:rPr>
        <w:t>Монгол Улсын ш</w:t>
      </w:r>
      <w:r w:rsidR="00EA7955" w:rsidRPr="00474DE9">
        <w:rPr>
          <w:rFonts w:cs="Arial"/>
          <w:szCs w:val="24"/>
          <w:lang w:val="mn-MN"/>
        </w:rPr>
        <w:t>үүхийн тухай хуул</w:t>
      </w:r>
      <w:r w:rsidR="009A40DC" w:rsidRPr="00474DE9">
        <w:rPr>
          <w:rFonts w:cs="Arial"/>
          <w:szCs w:val="24"/>
          <w:lang w:val="mn-MN"/>
        </w:rPr>
        <w:t>ь</w:t>
      </w:r>
      <w:r w:rsidR="009A40DC" w:rsidRPr="00474DE9">
        <w:rPr>
          <w:rStyle w:val="FootnoteReference"/>
          <w:rFonts w:cs="Arial"/>
          <w:szCs w:val="24"/>
          <w:lang w:val="mn-MN"/>
        </w:rPr>
        <w:footnoteReference w:id="9"/>
      </w:r>
      <w:r w:rsidR="009A40DC" w:rsidRPr="00474DE9">
        <w:rPr>
          <w:rFonts w:cs="Arial"/>
          <w:szCs w:val="24"/>
          <w:lang w:val="mn-MN"/>
        </w:rPr>
        <w:t>-</w:t>
      </w:r>
      <w:r w:rsidR="00EA7955" w:rsidRPr="00474DE9">
        <w:rPr>
          <w:rFonts w:cs="Arial"/>
          <w:szCs w:val="24"/>
          <w:lang w:val="mn-MN"/>
        </w:rPr>
        <w:t>ийн 37 дугаар зүйлийн 37.1 дэх хэсэгт Анхан шатны шүүхийн шүүгчийн албан тушаалд шинээр томилогдсон шүүгчийг шүүх эрх мэдлийг хэрэгжүүлэхэд мэргэшүүлэн дадлагажуулах зорилгоор гурван сар хүртэл хугацаагаар мэргэшүүлэх сургалтад хамруулна гэж заасан. Гэ</w:t>
      </w:r>
      <w:r w:rsidRPr="00474DE9">
        <w:rPr>
          <w:rFonts w:cs="Arial"/>
          <w:szCs w:val="24"/>
          <w:lang w:val="mn-MN"/>
        </w:rPr>
        <w:t>вч</w:t>
      </w:r>
      <w:r w:rsidR="00EA7955" w:rsidRPr="00474DE9">
        <w:rPr>
          <w:rFonts w:cs="Arial"/>
          <w:szCs w:val="24"/>
          <w:lang w:val="mn-MN"/>
        </w:rPr>
        <w:t xml:space="preserve"> өнөөгийн нөхцөлд</w:t>
      </w:r>
      <w:r w:rsidRPr="00474DE9">
        <w:rPr>
          <w:rFonts w:cs="Arial"/>
          <w:szCs w:val="24"/>
          <w:lang w:val="mn-MN"/>
        </w:rPr>
        <w:t xml:space="preserve"> </w:t>
      </w:r>
      <w:r w:rsidR="00EA7955" w:rsidRPr="00474DE9">
        <w:rPr>
          <w:rFonts w:cs="Arial"/>
          <w:szCs w:val="24"/>
          <w:lang w:val="mn-MN"/>
        </w:rPr>
        <w:t>шинээр томилогдсон шүүгчийг сургалтад хамрагдахаас өмнө шууд хэрэг хуваарилдаг бөгөөд хэрэг хянан шийдвэрлэх ажиллагааг түдгэлзүүлэх эсэх, сурга</w:t>
      </w:r>
      <w:r w:rsidRPr="00474DE9">
        <w:rPr>
          <w:rFonts w:cs="Arial"/>
          <w:szCs w:val="24"/>
          <w:lang w:val="mn-MN"/>
        </w:rPr>
        <w:t>л</w:t>
      </w:r>
      <w:r w:rsidR="00EA7955" w:rsidRPr="00474DE9">
        <w:rPr>
          <w:rFonts w:cs="Arial"/>
          <w:szCs w:val="24"/>
          <w:lang w:val="mn-MN"/>
        </w:rPr>
        <w:t xml:space="preserve">тад хамрагдах үед шүүхийн ачааллыг </w:t>
      </w:r>
      <w:r w:rsidR="00EA7955" w:rsidRPr="00474DE9">
        <w:rPr>
          <w:rFonts w:cs="Arial"/>
          <w:szCs w:val="24"/>
          <w:lang w:val="mn-MN"/>
        </w:rPr>
        <w:lastRenderedPageBreak/>
        <w:t>хэрхэн зохицуулах талаар нарийвчилсан зохицуулалт байхгүй байна. Иймд шинээр томилогдсон шүүгчдэд шүүн таслах ажиллагааг хэрэгжүүлэхэд зайлшгүй шаардлагатай суурь мэдлэгийг шүүгчээр томилогдохоос нь өмнө буюу шүүгчид нэр дэвших үед нь олгох нь илүү үр дүнтэй байдаг олон улсын сайн туршлага б</w:t>
      </w:r>
      <w:r w:rsidRPr="00474DE9">
        <w:rPr>
          <w:rFonts w:cs="Arial"/>
          <w:szCs w:val="24"/>
          <w:lang w:val="mn-MN"/>
        </w:rPr>
        <w:t>ий</w:t>
      </w:r>
      <w:r w:rsidR="00EA7955" w:rsidRPr="00474DE9">
        <w:rPr>
          <w:rFonts w:cs="Arial"/>
          <w:szCs w:val="24"/>
          <w:lang w:val="mn-MN"/>
        </w:rPr>
        <w:t xml:space="preserve">. </w:t>
      </w:r>
    </w:p>
    <w:p w14:paraId="71E13C50" w14:textId="77777777" w:rsidR="00EA7955" w:rsidRPr="00474DE9" w:rsidRDefault="00995DCF" w:rsidP="00995DCF">
      <w:pPr>
        <w:spacing w:before="240" w:line="276" w:lineRule="auto"/>
        <w:jc w:val="both"/>
        <w:rPr>
          <w:rFonts w:cs="Arial"/>
          <w:szCs w:val="24"/>
          <w:lang w:val="mn-MN"/>
        </w:rPr>
      </w:pPr>
      <w:r w:rsidRPr="00474DE9">
        <w:rPr>
          <w:rFonts w:cs="Arial"/>
          <w:szCs w:val="24"/>
          <w:lang w:val="mn-MN"/>
        </w:rPr>
        <w:t xml:space="preserve">Иймд хуулийн төслийн 24 дүгээр зүйлийн 24.1-д </w:t>
      </w:r>
      <w:r w:rsidRPr="00474DE9">
        <w:rPr>
          <w:rFonts w:cs="Arial"/>
          <w:i/>
          <w:szCs w:val="24"/>
          <w:lang w:val="mn-MN"/>
        </w:rPr>
        <w:t>“... шүүгч бэлтгэх болон шүүгчийг мэргэшүүлэх сургалт зохион байгуулах</w:t>
      </w:r>
      <w:r w:rsidRPr="00474DE9">
        <w:rPr>
          <w:rFonts w:cs="Arial"/>
          <w:szCs w:val="24"/>
          <w:lang w:val="mn-MN"/>
        </w:rPr>
        <w:t>” гэж, 24.</w:t>
      </w:r>
      <w:r w:rsidR="004C2BD9" w:rsidRPr="00474DE9">
        <w:rPr>
          <w:rFonts w:cs="Arial"/>
          <w:szCs w:val="24"/>
          <w:lang w:val="mn-MN"/>
        </w:rPr>
        <w:t>5</w:t>
      </w:r>
      <w:r w:rsidRPr="00474DE9">
        <w:rPr>
          <w:rFonts w:cs="Arial"/>
          <w:szCs w:val="24"/>
          <w:lang w:val="mn-MN"/>
        </w:rPr>
        <w:t>-д “</w:t>
      </w:r>
      <w:r w:rsidRPr="00474DE9">
        <w:rPr>
          <w:rFonts w:cs="Arial"/>
          <w:i/>
          <w:szCs w:val="24"/>
          <w:lang w:val="mn-MN"/>
        </w:rPr>
        <w:t>Анхан шатны шүүхэд нэр дэвшигч шүүгч бэлтгэх сургалтад заавал хамрагдана</w:t>
      </w:r>
      <w:r w:rsidRPr="00474DE9">
        <w:rPr>
          <w:rFonts w:cs="Arial"/>
          <w:szCs w:val="24"/>
          <w:lang w:val="mn-MN"/>
        </w:rPr>
        <w:t>” гэж оруулсан нь дээрх асуудлуудыг шийдвэрлэх ач холбогдолтой гэж үзэж байна.</w:t>
      </w:r>
    </w:p>
    <w:p w14:paraId="68D3CCA2" w14:textId="77777777" w:rsidR="00EA7955" w:rsidRPr="00474DE9" w:rsidRDefault="00EA7955" w:rsidP="00EA7955">
      <w:pPr>
        <w:spacing w:before="240" w:line="276" w:lineRule="auto"/>
        <w:jc w:val="both"/>
        <w:rPr>
          <w:rFonts w:cs="Arial"/>
          <w:szCs w:val="24"/>
          <w:lang w:val="mn-MN"/>
        </w:rPr>
      </w:pPr>
      <w:r w:rsidRPr="00474DE9">
        <w:rPr>
          <w:rFonts w:cs="Arial"/>
          <w:szCs w:val="24"/>
          <w:lang w:val="mn-MN"/>
        </w:rPr>
        <w:t xml:space="preserve">Мөн шүүгчийн сургалтын хүрээнд тулгамдсан асуудлын нэг нь шүүгч-сургагч багшийн хүрэлцээний асуудал </w:t>
      </w:r>
      <w:r w:rsidR="00995DCF" w:rsidRPr="00474DE9">
        <w:rPr>
          <w:rFonts w:cs="Arial"/>
          <w:szCs w:val="24"/>
          <w:lang w:val="mn-MN"/>
        </w:rPr>
        <w:t>бөгөөд д</w:t>
      </w:r>
      <w:r w:rsidRPr="00474DE9">
        <w:rPr>
          <w:rFonts w:cs="Arial"/>
          <w:szCs w:val="24"/>
          <w:lang w:val="mn-MN"/>
        </w:rPr>
        <w:t xml:space="preserve">элхийн улс орны Шүүхийн академи, хүрээлэнгүүдийн туршлагыг харьцуулан судлахад  шүүгчид нь өөрсдөө эдгээр байгууллага дээрээ хуульд заасан тодорхой хугацаанд үндсэн багшаар ажилладаг жишээ олон байна. Иймд шүүгч-сургагч багш нарыг </w:t>
      </w:r>
      <w:r w:rsidR="00995DCF" w:rsidRPr="00474DE9">
        <w:rPr>
          <w:rFonts w:cs="Arial"/>
          <w:szCs w:val="24"/>
          <w:lang w:val="mn-MN"/>
        </w:rPr>
        <w:t>“Шүүхийн академи”-д</w:t>
      </w:r>
      <w:r w:rsidRPr="00474DE9">
        <w:rPr>
          <w:rFonts w:cs="Arial"/>
          <w:szCs w:val="24"/>
          <w:lang w:val="mn-MN"/>
        </w:rPr>
        <w:t xml:space="preserve"> шүүгч судлаачийн адил тодорхой хугацаанд шүүн таслах ажлаас нь чөлөөлж шүүгч-сургагч багшаар ажиллуулах </w:t>
      </w:r>
      <w:r w:rsidR="00995DCF" w:rsidRPr="00474DE9">
        <w:rPr>
          <w:rFonts w:cs="Arial"/>
          <w:szCs w:val="24"/>
          <w:lang w:val="mn-MN"/>
        </w:rPr>
        <w:t>тухай хуулийн төслийн 24 дүгээр зүйлийн 24.</w:t>
      </w:r>
      <w:r w:rsidR="004C2BD9" w:rsidRPr="00474DE9">
        <w:rPr>
          <w:rFonts w:cs="Arial"/>
          <w:szCs w:val="24"/>
          <w:lang w:val="mn-MN"/>
        </w:rPr>
        <w:t>6</w:t>
      </w:r>
      <w:r w:rsidR="00995DCF" w:rsidRPr="00474DE9">
        <w:rPr>
          <w:rFonts w:cs="Arial"/>
          <w:szCs w:val="24"/>
          <w:lang w:val="mn-MN"/>
        </w:rPr>
        <w:t xml:space="preserve"> дахь заалт </w:t>
      </w:r>
      <w:r w:rsidRPr="00474DE9">
        <w:rPr>
          <w:rFonts w:cs="Arial"/>
          <w:szCs w:val="24"/>
          <w:lang w:val="mn-MN"/>
        </w:rPr>
        <w:t>нь сургалтын чанар, үр өгөөжийг нэмэгдүүлэх, хүний нөөцийн мэргэшсэн тогтвортой байдлыг хангах чухал ач холбогдолтой гэж үзэж байна.</w:t>
      </w:r>
    </w:p>
    <w:p w14:paraId="205E618F" w14:textId="77777777" w:rsidR="00EA7955" w:rsidRPr="00474DE9" w:rsidRDefault="00CE2098" w:rsidP="00EA7955">
      <w:pPr>
        <w:spacing w:before="240" w:line="276" w:lineRule="auto"/>
        <w:jc w:val="both"/>
        <w:rPr>
          <w:rFonts w:cs="Arial"/>
          <w:szCs w:val="24"/>
          <w:lang w:val="mn-MN"/>
        </w:rPr>
      </w:pPr>
      <w:r w:rsidRPr="00474DE9">
        <w:rPr>
          <w:rFonts w:cs="Arial"/>
          <w:szCs w:val="24"/>
          <w:lang w:val="mn-MN"/>
        </w:rPr>
        <w:t>Бангалорын зарчмуудын тайлбарт шүүгчийг сургах үүрэгтэй байгууллага нь шүүгчид сахилгын хариуцлага хүлээлгэдэг, томилдог, дэвшүүлдэг байгууллагаас тусдаа байх ёстой бөгөөд тухайн сургалтын байгууллага нь сургалтын үйл ажиллагааг өөрийн төсөвтэйгөөр, шүүгчидтэй зөвлөлдөн сургалтын хөтөлбөр боловсруулж, хэрэгжүүлнэ гэсэн байх бөгөөд хуулийн төслийн 24 дүгээр зүйлийн 24.</w:t>
      </w:r>
      <w:r w:rsidR="004C2BD9" w:rsidRPr="00474DE9">
        <w:rPr>
          <w:rFonts w:cs="Arial"/>
          <w:szCs w:val="24"/>
          <w:lang w:val="mn-MN"/>
        </w:rPr>
        <w:t>3</w:t>
      </w:r>
      <w:r w:rsidRPr="00474DE9">
        <w:rPr>
          <w:rFonts w:cs="Arial"/>
          <w:szCs w:val="24"/>
          <w:lang w:val="mn-MN"/>
        </w:rPr>
        <w:t xml:space="preserve"> д</w:t>
      </w:r>
      <w:r w:rsidR="004C2BD9" w:rsidRPr="00474DE9">
        <w:rPr>
          <w:rFonts w:cs="Arial"/>
          <w:szCs w:val="24"/>
          <w:lang w:val="mn-MN"/>
        </w:rPr>
        <w:t>ахь</w:t>
      </w:r>
      <w:r w:rsidRPr="00474DE9">
        <w:rPr>
          <w:rFonts w:cs="Arial"/>
          <w:szCs w:val="24"/>
          <w:lang w:val="mn-MN"/>
        </w:rPr>
        <w:t xml:space="preserve"> заалт нь тус зарчмын агуулгад нийцэж байна. </w:t>
      </w:r>
    </w:p>
    <w:p w14:paraId="5FD16458" w14:textId="77777777" w:rsidR="0078214B" w:rsidRPr="00474DE9" w:rsidRDefault="00CE2098" w:rsidP="00EA7955">
      <w:pPr>
        <w:spacing w:before="240" w:line="276" w:lineRule="auto"/>
        <w:jc w:val="both"/>
        <w:rPr>
          <w:rFonts w:cs="Arial"/>
          <w:szCs w:val="24"/>
          <w:lang w:val="mn-MN"/>
        </w:rPr>
      </w:pPr>
      <w:r w:rsidRPr="00474DE9">
        <w:rPr>
          <w:rFonts w:cs="Arial"/>
          <w:szCs w:val="24"/>
          <w:lang w:val="mn-MN"/>
        </w:rPr>
        <w:t>Учир нь одоогийн хуулийн зохицуулалтаар ШССМХ-</w:t>
      </w:r>
      <w:r w:rsidR="00EA7955" w:rsidRPr="00474DE9">
        <w:rPr>
          <w:rFonts w:cs="Arial"/>
          <w:szCs w:val="24"/>
          <w:lang w:val="mn-MN"/>
        </w:rPr>
        <w:t>ийн бүтэц, орон тоо, сургалтын хөтөлбөрийг Улсын дээд шүүхийн шүүгч, Ерөнхий зө</w:t>
      </w:r>
      <w:r w:rsidRPr="00474DE9">
        <w:rPr>
          <w:rFonts w:cs="Arial"/>
          <w:szCs w:val="24"/>
          <w:lang w:val="mn-MN"/>
        </w:rPr>
        <w:t>в</w:t>
      </w:r>
      <w:r w:rsidR="00EA7955" w:rsidRPr="00474DE9">
        <w:rPr>
          <w:rFonts w:cs="Arial"/>
          <w:szCs w:val="24"/>
          <w:lang w:val="mn-MN"/>
        </w:rPr>
        <w:t>лөлтэй зөвшилцөн батал</w:t>
      </w:r>
      <w:r w:rsidRPr="00474DE9">
        <w:rPr>
          <w:rFonts w:cs="Arial"/>
          <w:szCs w:val="24"/>
          <w:lang w:val="mn-MN"/>
        </w:rPr>
        <w:t>даг</w:t>
      </w:r>
      <w:r w:rsidR="00EA7955" w:rsidRPr="00474DE9">
        <w:rPr>
          <w:rFonts w:cs="Arial"/>
          <w:szCs w:val="24"/>
          <w:lang w:val="mn-MN"/>
        </w:rPr>
        <w:t xml:space="preserve">. Үүний дагуу Сургалтын хөтөлбөрийн хороогоор хэлэлцэн батлахыг олонхын саналаар дэмжсэн хөтөлбөрийг Шүүхийн Ерөнхий зөвлөлтэй зөвшилцөхөөр хүргүүлдэг </w:t>
      </w:r>
      <w:r w:rsidRPr="00474DE9">
        <w:rPr>
          <w:rFonts w:cs="Arial"/>
          <w:szCs w:val="24"/>
          <w:lang w:val="mn-MN"/>
        </w:rPr>
        <w:t>нь цаг хугацаа алдах нөхц</w:t>
      </w:r>
      <w:r w:rsidR="00793DEE" w:rsidRPr="00474DE9">
        <w:rPr>
          <w:rFonts w:cs="Arial"/>
          <w:szCs w:val="24"/>
          <w:lang w:val="mn-MN"/>
        </w:rPr>
        <w:t>ө</w:t>
      </w:r>
      <w:r w:rsidRPr="00474DE9">
        <w:rPr>
          <w:rFonts w:cs="Arial"/>
          <w:szCs w:val="24"/>
          <w:lang w:val="mn-MN"/>
        </w:rPr>
        <w:t>лийг бүрдүүлдэг байна</w:t>
      </w:r>
      <w:r w:rsidR="00EA7955" w:rsidRPr="00474DE9">
        <w:rPr>
          <w:rFonts w:cs="Arial"/>
          <w:szCs w:val="24"/>
          <w:lang w:val="mn-MN"/>
        </w:rPr>
        <w:t xml:space="preserve">. </w:t>
      </w:r>
      <w:r w:rsidRPr="00474DE9">
        <w:rPr>
          <w:rFonts w:cs="Arial"/>
          <w:szCs w:val="24"/>
          <w:lang w:val="mn-MN"/>
        </w:rPr>
        <w:t xml:space="preserve">Шүүхийн тухай хуулийн 24 дүгээр зүйлийн 24.2-т зааснаар </w:t>
      </w:r>
      <w:r w:rsidR="00EA7955" w:rsidRPr="00474DE9">
        <w:rPr>
          <w:rFonts w:cs="Arial"/>
          <w:szCs w:val="24"/>
          <w:lang w:val="mn-MN"/>
        </w:rPr>
        <w:t>сургалтын хөтөлбөрийн хороонд</w:t>
      </w:r>
      <w:r w:rsidR="0078214B" w:rsidRPr="00474DE9">
        <w:rPr>
          <w:rFonts w:cs="Arial"/>
          <w:szCs w:val="24"/>
          <w:lang w:val="mn-MN"/>
        </w:rPr>
        <w:t xml:space="preserve"> мэргэшсэн, хөндлөнгийн эрдэмтэн судлаачид байдаг бөгөөд</w:t>
      </w:r>
      <w:r w:rsidR="00EA7955" w:rsidRPr="00474DE9">
        <w:rPr>
          <w:rFonts w:cs="Arial"/>
          <w:szCs w:val="24"/>
          <w:lang w:val="mn-MN"/>
        </w:rPr>
        <w:t xml:space="preserve"> Шүүхийн </w:t>
      </w:r>
      <w:r w:rsidR="00793DEE" w:rsidRPr="00474DE9">
        <w:rPr>
          <w:rFonts w:cs="Arial"/>
          <w:szCs w:val="24"/>
          <w:lang w:val="mn-MN"/>
        </w:rPr>
        <w:t xml:space="preserve">Ерөнхий </w:t>
      </w:r>
      <w:r w:rsidR="00EA7955" w:rsidRPr="00474DE9">
        <w:rPr>
          <w:rFonts w:cs="Arial"/>
          <w:szCs w:val="24"/>
          <w:lang w:val="mn-MN"/>
        </w:rPr>
        <w:t xml:space="preserve">зөвлөлийн төлөөлөл </w:t>
      </w:r>
      <w:r w:rsidR="0078214B" w:rsidRPr="00474DE9">
        <w:rPr>
          <w:rFonts w:cs="Arial"/>
          <w:szCs w:val="24"/>
          <w:lang w:val="mn-MN"/>
        </w:rPr>
        <w:t>ч мөн сургалтын хөтөлбөрийг батлахад оролцдог. Тиймээс Сургалтын хөтөлбөрийн хороогоор хэлэлцэж баталсан хөтөлбөрийг ШЕЗ-ийн хурлаар хэлэлцэх шаардлагагүй юм.</w:t>
      </w:r>
    </w:p>
    <w:p w14:paraId="7F03630D" w14:textId="77777777" w:rsidR="00EA7955" w:rsidRPr="00474DE9" w:rsidRDefault="0078214B" w:rsidP="00EA7955">
      <w:pPr>
        <w:spacing w:before="240" w:line="276" w:lineRule="auto"/>
        <w:jc w:val="both"/>
        <w:rPr>
          <w:rFonts w:cs="Arial"/>
          <w:szCs w:val="24"/>
          <w:lang w:val="mn-MN"/>
        </w:rPr>
      </w:pPr>
      <w:r w:rsidRPr="00474DE9">
        <w:rPr>
          <w:rFonts w:cs="Arial"/>
          <w:szCs w:val="24"/>
          <w:lang w:val="mn-MN"/>
        </w:rPr>
        <w:t>Дээрх шалгуур үзүүлэлтүүдийн дүнд ШССМХ-г Ш</w:t>
      </w:r>
      <w:r w:rsidR="00EA7955" w:rsidRPr="00474DE9">
        <w:rPr>
          <w:rFonts w:cs="Arial"/>
          <w:szCs w:val="24"/>
          <w:lang w:val="mn-MN"/>
        </w:rPr>
        <w:t xml:space="preserve">үүхийн академи </w:t>
      </w:r>
      <w:r w:rsidRPr="00474DE9">
        <w:rPr>
          <w:rFonts w:cs="Arial"/>
          <w:szCs w:val="24"/>
          <w:lang w:val="mn-MN"/>
        </w:rPr>
        <w:t>болгосноор</w:t>
      </w:r>
      <w:r w:rsidR="00EA7955" w:rsidRPr="00474DE9">
        <w:rPr>
          <w:rFonts w:cs="Arial"/>
          <w:szCs w:val="24"/>
          <w:lang w:val="mn-MN"/>
        </w:rPr>
        <w:t xml:space="preserve">: </w:t>
      </w:r>
    </w:p>
    <w:p w14:paraId="3FFBD6D2" w14:textId="77777777" w:rsidR="0078214B" w:rsidRPr="00474DE9" w:rsidRDefault="00317515" w:rsidP="0078214B">
      <w:pPr>
        <w:pStyle w:val="ListParagraph"/>
        <w:numPr>
          <w:ilvl w:val="0"/>
          <w:numId w:val="3"/>
        </w:numPr>
        <w:spacing w:before="240" w:line="276" w:lineRule="auto"/>
        <w:jc w:val="both"/>
        <w:rPr>
          <w:rFonts w:ascii="Arial" w:hAnsi="Arial" w:cs="Arial"/>
          <w:sz w:val="24"/>
          <w:szCs w:val="24"/>
          <w:lang w:val="mn-MN"/>
        </w:rPr>
      </w:pPr>
      <w:r w:rsidRPr="00474DE9">
        <w:rPr>
          <w:rFonts w:ascii="Arial" w:hAnsi="Arial" w:cs="Arial"/>
          <w:sz w:val="24"/>
          <w:szCs w:val="24"/>
          <w:lang w:val="mn-MN"/>
        </w:rPr>
        <w:t>Шүүгч болох</w:t>
      </w:r>
      <w:r w:rsidR="00793DEE" w:rsidRPr="00474DE9">
        <w:rPr>
          <w:rFonts w:ascii="Arial" w:hAnsi="Arial" w:cs="Arial"/>
          <w:sz w:val="24"/>
          <w:szCs w:val="24"/>
          <w:lang w:val="mn-MN"/>
        </w:rPr>
        <w:t>оор төлөвлөж буй</w:t>
      </w:r>
      <w:r w:rsidRPr="00474DE9">
        <w:rPr>
          <w:rFonts w:ascii="Arial" w:hAnsi="Arial" w:cs="Arial"/>
          <w:sz w:val="24"/>
          <w:szCs w:val="24"/>
          <w:lang w:val="mn-MN"/>
        </w:rPr>
        <w:t xml:space="preserve"> хуульчдыг урьдчилан бэлтгэх;</w:t>
      </w:r>
    </w:p>
    <w:p w14:paraId="3B6CFBC0" w14:textId="77777777" w:rsidR="00317515" w:rsidRPr="00474DE9" w:rsidRDefault="00317515" w:rsidP="0078214B">
      <w:pPr>
        <w:pStyle w:val="ListParagraph"/>
        <w:numPr>
          <w:ilvl w:val="0"/>
          <w:numId w:val="3"/>
        </w:numPr>
        <w:spacing w:before="240" w:line="276" w:lineRule="auto"/>
        <w:jc w:val="both"/>
        <w:rPr>
          <w:rFonts w:ascii="Arial" w:hAnsi="Arial" w:cs="Arial"/>
          <w:sz w:val="24"/>
          <w:szCs w:val="24"/>
          <w:lang w:val="mn-MN"/>
        </w:rPr>
      </w:pPr>
      <w:r w:rsidRPr="00474DE9">
        <w:rPr>
          <w:rFonts w:ascii="Arial" w:hAnsi="Arial" w:cs="Arial"/>
          <w:sz w:val="24"/>
          <w:szCs w:val="24"/>
          <w:lang w:val="mn-MN"/>
        </w:rPr>
        <w:t>Шүүгчийн хүний нөөцийг хангах, таслахгүй байх, шүүгчид оногдох ачааллыг тэнцвэржүүлэх;</w:t>
      </w:r>
    </w:p>
    <w:p w14:paraId="5F02B6D6" w14:textId="77777777" w:rsidR="00317515" w:rsidRPr="00474DE9" w:rsidRDefault="00317515" w:rsidP="0078214B">
      <w:pPr>
        <w:pStyle w:val="ListParagraph"/>
        <w:numPr>
          <w:ilvl w:val="0"/>
          <w:numId w:val="3"/>
        </w:numPr>
        <w:spacing w:before="240" w:line="276" w:lineRule="auto"/>
        <w:jc w:val="both"/>
        <w:rPr>
          <w:rFonts w:ascii="Arial" w:hAnsi="Arial" w:cs="Arial"/>
          <w:sz w:val="24"/>
          <w:szCs w:val="24"/>
          <w:lang w:val="mn-MN"/>
        </w:rPr>
      </w:pPr>
      <w:r w:rsidRPr="00474DE9">
        <w:rPr>
          <w:rFonts w:ascii="Arial" w:hAnsi="Arial" w:cs="Arial"/>
          <w:sz w:val="24"/>
          <w:szCs w:val="24"/>
          <w:lang w:val="mn-MN"/>
        </w:rPr>
        <w:t xml:space="preserve">Одоо шүүгчээр ажиллаж байгаа шүүгч нарыг </w:t>
      </w:r>
      <w:r w:rsidR="00793DEE" w:rsidRPr="00474DE9">
        <w:rPr>
          <w:rFonts w:ascii="Arial" w:hAnsi="Arial" w:cs="Arial"/>
          <w:sz w:val="24"/>
          <w:szCs w:val="24"/>
          <w:lang w:val="mn-MN"/>
        </w:rPr>
        <w:t xml:space="preserve">тасралтгүй </w:t>
      </w:r>
      <w:r w:rsidRPr="00474DE9">
        <w:rPr>
          <w:rFonts w:ascii="Arial" w:hAnsi="Arial" w:cs="Arial"/>
          <w:sz w:val="24"/>
          <w:szCs w:val="24"/>
          <w:lang w:val="mn-MN"/>
        </w:rPr>
        <w:t>мэргэшүүлэх</w:t>
      </w:r>
      <w:r w:rsidR="00793DEE" w:rsidRPr="00474DE9">
        <w:rPr>
          <w:rFonts w:ascii="Arial" w:hAnsi="Arial" w:cs="Arial"/>
          <w:sz w:val="24"/>
          <w:szCs w:val="24"/>
          <w:lang w:val="mn-MN"/>
        </w:rPr>
        <w:t>, хөгжүүлэх</w:t>
      </w:r>
      <w:r w:rsidRPr="00474DE9">
        <w:rPr>
          <w:rFonts w:ascii="Arial" w:hAnsi="Arial" w:cs="Arial"/>
          <w:sz w:val="24"/>
          <w:szCs w:val="24"/>
          <w:lang w:val="mn-MN"/>
        </w:rPr>
        <w:t>;</w:t>
      </w:r>
    </w:p>
    <w:p w14:paraId="062D1187" w14:textId="77777777" w:rsidR="00317515" w:rsidRPr="00474DE9" w:rsidRDefault="00317515" w:rsidP="00317515">
      <w:pPr>
        <w:pStyle w:val="ListParagraph"/>
        <w:numPr>
          <w:ilvl w:val="0"/>
          <w:numId w:val="3"/>
        </w:numPr>
        <w:spacing w:before="240" w:line="276" w:lineRule="auto"/>
        <w:jc w:val="both"/>
        <w:rPr>
          <w:rFonts w:ascii="Arial" w:hAnsi="Arial" w:cs="Arial"/>
          <w:sz w:val="24"/>
          <w:szCs w:val="24"/>
          <w:lang w:val="mn-MN"/>
        </w:rPr>
      </w:pPr>
      <w:r w:rsidRPr="00474DE9">
        <w:rPr>
          <w:rFonts w:ascii="Arial" w:hAnsi="Arial" w:cs="Arial"/>
          <w:sz w:val="24"/>
          <w:szCs w:val="24"/>
          <w:lang w:val="mn-MN"/>
        </w:rPr>
        <w:t>Цаашлаад шүүгчийн шүүхийн шийдвэр бичилт, шүүн таслах ажиллагааны чанар сайжрах ач холбогдолтой байна.</w:t>
      </w:r>
    </w:p>
    <w:p w14:paraId="0A061D19" w14:textId="77777777" w:rsidR="00EA7955" w:rsidRPr="00474DE9" w:rsidRDefault="00EA7955" w:rsidP="00EA7955">
      <w:pPr>
        <w:spacing w:before="240" w:line="276" w:lineRule="auto"/>
        <w:jc w:val="both"/>
        <w:rPr>
          <w:rFonts w:cs="Arial"/>
          <w:szCs w:val="24"/>
          <w:lang w:val="mn-MN"/>
        </w:rPr>
      </w:pPr>
      <w:r w:rsidRPr="00474DE9">
        <w:rPr>
          <w:rFonts w:cs="Arial"/>
          <w:szCs w:val="24"/>
          <w:lang w:val="mn-MN"/>
        </w:rPr>
        <w:t>Тиймээс шүүгчийг мэргэшүүлэх сургалтыг зохион байгуулах чиг үүрэгтэй Шүүхийн сургалт, судалгаа, мэдээл</w:t>
      </w:r>
      <w:r w:rsidR="00793DEE" w:rsidRPr="00474DE9">
        <w:rPr>
          <w:rFonts w:cs="Arial"/>
          <w:szCs w:val="24"/>
          <w:lang w:val="mn-MN"/>
        </w:rPr>
        <w:t>л</w:t>
      </w:r>
      <w:r w:rsidRPr="00474DE9">
        <w:rPr>
          <w:rFonts w:cs="Arial"/>
          <w:szCs w:val="24"/>
          <w:lang w:val="mn-MN"/>
        </w:rPr>
        <w:t>ийн хүрээлэнг олон улсын жишигт нийцүүлэн шүүхийн Акад</w:t>
      </w:r>
      <w:r w:rsidR="00317515" w:rsidRPr="00474DE9">
        <w:rPr>
          <w:rFonts w:cs="Arial"/>
          <w:szCs w:val="24"/>
          <w:lang w:val="mn-MN"/>
        </w:rPr>
        <w:t>е</w:t>
      </w:r>
      <w:r w:rsidRPr="00474DE9">
        <w:rPr>
          <w:rFonts w:cs="Arial"/>
          <w:szCs w:val="24"/>
          <w:lang w:val="mn-MN"/>
        </w:rPr>
        <w:t>ми болгон чадавхийг нэмэгдүүлэх</w:t>
      </w:r>
      <w:r w:rsidR="00317515" w:rsidRPr="00474DE9">
        <w:rPr>
          <w:rFonts w:cs="Arial"/>
          <w:szCs w:val="24"/>
          <w:lang w:val="mn-MN"/>
        </w:rPr>
        <w:t xml:space="preserve"> талаар хуулийн холбогдох нэмэлт, өөрчлөлтүүд нь “Зорилгод хүрэх байдал” шалгуур үзүүлэлтийг хангаж байна гэж үзэх үндэслэлтэй.</w:t>
      </w:r>
    </w:p>
    <w:tbl>
      <w:tblPr>
        <w:tblStyle w:val="TableGrid"/>
        <w:tblW w:w="0" w:type="auto"/>
        <w:tblLook w:val="04A0" w:firstRow="1" w:lastRow="0" w:firstColumn="1" w:lastColumn="0" w:noHBand="0" w:noVBand="1"/>
      </w:tblPr>
      <w:tblGrid>
        <w:gridCol w:w="9016"/>
      </w:tblGrid>
      <w:tr w:rsidR="00D8099E" w:rsidRPr="00474DE9" w14:paraId="63F30900" w14:textId="77777777" w:rsidTr="00D8099E">
        <w:tc>
          <w:tcPr>
            <w:tcW w:w="9347" w:type="dxa"/>
          </w:tcPr>
          <w:p w14:paraId="2796EC46" w14:textId="77777777" w:rsidR="00D8099E" w:rsidRPr="00474DE9" w:rsidRDefault="00D8099E" w:rsidP="00D8099E">
            <w:pPr>
              <w:spacing w:before="240" w:after="160" w:line="259" w:lineRule="auto"/>
              <w:jc w:val="both"/>
              <w:rPr>
                <w:rFonts w:cs="Arial"/>
                <w:lang w:val="mn-MN"/>
              </w:rPr>
            </w:pPr>
            <w:r w:rsidRPr="00474DE9">
              <w:rPr>
                <w:rFonts w:cs="Arial"/>
                <w:lang w:val="mn-MN"/>
              </w:rPr>
              <w:t xml:space="preserve">Шүүхийн үйл ажиллагааг хуульд зааснаас бусад тохиолдолд олон нийтэд нээлттэй, ил тод явуулах зорилгын хүрээнд  12 дугаар зүйлийн 12.1, 12.2, 12.5, 12.16, 12.17, 12.18 дүгээр хэсэгт дүн шинжилгээ хийсэн байдал. </w:t>
            </w:r>
          </w:p>
        </w:tc>
      </w:tr>
    </w:tbl>
    <w:p w14:paraId="7DAD4174" w14:textId="77777777" w:rsidR="00D8099E" w:rsidRPr="00474DE9" w:rsidRDefault="00D8099E" w:rsidP="00C34E66">
      <w:pPr>
        <w:spacing w:before="240"/>
        <w:jc w:val="both"/>
        <w:rPr>
          <w:rFonts w:eastAsia="Arial" w:cs="Arial"/>
          <w:szCs w:val="24"/>
          <w:lang w:val="mn-MN" w:eastAsia="mn-MN"/>
        </w:rPr>
      </w:pPr>
      <w:r w:rsidRPr="00474DE9">
        <w:rPr>
          <w:rFonts w:cs="Arial"/>
          <w:lang w:val="mn-MN"/>
        </w:rPr>
        <w:t xml:space="preserve">Энэ хэсэгт Шүүхийн үйл ажиллагаа нээлтэй, ил тод болж чадсан эсэхийг буюу түүнтэй холбоотой заалтууд түүнтэй холбогдох заалтуудын зорилгод хүрэх байдлыг шалган авч үзэх юм. </w:t>
      </w:r>
      <w:bookmarkStart w:id="13" w:name="_Hlk164598514"/>
      <w:bookmarkStart w:id="14" w:name="_Hlk164598886"/>
    </w:p>
    <w:bookmarkEnd w:id="13"/>
    <w:bookmarkEnd w:id="14"/>
    <w:p w14:paraId="7AB4F407" w14:textId="77777777" w:rsidR="00D8099E" w:rsidRPr="00474DE9" w:rsidRDefault="00D8099E" w:rsidP="00D8099E">
      <w:pPr>
        <w:jc w:val="both"/>
        <w:rPr>
          <w:rFonts w:eastAsia="Verdana" w:cs="Arial"/>
          <w:bCs/>
          <w:lang w:val="mn-MN"/>
        </w:rPr>
      </w:pPr>
      <w:r w:rsidRPr="00474DE9">
        <w:rPr>
          <w:rFonts w:eastAsia="Verdana" w:cs="Arial"/>
          <w:bCs/>
          <w:lang w:val="mn-MN"/>
        </w:rPr>
        <w:t xml:space="preserve">Хуулийн төслийн зорилго нь шүүхийн үйл ажиллагааны нээлттэй, ил тод байдал болон бусад асуудлын хүрээнд </w:t>
      </w:r>
      <w:bookmarkStart w:id="15" w:name="_Hlk164599276"/>
      <w:r w:rsidRPr="00474DE9">
        <w:rPr>
          <w:rFonts w:eastAsia="Verdana" w:cs="Arial"/>
          <w:bCs/>
          <w:lang w:val="mn-MN"/>
        </w:rPr>
        <w:t>цахимаар хэрэг хянан шийдвэрлэх ажиллагаа явуулах эрх зүйн орчныг бүрдүүлэхэд</w:t>
      </w:r>
      <w:bookmarkEnd w:id="15"/>
      <w:r w:rsidRPr="00474DE9">
        <w:rPr>
          <w:rFonts w:eastAsia="Verdana" w:cs="Arial"/>
          <w:bCs/>
          <w:lang w:val="mn-MN"/>
        </w:rPr>
        <w:t xml:space="preserve"> оршино. Үүнтэй холбоотойгоор хуулийн төслийн хэрэгцээ шаардлага нь  </w:t>
      </w:r>
      <w:r w:rsidRPr="00474DE9">
        <w:rPr>
          <w:rFonts w:eastAsia="Arial" w:cs="Arial"/>
          <w:lang w:val="mn-MN" w:eastAsia="mn-MN"/>
        </w:rPr>
        <w:t>Монгол Улс нээлттэй шүүх хуралдааныг цахимаар нэвтрүүлэн, шууд дамжуулалт хийх эрх зүйн үндсийг тавьсан хэдий ч  хувийн  болон албаны нууцыг задруулахыг хориглосон зохицуулалтуудыг</w:t>
      </w:r>
      <w:r w:rsidRPr="00474DE9">
        <w:rPr>
          <w:rFonts w:eastAsia="Verdana" w:cs="Arial"/>
          <w:bCs/>
          <w:lang w:val="mn-MN"/>
        </w:rPr>
        <w:t xml:space="preserve"> хууль тогтоомжид тусгасан бөгөөд шүүх </w:t>
      </w:r>
      <w:r w:rsidRPr="00474DE9">
        <w:rPr>
          <w:rFonts w:eastAsia="Arial" w:cs="Arial"/>
          <w:lang w:val="mn-MN" w:eastAsia="mn-MN"/>
        </w:rPr>
        <w:t xml:space="preserve">хуралдааныг цахимаар нэвтрүүлэх буюу шууд дамжуулах, бичлэгийг хүргэхэд хувь хүний эмзэг мэдээлэл, байгууллагын нууц, төрийн болон албаны нууцыг хамгаалах зохицуулалт шаардлагатай холбоотойгоор үүссэн. </w:t>
      </w:r>
    </w:p>
    <w:p w14:paraId="0B02982C" w14:textId="77777777" w:rsidR="00D8099E" w:rsidRPr="00474DE9" w:rsidRDefault="00D8099E" w:rsidP="00D8099E">
      <w:pPr>
        <w:jc w:val="both"/>
        <w:rPr>
          <w:rFonts w:cs="Arial"/>
          <w:lang w:val="mn-MN"/>
        </w:rPr>
      </w:pPr>
      <w:r w:rsidRPr="00474DE9">
        <w:rPr>
          <w:rFonts w:eastAsia="Verdana" w:cs="Arial"/>
          <w:bCs/>
          <w:lang w:val="mn-MN"/>
        </w:rPr>
        <w:t xml:space="preserve">  </w:t>
      </w:r>
      <w:r w:rsidRPr="00474DE9">
        <w:rPr>
          <w:rFonts w:cs="Arial"/>
          <w:lang w:val="mn-MN"/>
        </w:rPr>
        <w:t>Судалгаанаас үзэхэд шүүхийн цахимжилт гэдэг нь үндсэндээ шүүхийн үйл ажиллагааны тодорхой хэсгийг бодит орон зайгаас цахим буюу дижитал орон зайд шилжүүлэхийг хэлдэг бөгөөд үүнд 1) цахим шүүх хуралдаан (E-Court), 2) цахим хэргийн хөдөлгөөн (E-Case management), 3) цахим баримт бичиг (E-Filing) багтдаг</w:t>
      </w:r>
      <w:r w:rsidRPr="00474DE9">
        <w:rPr>
          <w:rStyle w:val="FootnoteReference"/>
          <w:rFonts w:cs="Arial"/>
          <w:lang w:val="mn-MN"/>
        </w:rPr>
        <w:footnoteReference w:id="10"/>
      </w:r>
      <w:r w:rsidRPr="00474DE9">
        <w:rPr>
          <w:rFonts w:cs="Arial"/>
          <w:lang w:val="mn-MN"/>
        </w:rPr>
        <w:t>. Цаашилбал, шүүх хуралдааны ил тод байдлыг онолын хувьд шууд ил тод байдал, шууд бус ил тод байдал гэж хувааж үздэг. Шүүх хуралдааны танхимд сонирхогч иргэн биечлэн очиж ажиглахыг шууд ил тод байдал гэх бол олон нийт хэвлэл мэдээллийн хэрэгслээр шүүх хуралдааны талаар мэдээлэл авахыг шууд бус нээлттэй байдал гэнэ</w:t>
      </w:r>
      <w:r w:rsidRPr="00474DE9">
        <w:rPr>
          <w:rStyle w:val="FootnoteReference"/>
          <w:rFonts w:cs="Arial"/>
          <w:lang w:val="mn-MN"/>
        </w:rPr>
        <w:footnoteReference w:id="11"/>
      </w:r>
      <w:r w:rsidRPr="00474DE9">
        <w:rPr>
          <w:rFonts w:cs="Arial"/>
          <w:lang w:val="mn-MN"/>
        </w:rPr>
        <w:t>.</w:t>
      </w:r>
    </w:p>
    <w:p w14:paraId="7D948B8D" w14:textId="77777777" w:rsidR="00D8099E" w:rsidRPr="00474DE9" w:rsidRDefault="00D8099E" w:rsidP="00D8099E">
      <w:pPr>
        <w:jc w:val="both"/>
        <w:rPr>
          <w:rFonts w:eastAsia="Verdana" w:cs="Arial"/>
          <w:bCs/>
          <w:lang w:val="mn-MN"/>
        </w:rPr>
      </w:pPr>
      <w:r w:rsidRPr="00474DE9">
        <w:rPr>
          <w:rFonts w:cs="Arial"/>
          <w:lang w:val="mn-MN"/>
        </w:rPr>
        <w:t xml:space="preserve">   Хуулийн төслийн 12 дугаар зүйлийн 12.1, 12.2, 12.5, 12.16, 12.17, 12.18 дугаар зүйлүүдэд  сонирхогч этгээд хэрэг хянан шийдвэрлэх ажиллагааны баримт бичигтэй танилцах, шүүх хуралдааныг нээлттэй явуулах, төрийн болон албаны нууц, хүний эмзэг мэдээлэлд хамаарахтай холбоотой асуудлыг зохицуулжээ. Дээрх зохицуулалтуудаас харахад энэхүү зохицуулалтууд нь  </w:t>
      </w:r>
      <w:r w:rsidRPr="00474DE9">
        <w:rPr>
          <w:rFonts w:eastAsia="Verdana" w:cs="Arial"/>
          <w:bCs/>
          <w:lang w:val="mn-MN"/>
        </w:rPr>
        <w:t>хуулийн төслийн үзэл баримтлалд тусгасан байгууллагын нууц, төрийн болон албаны нууцыг хамгаалах практик шаардлага болон хэрэг хянан шийдвэрлэх ажиллагааг цахимаар явуулах зорилгод нийцэж байна гэж үзэж байна.</w:t>
      </w:r>
    </w:p>
    <w:tbl>
      <w:tblPr>
        <w:tblStyle w:val="TableGrid"/>
        <w:tblW w:w="0" w:type="auto"/>
        <w:tblLook w:val="04A0" w:firstRow="1" w:lastRow="0" w:firstColumn="1" w:lastColumn="0" w:noHBand="0" w:noVBand="1"/>
      </w:tblPr>
      <w:tblGrid>
        <w:gridCol w:w="9016"/>
      </w:tblGrid>
      <w:tr w:rsidR="00D8099E" w:rsidRPr="00474DE9" w14:paraId="7D3C8EDC" w14:textId="77777777" w:rsidTr="00D8099E">
        <w:tc>
          <w:tcPr>
            <w:tcW w:w="9347" w:type="dxa"/>
          </w:tcPr>
          <w:p w14:paraId="46BA8992" w14:textId="77777777" w:rsidR="00D8099E" w:rsidRPr="00474DE9" w:rsidRDefault="00D8099E" w:rsidP="00EA7955">
            <w:pPr>
              <w:spacing w:before="240" w:line="276" w:lineRule="auto"/>
              <w:ind w:firstLine="0"/>
              <w:jc w:val="both"/>
              <w:rPr>
                <w:rFonts w:cs="Arial"/>
                <w:szCs w:val="24"/>
                <w:lang w:val="mn-MN"/>
              </w:rPr>
            </w:pPr>
            <w:r w:rsidRPr="00474DE9">
              <w:rPr>
                <w:rFonts w:cs="Arial"/>
                <w:lang w:val="mn-MN"/>
              </w:rPr>
              <w:t xml:space="preserve">            Шүүхийн үйл ажиллагааг хуульд зааснаас бусад тохиолдолд олон нийтэд нээлттэй, ил тод явуулах зорилгын хүрээнд  </w:t>
            </w:r>
            <w:r w:rsidRPr="00474DE9">
              <w:rPr>
                <w:rFonts w:eastAsia="Verdana" w:cs="Arial"/>
                <w:bCs/>
                <w:lang w:val="mn-MN"/>
              </w:rPr>
              <w:t xml:space="preserve">шүүх хуралдааныг шууд дамжуулах тухай 12.6, 12.7 дахь </w:t>
            </w:r>
            <w:r w:rsidR="005E6DDA" w:rsidRPr="00474DE9">
              <w:rPr>
                <w:rFonts w:eastAsia="Verdana" w:cs="Arial"/>
                <w:bCs/>
                <w:lang w:val="mn-MN"/>
              </w:rPr>
              <w:t>хэсэгт</w:t>
            </w:r>
            <w:r w:rsidRPr="00474DE9">
              <w:rPr>
                <w:rFonts w:eastAsia="Verdana" w:cs="Arial"/>
                <w:bCs/>
                <w:lang w:val="mn-MN"/>
              </w:rPr>
              <w:t xml:space="preserve"> дүн шинжилгээ хийсэн байдал.</w:t>
            </w:r>
          </w:p>
        </w:tc>
      </w:tr>
    </w:tbl>
    <w:p w14:paraId="1741928C" w14:textId="77777777" w:rsidR="00D8099E" w:rsidRPr="00474DE9" w:rsidRDefault="00D8099E" w:rsidP="00D8099E">
      <w:pPr>
        <w:spacing w:before="240"/>
        <w:jc w:val="both"/>
        <w:rPr>
          <w:rFonts w:eastAsia="Arial" w:cs="Arial"/>
          <w:shd w:val="clear" w:color="auto" w:fill="FFFFFF"/>
          <w:lang w:val="mn-MN"/>
        </w:rPr>
      </w:pPr>
      <w:r w:rsidRPr="00474DE9">
        <w:rPr>
          <w:rFonts w:eastAsia="Verdana" w:cs="Arial"/>
          <w:bCs/>
          <w:lang w:val="mn-MN"/>
        </w:rPr>
        <w:t>Хуулийн төслийн 12 дугаар зүйлийн 12.6 дугаар хэсэгт</w:t>
      </w:r>
      <w:r w:rsidR="001E0271" w:rsidRPr="00474DE9">
        <w:rPr>
          <w:rFonts w:eastAsia="Arial" w:cs="Arial"/>
          <w:shd w:val="clear" w:color="auto" w:fill="FFFFFF"/>
          <w:lang w:val="mn-MN"/>
        </w:rPr>
        <w:t xml:space="preserve"> </w:t>
      </w:r>
      <w:r w:rsidRPr="00474DE9">
        <w:rPr>
          <w:rFonts w:eastAsia="Arial" w:cs="Arial"/>
          <w:shd w:val="clear" w:color="auto" w:fill="FFFFFF"/>
          <w:lang w:val="mn-MN"/>
        </w:rPr>
        <w:t xml:space="preserve">дараах шүүх хуралдааныг шууд дамжуулах, эсхүл олон нийтэд дуу-дүрсний бичлэгээр хүргэнэ гэж  заасан. Үүнд : </w:t>
      </w:r>
      <w:r w:rsidRPr="00474DE9">
        <w:rPr>
          <w:rFonts w:cs="Arial"/>
          <w:lang w:val="mn-MN"/>
        </w:rPr>
        <w:t xml:space="preserve">1) </w:t>
      </w:r>
      <w:r w:rsidRPr="00474DE9">
        <w:rPr>
          <w:rFonts w:eastAsia="Arial" w:cs="Arial"/>
          <w:shd w:val="clear" w:color="auto" w:fill="FFFFFF"/>
          <w:lang w:val="mn-MN"/>
        </w:rPr>
        <w:t>хяналтын шатны нээлттэй шүүх хуралдаан,</w:t>
      </w:r>
      <w:r w:rsidRPr="00474DE9">
        <w:rPr>
          <w:rFonts w:cs="Arial"/>
          <w:lang w:val="mn-MN"/>
        </w:rPr>
        <w:t xml:space="preserve"> 2)</w:t>
      </w:r>
      <w:r w:rsidRPr="00474DE9">
        <w:rPr>
          <w:rFonts w:eastAsia="Arial" w:cs="Arial"/>
          <w:shd w:val="clear" w:color="auto" w:fill="FFFFFF"/>
          <w:lang w:val="mn-MN"/>
        </w:rPr>
        <w:t xml:space="preserve"> авлигын гэмт хэргийн анхан ба давж заалдах шатны нээлттэй шүүх хуралдаан гэж заасан. </w:t>
      </w:r>
    </w:p>
    <w:p w14:paraId="499FCBD1" w14:textId="77777777" w:rsidR="00D8099E" w:rsidRPr="00474DE9" w:rsidRDefault="00D8099E" w:rsidP="00D8099E">
      <w:pPr>
        <w:jc w:val="both"/>
        <w:rPr>
          <w:rFonts w:eastAsia="Verdana" w:cs="Arial"/>
          <w:bCs/>
          <w:lang w:val="mn-MN"/>
        </w:rPr>
      </w:pPr>
      <w:r w:rsidRPr="00474DE9">
        <w:rPr>
          <w:rFonts w:cs="Arial"/>
          <w:lang w:val="mn-MN"/>
        </w:rPr>
        <w:t>Дээр дурдсанчлан шүүхийн ил тод нээлттэй байдлын хүрээнд олон нийт хэвлэл мэдээллийн хэрэгслээр шүүх хуралдааны талаар мэдээлэл авахыг шууд бус нээлттэй байдал</w:t>
      </w:r>
      <w:r w:rsidRPr="00474DE9">
        <w:rPr>
          <w:rStyle w:val="FootnoteReference"/>
          <w:rFonts w:cs="Arial"/>
          <w:lang w:val="mn-MN"/>
        </w:rPr>
        <w:footnoteReference w:id="12"/>
      </w:r>
      <w:r w:rsidRPr="00474DE9">
        <w:rPr>
          <w:rFonts w:cs="Arial"/>
          <w:lang w:val="mn-MN"/>
        </w:rPr>
        <w:t xml:space="preserve"> </w:t>
      </w:r>
      <w:r w:rsidRPr="00474DE9">
        <w:rPr>
          <w:rFonts w:eastAsia="Verdana" w:cs="Arial"/>
          <w:bCs/>
          <w:lang w:val="mn-MN"/>
        </w:rPr>
        <w:t>гэнэ. Үүнтэй холбоотойгоор Монгол улсад өнөөдрийн байдлаар шууд дамжуулахтай холбоотой эрх зүйн баримт бичиг батлагдаагүй хуучин 2012 оны Шүүхийн тухай хууль хүчин төгөлдөр мөрдөгдөж байх үеийн журмууд одоог хүртэл хүчин төгөлдөр хэвээр байна. Тус журмаар шүүх хуралдааныг шууд дамжуулах бус өргөн нэвтрүүлгийн буюу хэвлэл мэдээллийн байгууллага, тэдгээрийн ажилтан дамжуулах харилцааг журамласан байх бөгөөд төр, байгууллага, хувь хүний нууц, насанд хүрээгүй этгээдэд холбогдох эрүү, иргэн, захиргааны хэрэг, маргааныг хянан шийдвэрлэх шүүх хуралдааныг цахимаар мэдээлэхийг хориглосон байна</w:t>
      </w:r>
      <w:r w:rsidRPr="00474DE9">
        <w:rPr>
          <w:rStyle w:val="FootnoteReference"/>
          <w:rFonts w:eastAsia="Verdana" w:cs="Arial"/>
          <w:bCs/>
          <w:lang w:val="mn-MN"/>
        </w:rPr>
        <w:footnoteReference w:id="13"/>
      </w:r>
      <w:r w:rsidRPr="00474DE9">
        <w:rPr>
          <w:rFonts w:eastAsia="Verdana" w:cs="Arial"/>
          <w:bCs/>
          <w:lang w:val="mn-MN"/>
        </w:rPr>
        <w:t>. Иймд шүүх хуралдааныг цахимаар нэвтрүүлэх буюу шууд дамжуулах, бичлэгийг хүргэх нь хуулийн улмаар шүүхийн үйл ажиллагааг олон нийтэд нээлттэй, ил тод байлгахад хувь хүний эмзэг мэдээлэл, байгууллагын нууц, төрийн болон албаны нууцыг хамгаалах</w:t>
      </w:r>
      <w:r w:rsidRPr="00474DE9">
        <w:rPr>
          <w:rStyle w:val="FootnoteReference"/>
          <w:rFonts w:eastAsia="Verdana" w:cs="Arial"/>
          <w:bCs/>
          <w:lang w:val="mn-MN"/>
        </w:rPr>
        <w:footnoteReference w:id="14"/>
      </w:r>
      <w:r w:rsidRPr="00474DE9">
        <w:rPr>
          <w:rFonts w:eastAsia="Verdana" w:cs="Arial"/>
          <w:bCs/>
          <w:lang w:val="mn-MN"/>
        </w:rPr>
        <w:t xml:space="preserve"> нь дээрх хуулийн төслийн зохицуулалтын практик шаардлага мөн. Дээрх хуулийн зохицуулалтаас харахад авлигын гэмт хэргийн анхан, давж заалдах,  нээлттэй шүүх хуралдаан, хяналтын шатны нээлттэй шүүх хуралдаанаас бусад нээлттэй шүүх хуралдааныг шууд дамжуулах асуудал орхигдсон байна. </w:t>
      </w:r>
    </w:p>
    <w:tbl>
      <w:tblPr>
        <w:tblStyle w:val="TableGrid"/>
        <w:tblW w:w="0" w:type="auto"/>
        <w:tblLook w:val="04A0" w:firstRow="1" w:lastRow="0" w:firstColumn="1" w:lastColumn="0" w:noHBand="0" w:noVBand="1"/>
      </w:tblPr>
      <w:tblGrid>
        <w:gridCol w:w="9016"/>
      </w:tblGrid>
      <w:tr w:rsidR="00D8099E" w:rsidRPr="00474DE9" w14:paraId="450151F8" w14:textId="77777777" w:rsidTr="00D8099E">
        <w:tc>
          <w:tcPr>
            <w:tcW w:w="9347" w:type="dxa"/>
          </w:tcPr>
          <w:p w14:paraId="125AEB4B" w14:textId="77777777" w:rsidR="00D8099E" w:rsidRPr="00474DE9" w:rsidRDefault="00D8099E" w:rsidP="00EA7955">
            <w:pPr>
              <w:spacing w:before="240" w:line="276" w:lineRule="auto"/>
              <w:ind w:firstLine="0"/>
              <w:jc w:val="both"/>
              <w:rPr>
                <w:rFonts w:cs="Arial"/>
                <w:szCs w:val="24"/>
                <w:lang w:val="mn-MN"/>
              </w:rPr>
            </w:pPr>
            <w:r w:rsidRPr="00474DE9">
              <w:rPr>
                <w:rFonts w:cs="Arial"/>
                <w:szCs w:val="24"/>
                <w:lang w:val="mn-MN"/>
              </w:rPr>
              <w:t xml:space="preserve">          Шүүхийн үйл ажиллагааг хуульд зааснаас бусад тохиолдолд олон нийтэд нээлттэй, ил тод явуулах зорилгын хүрээнд  шүүх хуралдааныг хаалттай явуулах тухай 12.10, 12.12 дахь </w:t>
            </w:r>
            <w:r w:rsidR="005E6DDA" w:rsidRPr="00474DE9">
              <w:rPr>
                <w:rFonts w:cs="Arial"/>
                <w:szCs w:val="24"/>
                <w:lang w:val="mn-MN"/>
              </w:rPr>
              <w:t>хэсэгт</w:t>
            </w:r>
            <w:r w:rsidRPr="00474DE9">
              <w:rPr>
                <w:rFonts w:cs="Arial"/>
                <w:szCs w:val="24"/>
                <w:lang w:val="mn-MN"/>
              </w:rPr>
              <w:t xml:space="preserve"> дүн шинжилгээ хийсэн байдал.</w:t>
            </w:r>
          </w:p>
        </w:tc>
      </w:tr>
    </w:tbl>
    <w:p w14:paraId="5EB279FF" w14:textId="77777777" w:rsidR="00D8099E" w:rsidRPr="00474DE9" w:rsidRDefault="00D8099E" w:rsidP="00D8099E">
      <w:pPr>
        <w:spacing w:before="240"/>
        <w:jc w:val="both"/>
        <w:rPr>
          <w:rFonts w:eastAsia="Arial" w:cs="Arial"/>
          <w:shd w:val="clear" w:color="auto" w:fill="FFFFFF"/>
          <w:lang w:val="mn-MN"/>
        </w:rPr>
      </w:pPr>
      <w:r w:rsidRPr="00474DE9">
        <w:rPr>
          <w:rFonts w:cs="Arial"/>
          <w:lang w:val="mn-MN"/>
        </w:rPr>
        <w:t xml:space="preserve">Хуулийн төслийн  12 дугаар зүйлийн 12.10 дахь хэсэгт хуульд зааснаас бусад тохиолдолд </w:t>
      </w:r>
      <w:r w:rsidR="002B18DF" w:rsidRPr="00474DE9">
        <w:rPr>
          <w:rFonts w:cs="Arial"/>
          <w:lang w:val="mn-MN"/>
        </w:rPr>
        <w:t xml:space="preserve">шүүх хуралдааныг </w:t>
      </w:r>
      <w:r w:rsidRPr="00474DE9">
        <w:rPr>
          <w:rFonts w:cs="Arial"/>
          <w:lang w:val="mn-MN"/>
        </w:rPr>
        <w:t xml:space="preserve">хаалттай явуулж болох бөгөөд үүнд: 1) </w:t>
      </w:r>
      <w:r w:rsidRPr="00474DE9">
        <w:rPr>
          <w:rFonts w:eastAsia="Arial" w:cs="Arial"/>
          <w:shd w:val="clear" w:color="auto" w:fill="FFFFFF"/>
          <w:lang w:val="mn-MN"/>
        </w:rPr>
        <w:t>шүүх хуралдааныг нээлттэй хийх нь үндэсний аюулгүй байдал, нийгмийн дэг журамд аюул учруулах эрсдэлтэй, нийтээр хүлээн зөвшөөрсөн ёс суртахуунд харш гэж шүүгч, шүүх бүрэлдэхүүн үзвэл</w:t>
      </w:r>
      <w:r w:rsidRPr="00474DE9">
        <w:rPr>
          <w:rFonts w:cs="Arial"/>
          <w:lang w:val="mn-MN"/>
        </w:rPr>
        <w:t xml:space="preserve">  2)  </w:t>
      </w:r>
      <w:r w:rsidRPr="00474DE9">
        <w:rPr>
          <w:rFonts w:eastAsia="Arial" w:cs="Arial"/>
          <w:shd w:val="clear" w:color="auto" w:fill="FFFFFF"/>
          <w:lang w:val="mn-MN"/>
        </w:rPr>
        <w:t xml:space="preserve">нийтийн ашиг сонирхол болон хэрэг хянан шийдвэрлэх ажиллагааны аюулгүй байдлыг хамгаалах зайлшгүй шаардлагатай гэж тухайн шүүгч, шүүх бүрэлдэхүүн үзвэл; </w:t>
      </w:r>
      <w:r w:rsidRPr="00474DE9">
        <w:rPr>
          <w:rFonts w:cs="Arial"/>
          <w:lang w:val="mn-MN"/>
        </w:rPr>
        <w:t xml:space="preserve">3) </w:t>
      </w:r>
      <w:r w:rsidRPr="00474DE9">
        <w:rPr>
          <w:rFonts w:eastAsia="Arial" w:cs="Arial"/>
          <w:shd w:val="clear" w:color="auto" w:fill="FFFFFF"/>
          <w:lang w:val="mn-MN"/>
        </w:rPr>
        <w:t>талуудын хүсэлтээр шүүх хуралдааныг нээлттэй хийх нь хүний эрхэд аюул, эрсдэл учруулах, сөргөөр нөлөөлж болзошгүй гэж тухайн шүүгч, шүүх бүрэлдэхүүн үзвэл</w:t>
      </w:r>
      <w:r w:rsidRPr="00474DE9">
        <w:rPr>
          <w:rFonts w:cs="Arial"/>
          <w:lang w:val="mn-MN"/>
        </w:rPr>
        <w:t xml:space="preserve"> шүүх хуралдааныг хаалттай явуулж болно гэж заасан.  Харин  </w:t>
      </w:r>
      <w:r w:rsidR="002B18DF" w:rsidRPr="00474DE9">
        <w:rPr>
          <w:rFonts w:cs="Arial"/>
          <w:lang w:val="mn-MN"/>
        </w:rPr>
        <w:t>тус</w:t>
      </w:r>
      <w:r w:rsidRPr="00474DE9">
        <w:rPr>
          <w:rFonts w:cs="Arial"/>
          <w:lang w:val="mn-MN"/>
        </w:rPr>
        <w:t xml:space="preserve"> хуулийн 12 дугаар зүйлийн 12.12 дахь хэсэгт  </w:t>
      </w:r>
      <w:r w:rsidRPr="00474DE9">
        <w:rPr>
          <w:rFonts w:eastAsia="Arial" w:cs="Arial"/>
          <w:shd w:val="clear" w:color="auto" w:fill="FFFFFF"/>
          <w:lang w:val="mn-MN"/>
        </w:rPr>
        <w:t xml:space="preserve">шүүх хуралдааныг хаалттай явуулах тохиолдолд шүүх нь шалтгаан, тайлбар, үндэслэлийг шүүхийн цахим хуудсанд байршуулж нийтэд мэдээлнэ гэж заасан. </w:t>
      </w:r>
      <w:r w:rsidRPr="00474DE9">
        <w:rPr>
          <w:rFonts w:cs="Arial"/>
          <w:lang w:val="mn-MN"/>
        </w:rPr>
        <w:t xml:space="preserve"> Үүнтэй холбоотойгоор  шүүх хуралдааны ил тод байдал нь хэргийн оролцогчийн шударгаар шүүлгэх эрх, хувь хүн, хуулийн этгээдийн нууцыг хамгаалах, шүүхээр хэрэг хянан шийдвэрлэх ажиллагааны бүрэн бүтэн, шударга байдлыг хөндөж үл болох тул улс орнуудад хуралдааныг бүрэн эсхүл хэсэгчлэн хаалттай явуулах зарим нийтлэг хэм хэмжээг тусгайлан хуульчилсан байдаг. Цаашилбал, эрх зүйн бүлээс үл хамааран үндэсний аюулгүй байдал, нийтийн хэв журмыг хамгаалах, төрийн нууц, бизнесийн нууц, хувь хүний нууц, хэргийн оролцогчийн эрүүл мэнд, амь нас, насанд хүрээгүй хэргийн оролцогчид холбогдох мэдээлэлтэй  шүүх хуралдааныг бүхэлд нь эсхүл хэсэгчлэн хаалттай явуулах</w:t>
      </w:r>
      <w:r w:rsidRPr="00474DE9">
        <w:rPr>
          <w:rStyle w:val="FootnoteReference"/>
          <w:rFonts w:cs="Arial"/>
          <w:lang w:val="mn-MN"/>
        </w:rPr>
        <w:footnoteReference w:id="15"/>
      </w:r>
      <w:r w:rsidRPr="00474DE9">
        <w:rPr>
          <w:rFonts w:cs="Arial"/>
          <w:lang w:val="mn-MN"/>
        </w:rPr>
        <w:t xml:space="preserve"> үндэслэлийг нийтлэг байдлаар хуульчилсан байдаг</w:t>
      </w:r>
      <w:r w:rsidRPr="00474DE9">
        <w:rPr>
          <w:rFonts w:eastAsia="Arial" w:cs="Arial"/>
          <w:shd w:val="clear" w:color="auto" w:fill="FFFFFF"/>
          <w:lang w:val="mn-MN"/>
        </w:rPr>
        <w:t xml:space="preserve">. Иймд дээрх хуулийн төслийн зохицуулалтууд нь шүүхийн ил тод байдлын зорилготой нийцэж байна гэж үзэж болох юм. </w:t>
      </w:r>
    </w:p>
    <w:p w14:paraId="7FFF22D8" w14:textId="77777777" w:rsidR="00317515" w:rsidRPr="00474DE9" w:rsidRDefault="00317515" w:rsidP="00FD76F1">
      <w:pPr>
        <w:pStyle w:val="Heading2"/>
        <w:rPr>
          <w:rFonts w:cs="Arial"/>
          <w:lang w:val="mn-MN"/>
        </w:rPr>
      </w:pPr>
      <w:bookmarkStart w:id="16" w:name="_Toc164632102"/>
      <w:r w:rsidRPr="00474DE9">
        <w:rPr>
          <w:rFonts w:cs="Arial"/>
          <w:lang w:val="mn-MN"/>
        </w:rPr>
        <w:t>3.2. “Практикт хэрэгжих боломж” шалгуур үзүүлэлтээр үнэлсэн байдал</w:t>
      </w:r>
      <w:bookmarkEnd w:id="16"/>
    </w:p>
    <w:p w14:paraId="79E8B84B" w14:textId="77777777" w:rsidR="00D8099E" w:rsidRPr="00474DE9" w:rsidRDefault="00D8099E" w:rsidP="002B18DF">
      <w:pPr>
        <w:spacing w:before="240"/>
        <w:jc w:val="both"/>
        <w:rPr>
          <w:lang w:val="mn-MN"/>
        </w:rPr>
      </w:pPr>
      <w:r w:rsidRPr="00474DE9">
        <w:rPr>
          <w:lang w:val="mn-MN"/>
        </w:rPr>
        <w:t>Энэхүү хуулийн төслөөр  шүүхийн үйл ажиллагааны олон нийтэд ил тод байдлын хүрээнд өмнө нь байгаагүй зохицуулалт буюу хэрэг хянан шийдвэрлэх ажиллагааны материалтай сонирхогч этгээд цахимаар танилцах, нээлттэй шүүх хуралдааны бичлэгийг шүүхийн цахим хуудсанд нийтлэх зохицуулалт байгаа тул практикт хэрэгжих боломж гэсэн шалгуур үзүүлэлтээр шалгах нь зүйтэй гэж үзлээ. Ингэхдээ холбогдох зохицуулалт нь практикт хэрэгжих боломжтой эсэхийг шалгах юм.</w:t>
      </w:r>
    </w:p>
    <w:tbl>
      <w:tblPr>
        <w:tblStyle w:val="TableGrid"/>
        <w:tblW w:w="0" w:type="auto"/>
        <w:tblLook w:val="04A0" w:firstRow="1" w:lastRow="0" w:firstColumn="1" w:lastColumn="0" w:noHBand="0" w:noVBand="1"/>
      </w:tblPr>
      <w:tblGrid>
        <w:gridCol w:w="9016"/>
      </w:tblGrid>
      <w:tr w:rsidR="00D8099E" w:rsidRPr="00474DE9" w14:paraId="5ADE3648" w14:textId="77777777" w:rsidTr="00D8099E">
        <w:tc>
          <w:tcPr>
            <w:tcW w:w="9347" w:type="dxa"/>
          </w:tcPr>
          <w:p w14:paraId="6FF310F3" w14:textId="77777777" w:rsidR="00D8099E" w:rsidRPr="00474DE9" w:rsidRDefault="00D8099E" w:rsidP="00D8099E">
            <w:pPr>
              <w:spacing w:before="240"/>
              <w:ind w:firstLine="0"/>
              <w:rPr>
                <w:lang w:val="mn-MN"/>
              </w:rPr>
            </w:pPr>
            <w:r w:rsidRPr="00474DE9">
              <w:rPr>
                <w:rFonts w:cs="Arial"/>
                <w:lang w:val="mn-MN"/>
              </w:rPr>
              <w:t xml:space="preserve">         Шүүхийн үйл ажиллагааг хуульд зааснаас бусад тохиолдолд олон нийтэд нээлттэй, ил тод явуулах</w:t>
            </w:r>
            <w:r w:rsidRPr="00474DE9">
              <w:rPr>
                <w:rFonts w:eastAsia="Arial" w:cs="Arial"/>
                <w:shd w:val="clear" w:color="auto" w:fill="FFFFFF"/>
                <w:lang w:val="mn-MN"/>
              </w:rPr>
              <w:t xml:space="preserve"> зохицуулалт практикт хэрэгжих боломжийг шалгах хүрээнд хуулийн төслийн 12 дугаар зүйлийн 12.1.1, 12.1.2, 12.1.3, 12.5, 12.6  дахь хэсэгт дүн шинжилгээ хийсэн байдал.</w:t>
            </w:r>
          </w:p>
        </w:tc>
      </w:tr>
    </w:tbl>
    <w:p w14:paraId="19D559AD" w14:textId="77777777" w:rsidR="00D8099E" w:rsidRPr="00474DE9" w:rsidRDefault="00D8099E" w:rsidP="00D8099E">
      <w:pPr>
        <w:spacing w:before="240"/>
        <w:jc w:val="both"/>
        <w:rPr>
          <w:rFonts w:eastAsia="Arial" w:cs="Arial"/>
          <w:shd w:val="clear" w:color="auto" w:fill="FFFFFF"/>
          <w:lang w:val="mn-MN"/>
        </w:rPr>
      </w:pPr>
      <w:r w:rsidRPr="00474DE9">
        <w:rPr>
          <w:rFonts w:eastAsia="Arial" w:cs="Arial"/>
          <w:shd w:val="clear" w:color="auto" w:fill="FFFFFF"/>
          <w:lang w:val="mn-MN"/>
        </w:rPr>
        <w:t>Хуулийн төс</w:t>
      </w:r>
      <w:r w:rsidR="002B18DF" w:rsidRPr="00474DE9">
        <w:rPr>
          <w:rFonts w:eastAsia="Arial" w:cs="Arial"/>
          <w:shd w:val="clear" w:color="auto" w:fill="FFFFFF"/>
          <w:lang w:val="mn-MN"/>
        </w:rPr>
        <w:t>л</w:t>
      </w:r>
      <w:r w:rsidRPr="00474DE9">
        <w:rPr>
          <w:rFonts w:eastAsia="Arial" w:cs="Arial"/>
          <w:shd w:val="clear" w:color="auto" w:fill="FFFFFF"/>
          <w:lang w:val="mn-MN"/>
        </w:rPr>
        <w:t xml:space="preserve">ийн 12 дугаар зүйлийн  12.1.1, 12.1.2, 12.1.3 дахь хэсэгт шүүхийн үйл ажиллагаа олон нийтэд нээлттэй ил тод байх хэлбэрүүдийг тусгасан. Тухайлбал,  хуулийн төслийн 12 дугаар зүйлийн 12.1.1 дэх хэсэгт  хэрэг хянан шийдвэрлэх шүүхийн ажиллагааны явцад талуудын гаргасан гомдол, нэхэмжлэл, тайлбар, хүсэлт, шүүх хуралдааны тэмдэглэл, шүүхийн шийдвэрийг энэ хуульд заасны дагуу сонирхогч этгээд биечлэн болон цахимаар танилцах боломжийг бүрдүүлэх  гэж заасан. Монгол улс өнгөрсөн хугацаанд  шүүхийн шийдвэрийн цахим санг бий болгож  тус цахим санд  иргэн, эрүү захиргааны хэргийн шүүхийн бүх шийдвэрийг байршуулсан.  Иймд шүүхийн шийдвэрийн цахим сан бий болгосонтой адилаар энэ хуулийн төсөлд тусгасан мэдээллийн санг бий болгох боломжтой байж болох юм. </w:t>
      </w:r>
    </w:p>
    <w:p w14:paraId="28DDFC71" w14:textId="77777777" w:rsidR="00D8099E" w:rsidRPr="00474DE9" w:rsidRDefault="00D8099E" w:rsidP="00D8099E">
      <w:pPr>
        <w:jc w:val="both"/>
        <w:rPr>
          <w:rFonts w:eastAsia="Arial" w:cs="Arial"/>
          <w:shd w:val="clear" w:color="auto" w:fill="FFFFFF"/>
          <w:lang w:val="mn-MN"/>
        </w:rPr>
      </w:pPr>
      <w:r w:rsidRPr="00474DE9">
        <w:rPr>
          <w:rFonts w:eastAsia="Arial" w:cs="Arial"/>
          <w:shd w:val="clear" w:color="auto" w:fill="FFFFFF"/>
          <w:lang w:val="mn-MN"/>
        </w:rPr>
        <w:t xml:space="preserve">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иржээ. Сүүлийн 5 жилийн статистик тоон мэдээллээр улсын хэмжээнд нийт эрүүгийн хэргийн 18 орчим хувь, иргэний хэргийн 6 орчим хувь нь давж заалдсан  байх бөгөөд энэхүү давж заалдах шатны шүүх хуралдааны 50 орчим хувийг цахим шүүх хуралдаан эзэлсэн байна. Үүнтэй холбоотойгоор  Монгол улс шүүхийн цахимжилтын хүрээнд төрийн үйлчилгээг иргэдэд шуурхай буюу цахим хэлбэрээр хүргэх нөхцөлийг бүрдүүлж, цахим гэрээ, хэлцлийн хууль, эрх зүйн орчныг сайжруулан цахим орчинд хийгдсэн гэрээ, хэлцлийг шүүхэд нотлох баримтаар тооцох, шүүхийн зарим үйл ажиллагааг цахимжуулах нь Монгол Улсын Засгийн газрын 2020-2024 оны үйл ажиллагааны хөтөлбөр мөн. Иймд шүүхийн цахимжилтын  холбогдох зохицуулалт нь практикт хэрэгжих боломжтой байж болох юм. </w:t>
      </w:r>
    </w:p>
    <w:p w14:paraId="672A5689" w14:textId="77777777" w:rsidR="004B785F" w:rsidRPr="00474DE9" w:rsidRDefault="004B785F" w:rsidP="00FD76F1">
      <w:pPr>
        <w:pStyle w:val="Heading2"/>
        <w:rPr>
          <w:rFonts w:cs="Arial"/>
          <w:lang w:val="mn-MN"/>
        </w:rPr>
      </w:pPr>
      <w:bookmarkStart w:id="17" w:name="_Toc164632103"/>
      <w:r w:rsidRPr="00474DE9">
        <w:rPr>
          <w:rFonts w:cs="Arial"/>
          <w:lang w:val="mn-MN"/>
        </w:rPr>
        <w:t>3.3. “</w:t>
      </w:r>
      <w:r w:rsidR="002E31AE" w:rsidRPr="00474DE9">
        <w:rPr>
          <w:rFonts w:cs="Arial"/>
          <w:lang w:val="mn-MN"/>
        </w:rPr>
        <w:t>Ойлгомжтой байдал</w:t>
      </w:r>
      <w:r w:rsidRPr="00474DE9">
        <w:rPr>
          <w:rFonts w:cs="Arial"/>
          <w:lang w:val="mn-MN"/>
        </w:rPr>
        <w:t>” шалгуур үзүүлэлтээр үнэлсэн байдал</w:t>
      </w:r>
      <w:bookmarkEnd w:id="17"/>
    </w:p>
    <w:p w14:paraId="5E46BDA7" w14:textId="77777777" w:rsidR="00EA7955" w:rsidRPr="00474DE9" w:rsidRDefault="002E31AE" w:rsidP="00EA7955">
      <w:pPr>
        <w:spacing w:before="240" w:line="276" w:lineRule="auto"/>
        <w:jc w:val="both"/>
        <w:rPr>
          <w:rFonts w:cs="Arial"/>
          <w:szCs w:val="24"/>
          <w:lang w:val="mn-MN"/>
        </w:rPr>
      </w:pPr>
      <w:r w:rsidRPr="00474DE9">
        <w:rPr>
          <w:rFonts w:cs="Arial"/>
          <w:szCs w:val="24"/>
          <w:lang w:val="mn-MN"/>
        </w:rPr>
        <w:t>Монгол Улсын Шүүхийн тухай хуульд нэмэлт, өөрчлөлт оруулах тухай хуулийн төслийн тухайд:</w:t>
      </w:r>
    </w:p>
    <w:tbl>
      <w:tblPr>
        <w:tblStyle w:val="TableGrid"/>
        <w:tblW w:w="0" w:type="auto"/>
        <w:tblLook w:val="04A0" w:firstRow="1" w:lastRow="0" w:firstColumn="1" w:lastColumn="0" w:noHBand="0" w:noVBand="1"/>
      </w:tblPr>
      <w:tblGrid>
        <w:gridCol w:w="555"/>
        <w:gridCol w:w="4305"/>
        <w:gridCol w:w="2330"/>
        <w:gridCol w:w="1826"/>
      </w:tblGrid>
      <w:tr w:rsidR="009E3C32" w:rsidRPr="00474DE9" w14:paraId="022B15EA" w14:textId="77777777" w:rsidTr="009E3C32">
        <w:tc>
          <w:tcPr>
            <w:tcW w:w="562" w:type="dxa"/>
          </w:tcPr>
          <w:p w14:paraId="5AE6A17C" w14:textId="77777777" w:rsidR="00304B0A" w:rsidRPr="00474DE9" w:rsidRDefault="00304B0A" w:rsidP="00304B0A">
            <w:pPr>
              <w:widowControl w:val="0"/>
              <w:ind w:firstLine="0"/>
              <w:jc w:val="both"/>
              <w:rPr>
                <w:rFonts w:cs="Arial"/>
                <w:lang w:val="mn-MN"/>
              </w:rPr>
            </w:pPr>
            <w:r w:rsidRPr="00474DE9">
              <w:rPr>
                <w:rFonts w:cs="Arial"/>
                <w:b/>
                <w:lang w:val="mn-MN"/>
              </w:rPr>
              <w:t>№</w:t>
            </w:r>
          </w:p>
        </w:tc>
        <w:tc>
          <w:tcPr>
            <w:tcW w:w="4536" w:type="dxa"/>
          </w:tcPr>
          <w:p w14:paraId="5CCDE883" w14:textId="77777777" w:rsidR="00304B0A" w:rsidRPr="00474DE9" w:rsidRDefault="00304B0A" w:rsidP="00304B0A">
            <w:pPr>
              <w:widowControl w:val="0"/>
              <w:ind w:firstLine="0"/>
              <w:jc w:val="center"/>
              <w:rPr>
                <w:rFonts w:cs="Arial"/>
                <w:b/>
                <w:lang w:val="mn-MN"/>
              </w:rPr>
            </w:pPr>
            <w:r w:rsidRPr="00474DE9">
              <w:rPr>
                <w:rFonts w:cs="Arial"/>
                <w:b/>
                <w:lang w:val="mn-MN"/>
              </w:rPr>
              <w:t>Ойлгомжгүй байгаа хуулийн төслийн зохицуулалт</w:t>
            </w:r>
          </w:p>
        </w:tc>
        <w:tc>
          <w:tcPr>
            <w:tcW w:w="2410" w:type="dxa"/>
          </w:tcPr>
          <w:p w14:paraId="625DDAF4" w14:textId="77777777" w:rsidR="00304B0A" w:rsidRPr="00474DE9" w:rsidRDefault="00304B0A" w:rsidP="00304B0A">
            <w:pPr>
              <w:widowControl w:val="0"/>
              <w:ind w:firstLine="0"/>
              <w:jc w:val="center"/>
              <w:rPr>
                <w:rFonts w:cs="Arial"/>
                <w:b/>
                <w:lang w:val="mn-MN"/>
              </w:rPr>
            </w:pPr>
            <w:r w:rsidRPr="00474DE9">
              <w:rPr>
                <w:rFonts w:cs="Arial"/>
                <w:b/>
                <w:lang w:val="mn-MN"/>
              </w:rPr>
              <w:t>Тайлбар</w:t>
            </w:r>
          </w:p>
        </w:tc>
        <w:tc>
          <w:tcPr>
            <w:tcW w:w="1839" w:type="dxa"/>
          </w:tcPr>
          <w:p w14:paraId="45A5BC06" w14:textId="77777777" w:rsidR="00304B0A" w:rsidRPr="00474DE9" w:rsidRDefault="00304B0A" w:rsidP="00304B0A">
            <w:pPr>
              <w:widowControl w:val="0"/>
              <w:ind w:firstLine="0"/>
              <w:jc w:val="center"/>
              <w:rPr>
                <w:rFonts w:cs="Arial"/>
                <w:b/>
                <w:lang w:val="mn-MN"/>
              </w:rPr>
            </w:pPr>
            <w:r w:rsidRPr="00474DE9">
              <w:rPr>
                <w:rFonts w:cs="Arial"/>
                <w:b/>
                <w:lang w:val="mn-MN"/>
              </w:rPr>
              <w:t>Санал</w:t>
            </w:r>
          </w:p>
        </w:tc>
      </w:tr>
      <w:tr w:rsidR="00CA69E3" w:rsidRPr="00474DE9" w14:paraId="19AE67DC" w14:textId="77777777" w:rsidTr="009E3C32">
        <w:tc>
          <w:tcPr>
            <w:tcW w:w="562" w:type="dxa"/>
          </w:tcPr>
          <w:p w14:paraId="49F45C6B" w14:textId="77777777" w:rsidR="00304B0A" w:rsidRPr="00474DE9" w:rsidRDefault="00304B0A" w:rsidP="00304B0A">
            <w:pPr>
              <w:pStyle w:val="ListParagraph"/>
              <w:numPr>
                <w:ilvl w:val="0"/>
                <w:numId w:val="4"/>
              </w:numPr>
              <w:spacing w:before="240" w:line="276" w:lineRule="auto"/>
              <w:ind w:left="447"/>
              <w:jc w:val="both"/>
              <w:rPr>
                <w:rFonts w:ascii="Arial" w:hAnsi="Arial" w:cs="Arial"/>
                <w:szCs w:val="24"/>
                <w:lang w:val="mn-MN"/>
              </w:rPr>
            </w:pPr>
          </w:p>
        </w:tc>
        <w:tc>
          <w:tcPr>
            <w:tcW w:w="4536" w:type="dxa"/>
          </w:tcPr>
          <w:p w14:paraId="3E8A475F" w14:textId="77777777" w:rsidR="001C62C9" w:rsidRPr="00474DE9" w:rsidRDefault="000668F1" w:rsidP="001C62C9">
            <w:pPr>
              <w:spacing w:before="240" w:line="276" w:lineRule="auto"/>
              <w:ind w:firstLine="0"/>
              <w:jc w:val="both"/>
              <w:rPr>
                <w:rFonts w:cs="Arial"/>
                <w:szCs w:val="24"/>
                <w:lang w:val="mn-MN"/>
              </w:rPr>
            </w:pPr>
            <w:r w:rsidRPr="00474DE9">
              <w:rPr>
                <w:rFonts w:cs="Arial"/>
                <w:szCs w:val="24"/>
                <w:lang w:val="mn-MN"/>
              </w:rPr>
              <w:t xml:space="preserve">12.1.1.хэрэг хянан шийдвэрлэх шүүхийн ажиллагааны явцад талуудын гаргасан гомдол, нэхэмжлэл, тайлбар, хүсэлт, шүүх хуралдааны тэмдэглэл, шүүхийн шийдвэрийг энэ хуульд заасны дагуу </w:t>
            </w:r>
            <w:r w:rsidRPr="00474DE9">
              <w:rPr>
                <w:rFonts w:cs="Arial"/>
                <w:b/>
                <w:szCs w:val="24"/>
                <w:lang w:val="mn-MN"/>
              </w:rPr>
              <w:t>сонирхогч этгээд</w:t>
            </w:r>
            <w:r w:rsidRPr="00474DE9">
              <w:rPr>
                <w:rFonts w:cs="Arial"/>
                <w:szCs w:val="24"/>
                <w:lang w:val="mn-MN"/>
              </w:rPr>
              <w:t xml:space="preserve"> биечлэн болон цахимаар танилцах боломжийг бүрдүүлэх;</w:t>
            </w:r>
          </w:p>
          <w:p w14:paraId="59E0D177" w14:textId="77777777" w:rsidR="001C62C9" w:rsidRPr="00474DE9" w:rsidRDefault="001C62C9" w:rsidP="001C62C9">
            <w:pPr>
              <w:spacing w:before="240"/>
              <w:ind w:firstLine="0"/>
              <w:jc w:val="both"/>
              <w:rPr>
                <w:rFonts w:eastAsia="Arial" w:cs="Arial"/>
                <w:shd w:val="clear" w:color="auto" w:fill="FFFFFF"/>
                <w:lang w:val="mn-MN"/>
              </w:rPr>
            </w:pPr>
            <w:r w:rsidRPr="00474DE9">
              <w:rPr>
                <w:rFonts w:eastAsia="Arial" w:cs="Arial"/>
                <w:shd w:val="clear" w:color="auto" w:fill="FFFFFF"/>
                <w:lang w:val="mn-MN"/>
              </w:rPr>
              <w:t xml:space="preserve">12.3.Энэ хуулийн 12.1.1-д заасан мэдээлэлтэй </w:t>
            </w:r>
            <w:r w:rsidRPr="00474DE9">
              <w:rPr>
                <w:rFonts w:eastAsia="Arial" w:cs="Arial"/>
                <w:b/>
                <w:shd w:val="clear" w:color="auto" w:fill="FFFFFF"/>
                <w:lang w:val="mn-MN"/>
              </w:rPr>
              <w:t>сонирхогч этгээд</w:t>
            </w:r>
            <w:r w:rsidRPr="00474DE9">
              <w:rPr>
                <w:rFonts w:eastAsia="Arial" w:cs="Arial"/>
                <w:shd w:val="clear" w:color="auto" w:fill="FFFFFF"/>
                <w:lang w:val="mn-MN"/>
              </w:rPr>
              <w:t xml:space="preserve"> биечлэн болон цахимаар танилцах журмыг Шүүхийн ерөнхий зөвлөл Улсын дээд шүүхийн саналыг үндэслэн батална.  </w:t>
            </w:r>
          </w:p>
          <w:p w14:paraId="20D0A6C9" w14:textId="77777777" w:rsidR="001C62C9" w:rsidRPr="00474DE9" w:rsidRDefault="001C62C9" w:rsidP="001C62C9">
            <w:pPr>
              <w:jc w:val="both"/>
              <w:rPr>
                <w:rFonts w:eastAsia="Arial" w:cs="Arial"/>
                <w:shd w:val="clear" w:color="auto" w:fill="FFFFFF"/>
                <w:lang w:val="mn-MN"/>
              </w:rPr>
            </w:pPr>
          </w:p>
          <w:p w14:paraId="7F9B3DB7" w14:textId="77777777" w:rsidR="001C62C9" w:rsidRPr="00474DE9" w:rsidRDefault="001C62C9" w:rsidP="001C62C9">
            <w:pPr>
              <w:ind w:firstLine="0"/>
              <w:jc w:val="both"/>
              <w:rPr>
                <w:rFonts w:eastAsia="Arial" w:cs="Arial"/>
                <w:shd w:val="clear" w:color="auto" w:fill="FFFFFF"/>
                <w:lang w:val="mn-MN"/>
              </w:rPr>
            </w:pPr>
            <w:r w:rsidRPr="00474DE9">
              <w:rPr>
                <w:rFonts w:eastAsia="Arial" w:cs="Arial"/>
                <w:shd w:val="clear" w:color="auto" w:fill="FFFFFF"/>
                <w:lang w:val="mn-MN"/>
              </w:rPr>
              <w:t>12.4.</w:t>
            </w:r>
            <w:r w:rsidRPr="00474DE9">
              <w:rPr>
                <w:rFonts w:eastAsia="Arial" w:cs="Arial"/>
                <w:b/>
                <w:shd w:val="clear" w:color="auto" w:fill="FFFFFF"/>
                <w:lang w:val="mn-MN"/>
              </w:rPr>
              <w:t>Сонирхогч этгээд</w:t>
            </w:r>
            <w:r w:rsidRPr="00474DE9">
              <w:rPr>
                <w:rFonts w:eastAsia="Arial" w:cs="Arial"/>
                <w:shd w:val="clear" w:color="auto" w:fill="FFFFFF"/>
                <w:lang w:val="mn-MN"/>
              </w:rPr>
              <w:t xml:space="preserve"> болон хэвлэл мэдээллийн ажилтан, байгууллага энэ хуулийн 12.1.1-д заасан мэдээллийг бусдад түгээх бол эх сурвалжийг дурдаж, үнэн зөв, гуйвуулалгүйгээр түгээх үүрэгтэй. </w:t>
            </w:r>
          </w:p>
          <w:p w14:paraId="019B8760" w14:textId="77777777" w:rsidR="001C62C9" w:rsidRPr="00474DE9" w:rsidRDefault="001C62C9" w:rsidP="001C62C9">
            <w:pPr>
              <w:ind w:firstLine="0"/>
              <w:jc w:val="both"/>
              <w:rPr>
                <w:rFonts w:eastAsia="Arial" w:cs="Arial"/>
                <w:shd w:val="clear" w:color="auto" w:fill="FFFFFF"/>
                <w:lang w:val="mn-MN"/>
              </w:rPr>
            </w:pPr>
          </w:p>
          <w:p w14:paraId="46A524F2" w14:textId="77777777" w:rsidR="001C62C9" w:rsidRPr="00474DE9" w:rsidRDefault="001C62C9" w:rsidP="001C62C9">
            <w:pPr>
              <w:ind w:firstLine="0"/>
              <w:jc w:val="both"/>
              <w:rPr>
                <w:rFonts w:eastAsia="Arial" w:cs="Arial"/>
                <w:shd w:val="clear" w:color="auto" w:fill="FFFFFF"/>
                <w:lang w:val="mn-MN"/>
              </w:rPr>
            </w:pPr>
            <w:r w:rsidRPr="00474DE9">
              <w:rPr>
                <w:rFonts w:eastAsia="Arial" w:cs="Arial"/>
                <w:shd w:val="clear" w:color="auto" w:fill="FFFFFF"/>
                <w:lang w:val="mn-MN"/>
              </w:rPr>
              <w:t xml:space="preserve">12.13.Шүүх хуралдааныг хаалттай явуулахаар шийдвэрлэсэн шүүхийн шийдвэрийг шүүхийн цахим хуудсанд байршуулснаас хойш 3 хоногийн дотор </w:t>
            </w:r>
            <w:r w:rsidRPr="00474DE9">
              <w:rPr>
                <w:rFonts w:eastAsia="Arial" w:cs="Arial"/>
                <w:b/>
                <w:shd w:val="clear" w:color="auto" w:fill="FFFFFF"/>
                <w:lang w:val="mn-MN"/>
              </w:rPr>
              <w:t>сонирхогч этгээд</w:t>
            </w:r>
            <w:r w:rsidRPr="00474DE9">
              <w:rPr>
                <w:rFonts w:eastAsia="Arial" w:cs="Arial"/>
                <w:shd w:val="clear" w:color="auto" w:fill="FFFFFF"/>
                <w:lang w:val="mn-MN"/>
              </w:rPr>
              <w:t xml:space="preserve"> шүүхийн шийдвэрт гомдол гаргаж болно.</w:t>
            </w:r>
          </w:p>
        </w:tc>
        <w:tc>
          <w:tcPr>
            <w:tcW w:w="2410" w:type="dxa"/>
          </w:tcPr>
          <w:p w14:paraId="48874529" w14:textId="77777777" w:rsidR="001C62C9" w:rsidRPr="00474DE9" w:rsidRDefault="001C62C9" w:rsidP="001C62C9">
            <w:pPr>
              <w:widowControl w:val="0"/>
              <w:ind w:firstLine="0"/>
              <w:jc w:val="both"/>
              <w:rPr>
                <w:rFonts w:cs="Arial"/>
                <w:szCs w:val="24"/>
                <w:lang w:val="mn-MN"/>
              </w:rPr>
            </w:pPr>
          </w:p>
          <w:p w14:paraId="087514C2" w14:textId="77777777" w:rsidR="001C62C9" w:rsidRPr="00474DE9" w:rsidRDefault="001C62C9" w:rsidP="001C62C9">
            <w:pPr>
              <w:widowControl w:val="0"/>
              <w:ind w:firstLine="0"/>
              <w:jc w:val="both"/>
              <w:rPr>
                <w:rFonts w:cs="Arial"/>
                <w:highlight w:val="white"/>
                <w:lang w:val="mn-MN"/>
              </w:rPr>
            </w:pPr>
            <w:r w:rsidRPr="00474DE9">
              <w:rPr>
                <w:rFonts w:cs="Arial"/>
                <w:szCs w:val="24"/>
                <w:lang w:val="mn-MN"/>
              </w:rPr>
              <w:t xml:space="preserve">Эдгээр заалтуудад заасан “сонирхогч этгээд” </w:t>
            </w:r>
            <w:r w:rsidRPr="00474DE9">
              <w:rPr>
                <w:rFonts w:cs="Arial"/>
                <w:highlight w:val="white"/>
                <w:lang w:val="mn-MN"/>
              </w:rPr>
              <w:t xml:space="preserve">гэж ямар субъектийг ойлгох нь тодорхойгүй байна.  </w:t>
            </w:r>
          </w:p>
          <w:p w14:paraId="0EAA084F" w14:textId="77777777" w:rsidR="00304B0A" w:rsidRPr="00474DE9" w:rsidRDefault="00304B0A" w:rsidP="002E31AE">
            <w:pPr>
              <w:spacing w:before="240" w:line="276" w:lineRule="auto"/>
              <w:ind w:firstLine="0"/>
              <w:jc w:val="both"/>
              <w:rPr>
                <w:rFonts w:cs="Arial"/>
                <w:szCs w:val="24"/>
                <w:lang w:val="mn-MN"/>
              </w:rPr>
            </w:pPr>
          </w:p>
        </w:tc>
        <w:tc>
          <w:tcPr>
            <w:tcW w:w="1839" w:type="dxa"/>
          </w:tcPr>
          <w:p w14:paraId="2C0D6A29" w14:textId="77777777" w:rsidR="00304B0A" w:rsidRPr="00474DE9" w:rsidRDefault="001C62C9" w:rsidP="002E31AE">
            <w:pPr>
              <w:spacing w:before="240" w:line="276" w:lineRule="auto"/>
              <w:ind w:firstLine="0"/>
              <w:jc w:val="both"/>
              <w:rPr>
                <w:rFonts w:cs="Arial"/>
                <w:szCs w:val="24"/>
                <w:lang w:val="mn-MN"/>
              </w:rPr>
            </w:pPr>
            <w:r w:rsidRPr="00474DE9">
              <w:rPr>
                <w:rFonts w:cs="Arial"/>
                <w:szCs w:val="24"/>
                <w:lang w:val="mn-MN"/>
              </w:rPr>
              <w:t>“Сонирхогч этгээд” гэх томьёоллыг тодорхойлох.</w:t>
            </w:r>
          </w:p>
        </w:tc>
      </w:tr>
      <w:tr w:rsidR="00CA69E3" w:rsidRPr="00474DE9" w14:paraId="70A67E5B" w14:textId="77777777" w:rsidTr="009E3C32">
        <w:tc>
          <w:tcPr>
            <w:tcW w:w="562" w:type="dxa"/>
          </w:tcPr>
          <w:p w14:paraId="52D328E7" w14:textId="77777777" w:rsidR="00304B0A" w:rsidRPr="00474DE9" w:rsidRDefault="00304B0A" w:rsidP="00304B0A">
            <w:pPr>
              <w:pStyle w:val="ListParagraph"/>
              <w:numPr>
                <w:ilvl w:val="0"/>
                <w:numId w:val="4"/>
              </w:numPr>
              <w:spacing w:before="240" w:line="276" w:lineRule="auto"/>
              <w:ind w:left="447"/>
              <w:jc w:val="both"/>
              <w:rPr>
                <w:rFonts w:ascii="Arial" w:hAnsi="Arial" w:cs="Arial"/>
                <w:szCs w:val="24"/>
                <w:lang w:val="mn-MN"/>
              </w:rPr>
            </w:pPr>
          </w:p>
        </w:tc>
        <w:tc>
          <w:tcPr>
            <w:tcW w:w="4536" w:type="dxa"/>
          </w:tcPr>
          <w:p w14:paraId="09D518C9" w14:textId="77777777" w:rsidR="00304B0A" w:rsidRPr="00474DE9" w:rsidRDefault="004C2BD9" w:rsidP="002E31AE">
            <w:pPr>
              <w:spacing w:before="240" w:line="276" w:lineRule="auto"/>
              <w:ind w:firstLine="0"/>
              <w:jc w:val="both"/>
              <w:rPr>
                <w:rFonts w:cs="Arial"/>
                <w:szCs w:val="24"/>
                <w:lang w:val="mn-MN"/>
              </w:rPr>
            </w:pPr>
            <w:r w:rsidRPr="00474DE9">
              <w:rPr>
                <w:rFonts w:cs="Arial"/>
                <w:szCs w:val="24"/>
                <w:lang w:val="mn-MN"/>
              </w:rPr>
              <w:t xml:space="preserve">2 дугаар зүйл.Монгол Улсын шүүхийн тухай хуулийн 46 дугаар зүйлийн 46.2 дахь хэсгийн “зэргийн” гэсний дараа “, зэрэг дэвийн” гэж, 71 дүгээр зүйлийн 71.1.9 дэх заалтын “үнэлэх” гэсний дараа “, давж заалдах, анхан шатны шүүхийн захиргааны ажилтны албан тушаалын цалингийн хэмжээг батлах, ажилтны ажлын гүйцэтгэлийн чанар, үр дүнд суурилсан  урамшууллыг батлагдсан цалингийн санд багтаан тогтоох” гэж, 85 дугаар зүйлийн 85.6 дахь хэсгийн “орон тоог” гэсний дараа “, албан тушаалын цалингийн хэмжээг” гэж, 102 дугаар зүйлийн 102.1.1 дэх заалт, 105 дугаар зүйлийн 105.3 дахь хэсэг, 113 дугаар зүйлийн 113.1 дэх хэсэг, 114 дүгээр зүйлийн 114.2 дахь хэсгийн “бичгээр” гэсний дараа “, </w:t>
            </w:r>
            <w:r w:rsidRPr="00474DE9">
              <w:rPr>
                <w:rFonts w:cs="Arial"/>
                <w:b/>
                <w:szCs w:val="24"/>
                <w:lang w:val="mn-MN"/>
              </w:rPr>
              <w:t>буюу цаасан болон цахим хэлбэрээр” гэж</w:t>
            </w:r>
            <w:r w:rsidRPr="00474DE9">
              <w:rPr>
                <w:rFonts w:cs="Arial"/>
                <w:szCs w:val="24"/>
                <w:lang w:val="mn-MN"/>
              </w:rPr>
              <w:t>, 103 дугаар зүйлийн 103.1 дэх хэсэгт “</w:t>
            </w:r>
            <w:r w:rsidRPr="00474DE9">
              <w:rPr>
                <w:rFonts w:cs="Arial"/>
                <w:b/>
                <w:szCs w:val="24"/>
                <w:lang w:val="mn-MN"/>
              </w:rPr>
              <w:t>Өргөдөл, мэдээллийг амаар</w:t>
            </w:r>
            <w:r w:rsidRPr="00474DE9">
              <w:rPr>
                <w:rFonts w:cs="Arial"/>
                <w:szCs w:val="24"/>
                <w:lang w:val="mn-MN"/>
              </w:rPr>
              <w:t xml:space="preserve">, эсхүл бичгээр болон цахимаар гаргаж болно.” гэсэн хоёр дахь өгүүлбэр, 110 дугаар зүйлийн 110.2 дахь хэсгийн “шуудангаар” гэсний дараа “цахимаар,” гэж, 112 дугаар зүйлийн 112.8 дахь хэсэгт “Гомдол, эсэргүүцлийг </w:t>
            </w:r>
            <w:r w:rsidRPr="00474DE9">
              <w:rPr>
                <w:rFonts w:cs="Arial"/>
                <w:b/>
                <w:szCs w:val="24"/>
                <w:lang w:val="mn-MN"/>
              </w:rPr>
              <w:t>бичгээр буюу цаасан болон цахим хэлбэрээр гаргаж болно</w:t>
            </w:r>
            <w:r w:rsidRPr="00474DE9">
              <w:rPr>
                <w:rFonts w:cs="Arial"/>
                <w:szCs w:val="24"/>
                <w:lang w:val="mn-MN"/>
              </w:rPr>
              <w:t>.” гэсэн хоёр дахь өгүүлбэр тус тус нэмсүгэй.</w:t>
            </w:r>
          </w:p>
        </w:tc>
        <w:tc>
          <w:tcPr>
            <w:tcW w:w="2410" w:type="dxa"/>
          </w:tcPr>
          <w:p w14:paraId="4F249BF4" w14:textId="77777777" w:rsidR="00304B0A" w:rsidRPr="00474DE9" w:rsidRDefault="009E3C32" w:rsidP="002E31AE">
            <w:pPr>
              <w:spacing w:before="240" w:line="276" w:lineRule="auto"/>
              <w:ind w:firstLine="0"/>
              <w:jc w:val="both"/>
              <w:rPr>
                <w:rFonts w:cs="Arial"/>
                <w:szCs w:val="24"/>
                <w:lang w:val="mn-MN"/>
              </w:rPr>
            </w:pPr>
            <w:r w:rsidRPr="00474DE9">
              <w:rPr>
                <w:rFonts w:cs="Arial"/>
                <w:szCs w:val="24"/>
                <w:lang w:val="mn-MN"/>
              </w:rPr>
              <w:t>1) ШСХ-д өргөдөл, мэдээллийг амаар гаргах боломжтой эсэх нь эргэлзээтэй байна.</w:t>
            </w:r>
          </w:p>
          <w:p w14:paraId="4A7FBDAD" w14:textId="77777777" w:rsidR="009E3C32" w:rsidRPr="00474DE9" w:rsidRDefault="009E3C32" w:rsidP="002E31AE">
            <w:pPr>
              <w:spacing w:before="240" w:line="276" w:lineRule="auto"/>
              <w:ind w:firstLine="0"/>
              <w:jc w:val="both"/>
              <w:rPr>
                <w:rFonts w:cs="Arial"/>
                <w:szCs w:val="24"/>
                <w:lang w:val="mn-MN"/>
              </w:rPr>
            </w:pPr>
            <w:r w:rsidRPr="00474DE9">
              <w:rPr>
                <w:rFonts w:cs="Arial"/>
                <w:szCs w:val="24"/>
                <w:lang w:val="mn-MN"/>
              </w:rPr>
              <w:t xml:space="preserve">2) ... бичгээр буюу цаасан цахим хэлбэрээр гэсэн томьёолол нь ойлгомжгүй </w:t>
            </w:r>
            <w:r w:rsidR="004C2BD9" w:rsidRPr="00474DE9">
              <w:rPr>
                <w:rFonts w:cs="Arial"/>
                <w:szCs w:val="24"/>
                <w:lang w:val="mn-MN"/>
              </w:rPr>
              <w:t xml:space="preserve">буюу </w:t>
            </w:r>
            <w:r w:rsidRPr="00474DE9">
              <w:rPr>
                <w:rFonts w:cs="Arial"/>
                <w:szCs w:val="24"/>
                <w:lang w:val="mn-MN"/>
              </w:rPr>
              <w:t>байна.</w:t>
            </w:r>
          </w:p>
        </w:tc>
        <w:tc>
          <w:tcPr>
            <w:tcW w:w="1839" w:type="dxa"/>
          </w:tcPr>
          <w:p w14:paraId="219C6E1E" w14:textId="77777777" w:rsidR="00304B0A" w:rsidRPr="00474DE9" w:rsidRDefault="009E3C32" w:rsidP="002E31AE">
            <w:pPr>
              <w:spacing w:before="240" w:line="276" w:lineRule="auto"/>
              <w:ind w:firstLine="0"/>
              <w:jc w:val="both"/>
              <w:rPr>
                <w:rFonts w:cs="Arial"/>
                <w:szCs w:val="24"/>
                <w:lang w:val="mn-MN"/>
              </w:rPr>
            </w:pPr>
            <w:r w:rsidRPr="00474DE9">
              <w:rPr>
                <w:rFonts w:cs="Arial"/>
                <w:szCs w:val="24"/>
                <w:lang w:val="mn-MN"/>
              </w:rPr>
              <w:t>1) Хэрэв ШСХ-д амаар өргөдөл, мэдээлэл гаргах боломжтой бол амаар гаргасан өргөдөл, мэдээллийг хүлээн авах, баримт үйлдэх, нотлох баримтыг хэрхэх зэрэг бусад холбогдох асуудлыг нэмж зохицуулах.</w:t>
            </w:r>
          </w:p>
          <w:p w14:paraId="09392754" w14:textId="77777777" w:rsidR="009E3C32" w:rsidRPr="00474DE9" w:rsidRDefault="009E3C32" w:rsidP="002E31AE">
            <w:pPr>
              <w:spacing w:before="240" w:line="276" w:lineRule="auto"/>
              <w:ind w:firstLine="0"/>
              <w:jc w:val="both"/>
              <w:rPr>
                <w:rFonts w:cs="Arial"/>
                <w:szCs w:val="24"/>
                <w:lang w:val="mn-MN"/>
              </w:rPr>
            </w:pPr>
            <w:r w:rsidRPr="00474DE9">
              <w:rPr>
                <w:rFonts w:cs="Arial"/>
                <w:szCs w:val="24"/>
                <w:lang w:val="mn-MN"/>
              </w:rPr>
              <w:t>2) ... бичгээр буюу цаасан цахим хэлбэрээр гэснийг дахин томьёолох.</w:t>
            </w:r>
          </w:p>
        </w:tc>
      </w:tr>
    </w:tbl>
    <w:p w14:paraId="3E4A55C8" w14:textId="77777777" w:rsidR="00894B52" w:rsidRPr="00474DE9" w:rsidRDefault="00894B52" w:rsidP="00FD76F1">
      <w:pPr>
        <w:pStyle w:val="Heading2"/>
        <w:rPr>
          <w:rFonts w:cs="Arial"/>
          <w:lang w:val="mn-MN"/>
        </w:rPr>
      </w:pPr>
    </w:p>
    <w:p w14:paraId="44C9A2B6" w14:textId="77777777" w:rsidR="00B14FF7" w:rsidRPr="00474DE9" w:rsidRDefault="00B14FF7" w:rsidP="00FD76F1">
      <w:pPr>
        <w:pStyle w:val="Heading2"/>
        <w:rPr>
          <w:rFonts w:cs="Arial"/>
          <w:lang w:val="mn-MN"/>
        </w:rPr>
      </w:pPr>
      <w:bookmarkStart w:id="18" w:name="_Toc164632104"/>
      <w:r w:rsidRPr="00474DE9">
        <w:rPr>
          <w:rFonts w:cs="Arial"/>
          <w:lang w:val="mn-MN"/>
        </w:rPr>
        <w:t>3.4. “</w:t>
      </w:r>
      <w:r w:rsidR="00547E19" w:rsidRPr="00474DE9">
        <w:rPr>
          <w:rFonts w:cs="Arial"/>
          <w:lang w:val="mn-MN"/>
        </w:rPr>
        <w:t>Харилцан уялдаа</w:t>
      </w:r>
      <w:r w:rsidRPr="00474DE9">
        <w:rPr>
          <w:rFonts w:cs="Arial"/>
          <w:lang w:val="mn-MN"/>
        </w:rPr>
        <w:t>” шалгуур үзүүлэлтээр үнэлсэн байдал</w:t>
      </w:r>
      <w:bookmarkEnd w:id="18"/>
    </w:p>
    <w:p w14:paraId="0673FDC8" w14:textId="77777777" w:rsidR="002E31AE" w:rsidRPr="00474DE9" w:rsidRDefault="00547E19" w:rsidP="002E31AE">
      <w:pPr>
        <w:spacing w:before="240" w:line="276" w:lineRule="auto"/>
        <w:ind w:firstLine="0"/>
        <w:jc w:val="both"/>
        <w:rPr>
          <w:rFonts w:cs="Arial"/>
          <w:szCs w:val="24"/>
          <w:lang w:val="mn-MN"/>
        </w:rPr>
      </w:pPr>
      <w:r w:rsidRPr="00474DE9">
        <w:rPr>
          <w:rFonts w:cs="Arial"/>
          <w:szCs w:val="24"/>
          <w:lang w:val="mn-MN"/>
        </w:rPr>
        <w:tab/>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дараахь асуудлыг тодорхойлох байдлаар хуулийн төслийн харилцан уялдаатай байдлыг үнэллээ.</w:t>
      </w:r>
    </w:p>
    <w:tbl>
      <w:tblPr>
        <w:tblStyle w:val="TableGrid"/>
        <w:tblW w:w="0" w:type="auto"/>
        <w:tblLook w:val="04A0" w:firstRow="1" w:lastRow="0" w:firstColumn="1" w:lastColumn="0" w:noHBand="0" w:noVBand="1"/>
      </w:tblPr>
      <w:tblGrid>
        <w:gridCol w:w="544"/>
        <w:gridCol w:w="3171"/>
        <w:gridCol w:w="5301"/>
      </w:tblGrid>
      <w:tr w:rsidR="00D47167" w:rsidRPr="00474DE9" w14:paraId="11BFDA8A" w14:textId="77777777" w:rsidTr="00D47167">
        <w:tc>
          <w:tcPr>
            <w:tcW w:w="562" w:type="dxa"/>
          </w:tcPr>
          <w:p w14:paraId="2ADB9715"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453FC7A9" w14:textId="77777777" w:rsidR="00D47167" w:rsidRPr="00474DE9" w:rsidRDefault="00D47167" w:rsidP="00547E19">
            <w:pPr>
              <w:widowControl w:val="0"/>
              <w:ind w:firstLine="0"/>
              <w:jc w:val="both"/>
              <w:rPr>
                <w:rFonts w:cs="Arial"/>
                <w:lang w:val="mn-MN"/>
              </w:rPr>
            </w:pPr>
            <w:r w:rsidRPr="00474DE9">
              <w:rPr>
                <w:rFonts w:cs="Arial"/>
                <w:lang w:val="mn-MN"/>
              </w:rPr>
              <w:t>Хуулийн төслийн зохицуулалт нь тухайн хуулийн зорилттой нийцэж байгаа эсэх</w:t>
            </w:r>
          </w:p>
        </w:tc>
        <w:tc>
          <w:tcPr>
            <w:tcW w:w="5524" w:type="dxa"/>
          </w:tcPr>
          <w:p w14:paraId="3ADB7FBA" w14:textId="77777777" w:rsidR="00D47167" w:rsidRPr="00474DE9" w:rsidRDefault="00D47167" w:rsidP="00547E19">
            <w:pPr>
              <w:spacing w:line="276" w:lineRule="auto"/>
              <w:ind w:firstLine="0"/>
              <w:jc w:val="both"/>
              <w:rPr>
                <w:rFonts w:cs="Arial"/>
                <w:lang w:val="mn-MN"/>
              </w:rPr>
            </w:pPr>
            <w:r w:rsidRPr="00474DE9">
              <w:rPr>
                <w:rFonts w:cs="Arial"/>
                <w:szCs w:val="24"/>
                <w:lang w:val="mn-MN"/>
              </w:rPr>
              <w:t>Хуулийн төсөл нь Монгол Улсын шүүхийн зохион байгуулалт, үйл ажиллагаа шүүгчид тавих болзол, шаардлага, Шүүхийн ерөнхий зөвлөл болон Шүүхийн сахилгын хорооны бүрэн эрх, зохион байгуулалт, үйл ажиллагааны журмыг тогтоохтой холбогдсон харилцааг зохицуулах хуулийн зорилттой нийцэж байна.</w:t>
            </w:r>
          </w:p>
        </w:tc>
      </w:tr>
      <w:tr w:rsidR="00D47167" w:rsidRPr="00474DE9" w14:paraId="43907732" w14:textId="77777777" w:rsidTr="00D47167">
        <w:tc>
          <w:tcPr>
            <w:tcW w:w="562" w:type="dxa"/>
          </w:tcPr>
          <w:p w14:paraId="082F9D0E"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25A8C90D" w14:textId="77777777" w:rsidR="00D47167" w:rsidRPr="00474DE9" w:rsidRDefault="00D47167" w:rsidP="00547E19">
            <w:pPr>
              <w:widowControl w:val="0"/>
              <w:ind w:firstLine="0"/>
              <w:jc w:val="both"/>
              <w:rPr>
                <w:rFonts w:cs="Arial"/>
                <w:lang w:val="mn-MN"/>
              </w:rPr>
            </w:pPr>
            <w:r w:rsidRPr="00474DE9">
              <w:rPr>
                <w:rFonts w:cs="Arial"/>
                <w:lang w:val="mn-MN"/>
              </w:rPr>
              <w:t>Хуулийн төслийн нэр тухайн харилцаанд хамаарах хууль мөн эсэх</w:t>
            </w:r>
          </w:p>
        </w:tc>
        <w:tc>
          <w:tcPr>
            <w:tcW w:w="5524" w:type="dxa"/>
          </w:tcPr>
          <w:p w14:paraId="5735BC95" w14:textId="77777777" w:rsidR="00D47167" w:rsidRPr="00474DE9" w:rsidRDefault="00D47167" w:rsidP="00547E19">
            <w:pPr>
              <w:spacing w:line="276" w:lineRule="auto"/>
              <w:ind w:firstLine="0"/>
              <w:jc w:val="both"/>
              <w:rPr>
                <w:rFonts w:cs="Arial"/>
                <w:szCs w:val="24"/>
                <w:lang w:val="mn-MN"/>
              </w:rPr>
            </w:pPr>
            <w:r w:rsidRPr="00474DE9">
              <w:rPr>
                <w:rFonts w:cs="Arial"/>
                <w:lang w:val="mn-MN"/>
              </w:rPr>
              <w:t>Судалгаагаар энэ төрлийн зөрчилтэй асуудал тогтоогдоогүй.</w:t>
            </w:r>
          </w:p>
        </w:tc>
      </w:tr>
      <w:tr w:rsidR="00D47167" w:rsidRPr="00474DE9" w14:paraId="701B8996" w14:textId="77777777" w:rsidTr="00D47167">
        <w:tc>
          <w:tcPr>
            <w:tcW w:w="562" w:type="dxa"/>
          </w:tcPr>
          <w:p w14:paraId="1839958E"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742B1AA3" w14:textId="77777777" w:rsidR="00D47167" w:rsidRPr="00474DE9" w:rsidRDefault="00D47167" w:rsidP="00547E19">
            <w:pPr>
              <w:widowControl w:val="0"/>
              <w:ind w:firstLine="0"/>
              <w:jc w:val="both"/>
              <w:rPr>
                <w:rFonts w:cs="Arial"/>
                <w:lang w:val="mn-MN"/>
              </w:rPr>
            </w:pPr>
            <w:r w:rsidRPr="00474DE9">
              <w:rPr>
                <w:rFonts w:cs="Arial"/>
                <w:lang w:val="mn-MN"/>
              </w:rPr>
              <w:t>Хуулийн төсөлд тодорхойлсон нэр томьёо тухайн хуулийн төслийн болон бусад хуулийн нэр томъёотой нийцэж байгаа эсэх</w:t>
            </w:r>
          </w:p>
        </w:tc>
        <w:tc>
          <w:tcPr>
            <w:tcW w:w="5524" w:type="dxa"/>
          </w:tcPr>
          <w:p w14:paraId="34A9C5F1" w14:textId="77777777" w:rsidR="00D47167" w:rsidRPr="00474DE9" w:rsidRDefault="00D47167" w:rsidP="00547E19">
            <w:pPr>
              <w:spacing w:line="276" w:lineRule="auto"/>
              <w:ind w:firstLine="0"/>
              <w:jc w:val="both"/>
              <w:rPr>
                <w:rFonts w:cs="Arial"/>
                <w:szCs w:val="24"/>
                <w:lang w:val="mn-MN"/>
              </w:rPr>
            </w:pPr>
            <w:r w:rsidRPr="00474DE9">
              <w:rPr>
                <w:rFonts w:cs="Arial"/>
                <w:lang w:val="mn-MN"/>
              </w:rPr>
              <w:t>Судалгаагаар энэ төрлийн зөрчилтэй асуудал тогтоогдоогүй.</w:t>
            </w:r>
          </w:p>
        </w:tc>
      </w:tr>
      <w:tr w:rsidR="00D47167" w:rsidRPr="00474DE9" w14:paraId="1FCC0DE6" w14:textId="77777777" w:rsidTr="00D47167">
        <w:tc>
          <w:tcPr>
            <w:tcW w:w="562" w:type="dxa"/>
          </w:tcPr>
          <w:p w14:paraId="6B7A33EE"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4A2715CA" w14:textId="77777777" w:rsidR="00D47167" w:rsidRPr="00474DE9" w:rsidRDefault="00D47167" w:rsidP="00547E19">
            <w:pPr>
              <w:widowControl w:val="0"/>
              <w:ind w:firstLine="0"/>
              <w:jc w:val="both"/>
              <w:rPr>
                <w:rFonts w:cs="Arial"/>
                <w:lang w:val="mn-MN"/>
              </w:rPr>
            </w:pPr>
            <w:r w:rsidRPr="00474DE9">
              <w:rPr>
                <w:rFonts w:cs="Arial"/>
                <w:lang w:val="mn-MN"/>
              </w:rPr>
              <w:t>Хуулийн төслийн зүйл заалт нь тухайн хуулийн төслийн болон бусад хуулийн заалттай давхардсан эсэх</w:t>
            </w:r>
          </w:p>
        </w:tc>
        <w:tc>
          <w:tcPr>
            <w:tcW w:w="5524" w:type="dxa"/>
          </w:tcPr>
          <w:p w14:paraId="587BC89D" w14:textId="77777777" w:rsidR="00D47167" w:rsidRPr="00474DE9" w:rsidRDefault="00D47167" w:rsidP="00CF5CD5">
            <w:pPr>
              <w:spacing w:line="276" w:lineRule="auto"/>
              <w:ind w:firstLine="0"/>
              <w:jc w:val="both"/>
              <w:rPr>
                <w:rFonts w:cs="Arial"/>
                <w:szCs w:val="24"/>
                <w:lang w:val="mn-MN"/>
              </w:rPr>
            </w:pPr>
            <w:r w:rsidRPr="00474DE9">
              <w:rPr>
                <w:rFonts w:cs="Arial"/>
                <w:szCs w:val="24"/>
                <w:lang w:val="mn-MN"/>
              </w:rPr>
              <w:t>Хуулийн төслийн 2 дугаар зүйлд тусгагдсан “Монгол Улсын Шүүхийн тухай хуулийн 71 дүгээр зүйлийн 71.1.9 дэх заалтад “, давж заалдах, анхан шатны шүүхийн захиргааны ажилтны албан тушаалын цалингийн хэмжээг батлах” гэж, 85 дугаар зүйлийн 85.6 дахь хэсэгт “, албан тушаалын цалингийн хэмжээг” гэж, мөн төслийн 3 дугаар зүйлд тусгагдсан “95.17.Сахилгын хороо ажлын албатай байх бөгөөд үйл ажиллагааны дүрэм, бүтэц, орон тоо, албан тушаалын цалингийн хэмжээг тус Сахилгын хорооны зөвлөгөөн батална” гэсэн зохицуулалтууд нь Төрийн албаны тухай хуультай давхардаж байгааг хуулийн төсөлтэй холбоотойгоор дагалдах хуулиудад нэмэлт, өөрчлөлт оруулах хуулийн төслөөр давхардлыг арилгасан байна.</w:t>
            </w:r>
          </w:p>
        </w:tc>
      </w:tr>
      <w:tr w:rsidR="00D47167" w:rsidRPr="00474DE9" w14:paraId="75920B4B" w14:textId="77777777" w:rsidTr="00D47167">
        <w:tc>
          <w:tcPr>
            <w:tcW w:w="562" w:type="dxa"/>
          </w:tcPr>
          <w:p w14:paraId="723DE261"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4B229B6C" w14:textId="77777777" w:rsidR="00D47167" w:rsidRPr="00474DE9" w:rsidRDefault="00D47167" w:rsidP="00547E19">
            <w:pPr>
              <w:widowControl w:val="0"/>
              <w:ind w:firstLine="0"/>
              <w:jc w:val="both"/>
              <w:rPr>
                <w:rFonts w:cs="Arial"/>
                <w:lang w:val="mn-MN"/>
              </w:rPr>
            </w:pPr>
            <w:r w:rsidRPr="00474DE9">
              <w:rPr>
                <w:rFonts w:cs="Arial"/>
                <w:lang w:val="mn-MN"/>
              </w:rPr>
              <w:t>Хуулийн төслийг хэрэгжүүлэх этгээдийг тодорхой тусгасан эсэх</w:t>
            </w:r>
          </w:p>
        </w:tc>
        <w:tc>
          <w:tcPr>
            <w:tcW w:w="5524" w:type="dxa"/>
          </w:tcPr>
          <w:p w14:paraId="09B16590" w14:textId="77777777" w:rsidR="00D47167" w:rsidRPr="00474DE9" w:rsidRDefault="00D47167" w:rsidP="00CF5CD5">
            <w:pPr>
              <w:spacing w:line="276" w:lineRule="auto"/>
              <w:ind w:firstLine="0"/>
              <w:jc w:val="both"/>
              <w:rPr>
                <w:rFonts w:cs="Arial"/>
                <w:szCs w:val="24"/>
                <w:lang w:val="mn-MN"/>
              </w:rPr>
            </w:pPr>
            <w:r w:rsidRPr="00474DE9">
              <w:rPr>
                <w:color w:val="000000"/>
                <w:lang w:val="mn-MN"/>
              </w:rPr>
              <w:t>Хуулийн төслөөр хуулийн төслийг хэрэгжүүлэх этгээдийг тодорхой тусгасан байна.</w:t>
            </w:r>
          </w:p>
        </w:tc>
      </w:tr>
      <w:tr w:rsidR="00D47167" w:rsidRPr="00474DE9" w14:paraId="1952C785" w14:textId="77777777" w:rsidTr="00D47167">
        <w:tc>
          <w:tcPr>
            <w:tcW w:w="562" w:type="dxa"/>
          </w:tcPr>
          <w:p w14:paraId="7EC82F1C"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60C4308B" w14:textId="77777777" w:rsidR="00D47167" w:rsidRPr="00474DE9" w:rsidRDefault="00D47167" w:rsidP="00547E19">
            <w:pPr>
              <w:widowControl w:val="0"/>
              <w:ind w:firstLine="0"/>
              <w:jc w:val="both"/>
              <w:rPr>
                <w:rFonts w:cs="Arial"/>
                <w:lang w:val="mn-MN"/>
              </w:rPr>
            </w:pPr>
            <w:r w:rsidRPr="00474DE9">
              <w:rPr>
                <w:rFonts w:cs="Arial"/>
                <w:lang w:val="mn-MN"/>
              </w:rPr>
              <w:t>Хуулийн төсөлд байх шаардлагатай зохицуулалтыг орхигдуулсан эсэх</w:t>
            </w:r>
          </w:p>
        </w:tc>
        <w:tc>
          <w:tcPr>
            <w:tcW w:w="5524" w:type="dxa"/>
          </w:tcPr>
          <w:p w14:paraId="61872993" w14:textId="77777777" w:rsidR="00D47167" w:rsidRPr="00474DE9" w:rsidRDefault="00D47167" w:rsidP="008C6C13">
            <w:pPr>
              <w:spacing w:line="276" w:lineRule="auto"/>
              <w:ind w:firstLine="0"/>
              <w:jc w:val="both"/>
              <w:rPr>
                <w:rFonts w:cs="Arial"/>
                <w:szCs w:val="24"/>
                <w:lang w:val="mn-MN"/>
              </w:rPr>
            </w:pPr>
            <w:r w:rsidRPr="00474DE9">
              <w:rPr>
                <w:rFonts w:cs="Arial"/>
                <w:lang w:val="mn-MN"/>
              </w:rPr>
              <w:t>Судалгаагаар энэ төрлийн зөрчилтэй асуудал тогтоогдоогүй.</w:t>
            </w:r>
          </w:p>
        </w:tc>
      </w:tr>
      <w:tr w:rsidR="00D47167" w:rsidRPr="00474DE9" w14:paraId="42196697" w14:textId="77777777" w:rsidTr="00D47167">
        <w:tc>
          <w:tcPr>
            <w:tcW w:w="562" w:type="dxa"/>
          </w:tcPr>
          <w:p w14:paraId="17BCE800"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451D01B2" w14:textId="77777777" w:rsidR="00D47167" w:rsidRPr="00474DE9" w:rsidRDefault="00D47167" w:rsidP="00547E19">
            <w:pPr>
              <w:widowControl w:val="0"/>
              <w:ind w:firstLine="0"/>
              <w:jc w:val="both"/>
              <w:rPr>
                <w:rFonts w:cs="Arial"/>
                <w:lang w:val="mn-MN"/>
              </w:rPr>
            </w:pPr>
            <w:r w:rsidRPr="00474DE9">
              <w:rPr>
                <w:rFonts w:cs="Arial"/>
                <w:lang w:val="mn-MN"/>
              </w:rPr>
              <w:t>Хуулийн төсөлд төрийн байгууллагын гүйцэтгэх чиг үүргийг давхардуулан тусгасан эсэх</w:t>
            </w:r>
          </w:p>
        </w:tc>
        <w:tc>
          <w:tcPr>
            <w:tcW w:w="5524" w:type="dxa"/>
          </w:tcPr>
          <w:p w14:paraId="04D6DE43" w14:textId="77777777" w:rsidR="00D47167" w:rsidRPr="00474DE9" w:rsidRDefault="00D47167" w:rsidP="00FC5FE5">
            <w:pPr>
              <w:spacing w:line="276" w:lineRule="auto"/>
              <w:ind w:firstLine="0"/>
              <w:jc w:val="both"/>
              <w:rPr>
                <w:rFonts w:cs="Arial"/>
                <w:szCs w:val="24"/>
                <w:lang w:val="mn-MN"/>
              </w:rPr>
            </w:pPr>
            <w:r w:rsidRPr="00474DE9">
              <w:rPr>
                <w:rFonts w:cs="Arial"/>
                <w:szCs w:val="24"/>
                <w:lang w:val="mn-MN"/>
              </w:rPr>
              <w:t>Давхардлыг арилгах талаар хуулийн төсөлд зохицуулсан.</w:t>
            </w:r>
          </w:p>
        </w:tc>
      </w:tr>
      <w:tr w:rsidR="00D47167" w:rsidRPr="00474DE9" w14:paraId="3E17040E" w14:textId="77777777" w:rsidTr="00D47167">
        <w:tc>
          <w:tcPr>
            <w:tcW w:w="562" w:type="dxa"/>
          </w:tcPr>
          <w:p w14:paraId="638175D0"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789186EC" w14:textId="77777777" w:rsidR="00D47167" w:rsidRPr="00474DE9" w:rsidRDefault="00D47167" w:rsidP="00547E19">
            <w:pPr>
              <w:widowControl w:val="0"/>
              <w:ind w:firstLine="0"/>
              <w:jc w:val="both"/>
              <w:rPr>
                <w:rFonts w:cs="Arial"/>
                <w:lang w:val="mn-MN"/>
              </w:rPr>
            </w:pPr>
            <w:r w:rsidRPr="00474DE9">
              <w:rPr>
                <w:rFonts w:cs="Arial"/>
                <w:lang w:val="mn-MN"/>
              </w:rPr>
              <w:t>Татварын хуулиас бусад хуулийн төсөлд албан татвар, төлбөр хураамж тогтоосон эсэх</w:t>
            </w:r>
          </w:p>
        </w:tc>
        <w:tc>
          <w:tcPr>
            <w:tcW w:w="5524" w:type="dxa"/>
          </w:tcPr>
          <w:p w14:paraId="01F20E30" w14:textId="77777777" w:rsidR="00D47167" w:rsidRPr="00474DE9" w:rsidRDefault="00D47167" w:rsidP="00547E19">
            <w:pPr>
              <w:widowControl w:val="0"/>
              <w:ind w:firstLine="0"/>
              <w:jc w:val="both"/>
              <w:rPr>
                <w:rFonts w:cs="Arial"/>
                <w:lang w:val="mn-MN"/>
              </w:rPr>
            </w:pPr>
            <w:r w:rsidRPr="00474DE9">
              <w:rPr>
                <w:rFonts w:cs="Arial"/>
                <w:lang w:val="mn-MN"/>
              </w:rPr>
              <w:t>Энэ хуулийн төслөөр татварын хуулиас бусад хуулийн төсөлд албан татвар, төлбөр хураамж тогтоосон зохицуулалт байхгүй.</w:t>
            </w:r>
          </w:p>
        </w:tc>
      </w:tr>
      <w:tr w:rsidR="00D47167" w:rsidRPr="00474DE9" w14:paraId="3962ED30" w14:textId="77777777" w:rsidTr="00D47167">
        <w:tc>
          <w:tcPr>
            <w:tcW w:w="562" w:type="dxa"/>
          </w:tcPr>
          <w:p w14:paraId="140364E8"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6142DE43" w14:textId="77777777" w:rsidR="00D47167" w:rsidRPr="00474DE9" w:rsidRDefault="00D47167" w:rsidP="00547E19">
            <w:pPr>
              <w:widowControl w:val="0"/>
              <w:ind w:firstLine="0"/>
              <w:jc w:val="both"/>
              <w:rPr>
                <w:rFonts w:cs="Arial"/>
                <w:lang w:val="mn-MN"/>
              </w:rPr>
            </w:pPr>
            <w:r w:rsidRPr="00474DE9">
              <w:rPr>
                <w:rFonts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5524" w:type="dxa"/>
          </w:tcPr>
          <w:p w14:paraId="5D55A334" w14:textId="77777777" w:rsidR="00D47167" w:rsidRPr="00474DE9" w:rsidRDefault="00D47167" w:rsidP="00547E19">
            <w:pPr>
              <w:widowControl w:val="0"/>
              <w:ind w:firstLine="0"/>
              <w:jc w:val="both"/>
              <w:rPr>
                <w:rFonts w:cs="Arial"/>
                <w:lang w:val="mn-MN"/>
              </w:rPr>
            </w:pPr>
            <w:r w:rsidRPr="00474DE9">
              <w:rPr>
                <w:rFonts w:cs="Arial"/>
                <w:lang w:val="mn-MN"/>
              </w:rPr>
              <w:t>Энэ хуулийн төслөөр шинээр тусгай зөвшөөрөл бий болгох зохицуулалт байхгүй.</w:t>
            </w:r>
          </w:p>
        </w:tc>
      </w:tr>
      <w:tr w:rsidR="00D47167" w:rsidRPr="00474DE9" w14:paraId="25B5F458" w14:textId="77777777" w:rsidTr="00D47167">
        <w:tc>
          <w:tcPr>
            <w:tcW w:w="562" w:type="dxa"/>
          </w:tcPr>
          <w:p w14:paraId="23322879"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56478239" w14:textId="77777777" w:rsidR="00D47167" w:rsidRPr="00474DE9" w:rsidRDefault="00D47167" w:rsidP="00547E19">
            <w:pPr>
              <w:widowControl w:val="0"/>
              <w:ind w:firstLine="0"/>
              <w:jc w:val="both"/>
              <w:rPr>
                <w:rFonts w:cs="Arial"/>
                <w:lang w:val="mn-MN"/>
              </w:rPr>
            </w:pPr>
            <w:r w:rsidRPr="00474DE9">
              <w:rPr>
                <w:rFonts w:cs="Arial"/>
                <w:lang w:val="mn-MN"/>
              </w:rPr>
              <w:t>Хуулийн төслийн зүйл, заалт нь жендэрийн эрх тэгш байдлыг хангасан эсэх</w:t>
            </w:r>
          </w:p>
        </w:tc>
        <w:tc>
          <w:tcPr>
            <w:tcW w:w="5524" w:type="dxa"/>
          </w:tcPr>
          <w:p w14:paraId="105B9D80" w14:textId="77777777" w:rsidR="00D47167" w:rsidRPr="00474DE9" w:rsidRDefault="00D47167" w:rsidP="00547E19">
            <w:pPr>
              <w:widowControl w:val="0"/>
              <w:ind w:firstLine="0"/>
              <w:jc w:val="both"/>
              <w:rPr>
                <w:rFonts w:cs="Arial"/>
                <w:lang w:val="mn-MN"/>
              </w:rPr>
            </w:pPr>
            <w:r w:rsidRPr="00474DE9">
              <w:rPr>
                <w:rFonts w:cs="Arial"/>
                <w:lang w:val="mn-MN"/>
              </w:rPr>
              <w:t>Хуулийн төслөөр хүйсийн ялгавартай байдал бий болгосон зүйл заалт байхгүй.</w:t>
            </w:r>
          </w:p>
        </w:tc>
      </w:tr>
      <w:tr w:rsidR="00D47167" w:rsidRPr="00474DE9" w14:paraId="242CE3ED" w14:textId="77777777" w:rsidTr="00D47167">
        <w:tc>
          <w:tcPr>
            <w:tcW w:w="562" w:type="dxa"/>
          </w:tcPr>
          <w:p w14:paraId="506B9A53"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4B0C517F" w14:textId="77777777" w:rsidR="00D47167" w:rsidRPr="00474DE9" w:rsidRDefault="00D47167" w:rsidP="00547E19">
            <w:pPr>
              <w:widowControl w:val="0"/>
              <w:ind w:firstLine="0"/>
              <w:jc w:val="both"/>
              <w:rPr>
                <w:rFonts w:cs="Arial"/>
                <w:lang w:val="mn-MN"/>
              </w:rPr>
            </w:pPr>
            <w:r w:rsidRPr="00474DE9">
              <w:rPr>
                <w:rFonts w:cs="Arial"/>
                <w:lang w:val="mn-MN"/>
              </w:rPr>
              <w:t>Шударга бус өрсөлдөөнийг бий болгоход чиглэгдсэн заалт тусгагдсан эсэх</w:t>
            </w:r>
          </w:p>
        </w:tc>
        <w:tc>
          <w:tcPr>
            <w:tcW w:w="5524" w:type="dxa"/>
          </w:tcPr>
          <w:p w14:paraId="329F4BD4" w14:textId="77777777" w:rsidR="00D47167" w:rsidRPr="00474DE9" w:rsidRDefault="00D47167" w:rsidP="00547E19">
            <w:pPr>
              <w:widowControl w:val="0"/>
              <w:ind w:firstLine="0"/>
              <w:jc w:val="both"/>
              <w:rPr>
                <w:rFonts w:cs="Arial"/>
                <w:lang w:val="mn-MN"/>
              </w:rPr>
            </w:pPr>
            <w:r w:rsidRPr="00474DE9">
              <w:rPr>
                <w:rFonts w:cs="Arial"/>
                <w:lang w:val="mn-MN"/>
              </w:rPr>
              <w:t>Хуулийн төслөөр шударга бус өрсөлдөөнийг бий болгоход чиглэсэн, бий болгосон заалт байхгүй.</w:t>
            </w:r>
          </w:p>
        </w:tc>
      </w:tr>
      <w:tr w:rsidR="00D47167" w:rsidRPr="00474DE9" w14:paraId="7FFCB060" w14:textId="77777777" w:rsidTr="00D47167">
        <w:tc>
          <w:tcPr>
            <w:tcW w:w="562" w:type="dxa"/>
          </w:tcPr>
          <w:p w14:paraId="6930C1C1"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0E85EDF8" w14:textId="77777777" w:rsidR="00D47167" w:rsidRPr="00474DE9" w:rsidRDefault="00D47167" w:rsidP="00547E19">
            <w:pPr>
              <w:widowControl w:val="0"/>
              <w:ind w:firstLine="0"/>
              <w:jc w:val="both"/>
              <w:rPr>
                <w:rFonts w:cs="Arial"/>
                <w:lang w:val="mn-MN"/>
              </w:rPr>
            </w:pPr>
            <w:r w:rsidRPr="00474DE9">
              <w:rPr>
                <w:rFonts w:cs="Arial"/>
                <w:lang w:val="mn-MN"/>
              </w:rPr>
              <w:t>Авилга, хүнд суртлыг бий болгоход чиглэгдсэн заалт тусгагдсан эсэх</w:t>
            </w:r>
          </w:p>
        </w:tc>
        <w:tc>
          <w:tcPr>
            <w:tcW w:w="5524" w:type="dxa"/>
          </w:tcPr>
          <w:p w14:paraId="4307094D" w14:textId="77777777" w:rsidR="00D47167" w:rsidRPr="00474DE9" w:rsidRDefault="00D47167" w:rsidP="00547E19">
            <w:pPr>
              <w:widowControl w:val="0"/>
              <w:ind w:firstLine="0"/>
              <w:jc w:val="both"/>
              <w:rPr>
                <w:rFonts w:cs="Arial"/>
                <w:lang w:val="mn-MN"/>
              </w:rPr>
            </w:pPr>
            <w:r w:rsidRPr="00474DE9">
              <w:rPr>
                <w:rFonts w:cs="Arial"/>
                <w:lang w:val="mn-MN"/>
              </w:rPr>
              <w:t>Хуулийн төслөөр авилга, хүнд суртлыг бий болгоход чиглэгдсэн заалт тусгагдсан зүйл, заалт тогтоогдоогүй болно.</w:t>
            </w:r>
          </w:p>
        </w:tc>
      </w:tr>
      <w:tr w:rsidR="00D47167" w:rsidRPr="00474DE9" w14:paraId="534132AB" w14:textId="77777777" w:rsidTr="00D47167">
        <w:tc>
          <w:tcPr>
            <w:tcW w:w="562" w:type="dxa"/>
          </w:tcPr>
          <w:p w14:paraId="1C07582D" w14:textId="77777777" w:rsidR="00D47167" w:rsidRPr="00474DE9" w:rsidRDefault="00D47167" w:rsidP="00D47167">
            <w:pPr>
              <w:pStyle w:val="ListParagraph"/>
              <w:widowControl w:val="0"/>
              <w:numPr>
                <w:ilvl w:val="0"/>
                <w:numId w:val="9"/>
              </w:numPr>
              <w:spacing w:line="240" w:lineRule="auto"/>
              <w:ind w:left="447"/>
              <w:jc w:val="both"/>
              <w:rPr>
                <w:rFonts w:cs="Arial"/>
                <w:lang w:val="mn-MN"/>
              </w:rPr>
            </w:pPr>
          </w:p>
        </w:tc>
        <w:tc>
          <w:tcPr>
            <w:tcW w:w="3261" w:type="dxa"/>
          </w:tcPr>
          <w:p w14:paraId="60CE6F37" w14:textId="77777777" w:rsidR="00D47167" w:rsidRPr="00474DE9" w:rsidRDefault="00D47167" w:rsidP="00547E19">
            <w:pPr>
              <w:widowControl w:val="0"/>
              <w:ind w:firstLine="0"/>
              <w:jc w:val="both"/>
              <w:rPr>
                <w:rFonts w:cs="Arial"/>
                <w:lang w:val="mn-MN"/>
              </w:rPr>
            </w:pPr>
            <w:r w:rsidRPr="00474DE9">
              <w:rPr>
                <w:rFonts w:cs="Arial"/>
                <w:lang w:val="mn-MN"/>
              </w:rPr>
              <w:t>Хуулийн төсөлд тусгасан хориглосон зохицуулалтыг зөрчсөн этгээдэд хүлээлгэх хариуцлагын талаар тодорхой тусгасан эсэх</w:t>
            </w:r>
          </w:p>
        </w:tc>
        <w:tc>
          <w:tcPr>
            <w:tcW w:w="5524" w:type="dxa"/>
          </w:tcPr>
          <w:p w14:paraId="6A8D8C03" w14:textId="77777777" w:rsidR="00D47167" w:rsidRPr="00474DE9" w:rsidRDefault="00D47167" w:rsidP="00FC5FE5">
            <w:pPr>
              <w:spacing w:line="276" w:lineRule="auto"/>
              <w:ind w:firstLine="0"/>
              <w:jc w:val="both"/>
              <w:rPr>
                <w:rFonts w:cs="Arial"/>
                <w:szCs w:val="24"/>
                <w:lang w:val="mn-MN"/>
              </w:rPr>
            </w:pPr>
            <w:r w:rsidRPr="00474DE9">
              <w:rPr>
                <w:rFonts w:cs="Arial"/>
                <w:szCs w:val="24"/>
                <w:lang w:val="mn-MN"/>
              </w:rPr>
              <w:t xml:space="preserve">Хуулийн төслөөр </w:t>
            </w:r>
            <w:r w:rsidRPr="00474DE9">
              <w:rPr>
                <w:rFonts w:cs="Arial"/>
                <w:lang w:val="mn-MN"/>
              </w:rPr>
              <w:t>хориглосон зохицуулалтыг зөрчсөн этгээдэд хүлээлгэх хариуцлагын талаар зохицуулалт байхгүй болно.</w:t>
            </w:r>
          </w:p>
        </w:tc>
      </w:tr>
    </w:tbl>
    <w:p w14:paraId="0741B353" w14:textId="77777777" w:rsidR="00D8099E" w:rsidRPr="00474DE9" w:rsidRDefault="00D8099E" w:rsidP="00D8099E">
      <w:pPr>
        <w:pStyle w:val="Heading1"/>
        <w:spacing w:after="240"/>
        <w:jc w:val="center"/>
        <w:rPr>
          <w:rFonts w:cs="Arial"/>
          <w:lang w:val="mn-MN"/>
        </w:rPr>
      </w:pPr>
      <w:bookmarkStart w:id="19" w:name="_Toc164632105"/>
      <w:r w:rsidRPr="00474DE9">
        <w:rPr>
          <w:rFonts w:cs="Arial"/>
          <w:lang w:val="mn-MN"/>
        </w:rPr>
        <w:t>ДӨРӨВ. ҮР ДҮНГ ҮНЭЛЖ, ЗӨВЛӨМЖ ӨГСӨН БАЙДАЛ</w:t>
      </w:r>
      <w:bookmarkEnd w:id="19"/>
    </w:p>
    <w:p w14:paraId="7E892B86" w14:textId="77777777" w:rsidR="00902A01" w:rsidRPr="00474DE9" w:rsidRDefault="00D8099E" w:rsidP="00D8099E">
      <w:pPr>
        <w:pStyle w:val="Heading2"/>
        <w:rPr>
          <w:lang w:val="mn-MN"/>
        </w:rPr>
      </w:pPr>
      <w:bookmarkStart w:id="20" w:name="_Toc164632106"/>
      <w:r w:rsidRPr="00474DE9">
        <w:rPr>
          <w:lang w:val="mn-MN"/>
        </w:rPr>
        <w:t>4.1. Үнэлэлт, дүгнэлт</w:t>
      </w:r>
      <w:bookmarkEnd w:id="20"/>
    </w:p>
    <w:p w14:paraId="6F57B29B" w14:textId="77777777" w:rsidR="00D8099E" w:rsidRPr="00474DE9" w:rsidRDefault="00F72824" w:rsidP="00F72824">
      <w:pPr>
        <w:spacing w:before="240"/>
        <w:jc w:val="both"/>
        <w:rPr>
          <w:lang w:val="mn-MN"/>
        </w:rPr>
      </w:pPr>
      <w:r w:rsidRPr="00474DE9">
        <w:rPr>
          <w:lang w:val="mn-MN"/>
        </w:rPr>
        <w:t>Хуулийн төслийн үр нөлөөг үнэлэхдээ шалгуур үзүүлэлт бүрээр дараах байдлаар үнэлж дүгнэлээ.</w:t>
      </w:r>
    </w:p>
    <w:p w14:paraId="126BD920" w14:textId="77777777" w:rsidR="00F72824" w:rsidRPr="00474DE9" w:rsidRDefault="00F72824" w:rsidP="00F72824">
      <w:pPr>
        <w:jc w:val="both"/>
        <w:rPr>
          <w:b/>
          <w:i/>
          <w:lang w:val="mn-MN"/>
        </w:rPr>
      </w:pPr>
      <w:r w:rsidRPr="00474DE9">
        <w:rPr>
          <w:b/>
          <w:i/>
          <w:lang w:val="mn-MN"/>
        </w:rPr>
        <w:t xml:space="preserve">Зорилгод хүрэх байдал шалгуур үзүүлэлтийн хүрээнд: </w:t>
      </w:r>
    </w:p>
    <w:p w14:paraId="4E755AFE" w14:textId="77777777" w:rsidR="00F72824" w:rsidRPr="00474DE9" w:rsidRDefault="00F72824" w:rsidP="00F72824">
      <w:pPr>
        <w:jc w:val="both"/>
        <w:rPr>
          <w:rFonts w:cs="Arial"/>
          <w:szCs w:val="24"/>
          <w:lang w:val="mn-MN"/>
        </w:rPr>
      </w:pPr>
      <w:r w:rsidRPr="00474DE9">
        <w:rPr>
          <w:lang w:val="mn-MN"/>
        </w:rPr>
        <w:t xml:space="preserve">Шүүхийн сургалт, судалгаа, мэдээллийн хүрээлэнг “Шүүхийн сургалт, судалгаа, </w:t>
      </w:r>
      <w:r w:rsidR="00F446C2" w:rsidRPr="00474DE9">
        <w:rPr>
          <w:lang w:val="mn-MN"/>
        </w:rPr>
        <w:t xml:space="preserve">мэдээллийн </w:t>
      </w:r>
      <w:r w:rsidRPr="00474DE9">
        <w:rPr>
          <w:lang w:val="mn-MN"/>
        </w:rPr>
        <w:t xml:space="preserve">академи” болгох хуулийн өөрчлөлт нь </w:t>
      </w:r>
      <w:r w:rsidR="00B57AA1" w:rsidRPr="00474DE9">
        <w:rPr>
          <w:lang w:val="mn-MN"/>
        </w:rPr>
        <w:t xml:space="preserve">шүүгчээр ажиллах мэдлэг ур чадвар бүхий хүнийг шүүгчээр томилох, үүний тулд шүүгчид нэр дэвшигчийг </w:t>
      </w:r>
      <w:r w:rsidR="00F446C2" w:rsidRPr="00474DE9">
        <w:rPr>
          <w:lang w:val="mn-MN"/>
        </w:rPr>
        <w:t xml:space="preserve">урьдчилан </w:t>
      </w:r>
      <w:r w:rsidR="00B57AA1" w:rsidRPr="00474DE9">
        <w:rPr>
          <w:lang w:val="mn-MN"/>
        </w:rPr>
        <w:t>бэлтгэж, сургадаг тогтолцоог нэвтрүүлэх</w:t>
      </w:r>
      <w:r w:rsidR="004B4ABE" w:rsidRPr="00474DE9">
        <w:rPr>
          <w:lang w:val="mn-MN"/>
        </w:rPr>
        <w:t>, шүүгчээр ажиллаж байх хугацаандаа байнга, тасралтгүй мэргэжлийн ур чадвар, мэдлэгээ хөгжүүлэхэд</w:t>
      </w:r>
      <w:r w:rsidR="00B57AA1" w:rsidRPr="00474DE9">
        <w:rPr>
          <w:lang w:val="mn-MN"/>
        </w:rPr>
        <w:t xml:space="preserve"> ач холбогдолтой. Түүнчлэн тус өөрчлөлт нь </w:t>
      </w:r>
      <w:r w:rsidR="00B57AA1" w:rsidRPr="00474DE9">
        <w:rPr>
          <w:rFonts w:cs="Arial"/>
          <w:szCs w:val="24"/>
          <w:lang w:val="mn-MN"/>
        </w:rPr>
        <w:t>Бангалорын зарчмууд, түүний тайлбарыг бүрэн утгаар хэрэгжүүлэх нөхц</w:t>
      </w:r>
      <w:r w:rsidR="00F446C2" w:rsidRPr="00474DE9">
        <w:rPr>
          <w:rFonts w:cs="Arial"/>
          <w:szCs w:val="24"/>
          <w:lang w:val="mn-MN"/>
        </w:rPr>
        <w:t>ө</w:t>
      </w:r>
      <w:r w:rsidR="00B57AA1" w:rsidRPr="00474DE9">
        <w:rPr>
          <w:rFonts w:cs="Arial"/>
          <w:szCs w:val="24"/>
          <w:lang w:val="mn-MN"/>
        </w:rPr>
        <w:t>лийг бүрдүүлсэн байх тул үр нөлөөтэй хэрэгжих боломжтой.</w:t>
      </w:r>
    </w:p>
    <w:p w14:paraId="0730AF39" w14:textId="77777777" w:rsidR="00B57AA1" w:rsidRPr="00474DE9" w:rsidRDefault="00B57AA1" w:rsidP="00F72824">
      <w:pPr>
        <w:jc w:val="both"/>
        <w:rPr>
          <w:lang w:val="mn-MN"/>
        </w:rPr>
      </w:pPr>
      <w:r w:rsidRPr="00474DE9">
        <w:rPr>
          <w:lang w:val="mn-MN"/>
        </w:rPr>
        <w:t xml:space="preserve">Мөн </w:t>
      </w:r>
      <w:r w:rsidRPr="00474DE9">
        <w:rPr>
          <w:rFonts w:eastAsia="Verdana" w:cs="Arial"/>
          <w:bCs/>
          <w:lang w:val="mn-MN"/>
        </w:rPr>
        <w:t xml:space="preserve">шүүхийн үйл ажиллагааны нээлттэй, ил тод байдал болон бусад асуудлын хүрээнд цахимаар хэрэг хянан шийдвэрлэх ажиллагаа явуулах эрх зүйн орчныг бүрдүүлэх зорилгын хүрээнд шүүхийн үйл ажиллагааг нээлттэй, ил тод явуулах эрх зүйн орчин, шүүх хуралдааныг шууд дамжуулах болон шүүх хуралдааныг хаалттай явуулах </w:t>
      </w:r>
      <w:r w:rsidR="00F446C2" w:rsidRPr="00474DE9">
        <w:rPr>
          <w:rFonts w:eastAsia="Verdana" w:cs="Arial"/>
          <w:bCs/>
          <w:lang w:val="mn-MN"/>
        </w:rPr>
        <w:t xml:space="preserve">үндэслэлийн </w:t>
      </w:r>
      <w:r w:rsidRPr="00474DE9">
        <w:rPr>
          <w:rFonts w:eastAsia="Verdana" w:cs="Arial"/>
          <w:bCs/>
          <w:lang w:val="mn-MN"/>
        </w:rPr>
        <w:t>талаар тусгасан зохицуулалтууд нь “Зорилгод хүрэх шалгуур”-ын хувьд үр нөлөөтэй хэрэгжих боломжтой.</w:t>
      </w:r>
    </w:p>
    <w:p w14:paraId="71BED53A" w14:textId="77777777" w:rsidR="00F72824" w:rsidRPr="00474DE9" w:rsidRDefault="00F72824" w:rsidP="00F72824">
      <w:pPr>
        <w:spacing w:before="240"/>
        <w:jc w:val="both"/>
        <w:rPr>
          <w:b/>
          <w:i/>
          <w:lang w:val="mn-MN"/>
        </w:rPr>
      </w:pPr>
      <w:r w:rsidRPr="00474DE9">
        <w:rPr>
          <w:b/>
          <w:i/>
          <w:lang w:val="mn-MN"/>
        </w:rPr>
        <w:t>Практикт хэрэгжих байдал шалгуур үзүүлэлтийн хүрээнд:</w:t>
      </w:r>
    </w:p>
    <w:p w14:paraId="410702C3" w14:textId="77777777" w:rsidR="00F72824" w:rsidRPr="00474DE9" w:rsidRDefault="00B57AA1" w:rsidP="00F72824">
      <w:pPr>
        <w:spacing w:before="240"/>
        <w:jc w:val="both"/>
        <w:rPr>
          <w:lang w:val="mn-MN"/>
        </w:rPr>
      </w:pPr>
      <w:r w:rsidRPr="00474DE9">
        <w:rPr>
          <w:lang w:val="mn-MN"/>
        </w:rPr>
        <w:t xml:space="preserve">Шүүхийн үйл ажиллагаа нээлттэй, ил тод байх зохицуулалт нь Монгол улс шүүхийн цахимжилтын хүрээнд төрийн үйлчилгээг иргэдэд шуурхай буюу цахим хэлбэрээр хүргэх нөхцөлийг бүрдүүлж, цахим гэрээ, хэлцлийн хууль, эрх зүйн орчныг сайжруулан цахим орчинд хийгдсэн гэрээ, хэлцлийг шүүхэд нотлох баримтаар тооцох, шүүхийн зарим үйл ажиллагааг цахимжуулах нь Монгол Улсын Засгийн газрын 2020-2024 оны үйл ажиллагааны хөтөлбөрт хамаарах бөгөөд энэ хүрээнд шүүхийн үйл ажиллагааг цахимжуулах арга хэмжээ, </w:t>
      </w:r>
      <w:r w:rsidR="00D47167" w:rsidRPr="00474DE9">
        <w:rPr>
          <w:lang w:val="mn-MN"/>
        </w:rPr>
        <w:t>хэрэгжүүлэх субьектыг тодорхой тусгасан байх тул практикт хэрэгжих боломжтой.</w:t>
      </w:r>
    </w:p>
    <w:p w14:paraId="4501D3DF" w14:textId="77777777" w:rsidR="00F72824" w:rsidRPr="00474DE9" w:rsidRDefault="00F72824" w:rsidP="00F72824">
      <w:pPr>
        <w:jc w:val="both"/>
        <w:rPr>
          <w:b/>
          <w:i/>
          <w:lang w:val="mn-MN"/>
        </w:rPr>
      </w:pPr>
      <w:r w:rsidRPr="00474DE9">
        <w:rPr>
          <w:b/>
          <w:i/>
          <w:lang w:val="mn-MN"/>
        </w:rPr>
        <w:t>Ойлгомжтой байдал шалгуур үзүүлэлтийн хүрээнд:</w:t>
      </w:r>
    </w:p>
    <w:p w14:paraId="7229F477" w14:textId="77777777" w:rsidR="00D47167" w:rsidRPr="00474DE9" w:rsidRDefault="00D47167" w:rsidP="00D47167">
      <w:pPr>
        <w:jc w:val="both"/>
        <w:rPr>
          <w:lang w:val="mn-MN"/>
        </w:rPr>
      </w:pPr>
      <w:r w:rsidRPr="00474DE9">
        <w:rPr>
          <w:lang w:val="mn-MN"/>
        </w:rPr>
        <w:t xml:space="preserve">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мөн Хууль тогтоомжийн төсөл боловсруулах аргачлалыг баримталсан эсэхийг харгалзан үнэллээ. </w:t>
      </w:r>
    </w:p>
    <w:p w14:paraId="4E946CFE" w14:textId="77777777" w:rsidR="00F72824" w:rsidRPr="00474DE9" w:rsidRDefault="00D47167" w:rsidP="00D47167">
      <w:pPr>
        <w:jc w:val="both"/>
        <w:rPr>
          <w:lang w:val="mn-MN"/>
        </w:rPr>
      </w:pPr>
      <w:r w:rsidRPr="00474DE9">
        <w:rPr>
          <w:lang w:val="mn-MN"/>
        </w:rPr>
        <w:t xml:space="preserve">Дээрх байдлаар хуулийн төслийн ойлгомжтой байдлыг үнэлэхэд хуулийн төсөл нь хуулийн төслийн эх бичвэрт тавигдах нийтлэг шаардлага, хуулийн төслийн хэл зүй, найруулгад тавих нийтлэг шаардлагыг зарим талаар дийлэнх тохиолдолд хангасан (судалгааны явцад ойлгомжгүй, тодруулах шаардлагатай гэж үзсэн цөөн зохицуулалтыг холбогдох хэсэгт тайлбарласан), мөн Хууль тогтоомжийн төсөл боловсруулах аргачлалыг зарим тохиолдолд баримталсан байна гэж үзлээ. </w:t>
      </w:r>
    </w:p>
    <w:p w14:paraId="2F263E8A" w14:textId="77777777" w:rsidR="00F72824" w:rsidRPr="00474DE9" w:rsidRDefault="00F72824" w:rsidP="00F72824">
      <w:pPr>
        <w:spacing w:before="240"/>
        <w:jc w:val="both"/>
        <w:rPr>
          <w:b/>
          <w:i/>
          <w:lang w:val="mn-MN"/>
        </w:rPr>
      </w:pPr>
      <w:r w:rsidRPr="00474DE9">
        <w:rPr>
          <w:b/>
          <w:i/>
          <w:lang w:val="mn-MN"/>
        </w:rPr>
        <w:t>Харилцан уялдаа шалгуур үзүүлэлтийн хүрээнд:</w:t>
      </w:r>
    </w:p>
    <w:p w14:paraId="693A0E0B" w14:textId="77777777" w:rsidR="00F72824" w:rsidRPr="00474DE9" w:rsidRDefault="00D47167" w:rsidP="00F72824">
      <w:pPr>
        <w:spacing w:before="240"/>
        <w:jc w:val="both"/>
        <w:rPr>
          <w:lang w:val="mn-MN"/>
        </w:rPr>
      </w:pPr>
      <w:r w:rsidRPr="00474DE9">
        <w:rPr>
          <w:lang w:val="mn-MN"/>
        </w:rPr>
        <w:t>Энэхүү шалгуур үзүүлэлтийн хүрээнд хуулийн төслийг бүхэлд нь үнэлэхийг зорьж, хуулийн төслийн үр нөлөөг үнэлэх аргачлалд заасан асуудлуудыг тодруулж, хуулийн төслийн дотоод болон бусад хууль тогтоомжтой хэрхэн уялдаж байгаа талаар үнэлэлт дүгнэлт өгөхийг зорьсон болно.</w:t>
      </w:r>
    </w:p>
    <w:p w14:paraId="7339BAFF" w14:textId="77777777" w:rsidR="00D47167" w:rsidRPr="00474DE9" w:rsidRDefault="00D47167" w:rsidP="00F72824">
      <w:pPr>
        <w:spacing w:before="240"/>
        <w:jc w:val="both"/>
        <w:rPr>
          <w:lang w:val="mn-MN"/>
        </w:rPr>
      </w:pPr>
      <w:r w:rsidRPr="00474DE9">
        <w:rPr>
          <w:lang w:val="mn-MN"/>
        </w:rPr>
        <w:t>Хуулийн төслийн үр нөлөөг тооцох аргачлалын дагуу тодруулах шаардлагатай байх 13 төрлийн асуулгаас Монгол Улсын Шүүхийн тухай хуульд нэмэлт, өөрчл</w:t>
      </w:r>
      <w:r w:rsidR="000A5F91" w:rsidRPr="00474DE9">
        <w:rPr>
          <w:lang w:val="mn-MN"/>
        </w:rPr>
        <w:t>ө</w:t>
      </w:r>
      <w:r w:rsidRPr="00474DE9">
        <w:rPr>
          <w:lang w:val="mn-MN"/>
        </w:rPr>
        <w:t>лт оруулах тухай хуулийн төсөл нь бүхэлд нь хангасан, уялдаа холбоотой болсон байна гэж дүгнэлээ.</w:t>
      </w:r>
    </w:p>
    <w:p w14:paraId="08C7C446" w14:textId="77777777" w:rsidR="00D47167" w:rsidRPr="00474DE9" w:rsidRDefault="00D47167" w:rsidP="00D47167">
      <w:pPr>
        <w:jc w:val="both"/>
        <w:rPr>
          <w:lang w:val="mn-MN"/>
        </w:rPr>
      </w:pPr>
      <w:r w:rsidRPr="00474DE9">
        <w:rPr>
          <w:lang w:val="mn-MN"/>
        </w:rPr>
        <w:br w:type="page"/>
      </w:r>
    </w:p>
    <w:p w14:paraId="72C159D0" w14:textId="77777777" w:rsidR="00D47167" w:rsidRPr="00474DE9" w:rsidRDefault="00D47167" w:rsidP="00D47167">
      <w:pPr>
        <w:pStyle w:val="Heading1"/>
        <w:spacing w:after="240"/>
        <w:jc w:val="center"/>
        <w:rPr>
          <w:rFonts w:cs="Arial"/>
          <w:szCs w:val="24"/>
          <w:lang w:val="mn-MN"/>
        </w:rPr>
      </w:pPr>
      <w:bookmarkStart w:id="21" w:name="_Toc164632107"/>
      <w:r w:rsidRPr="00474DE9">
        <w:rPr>
          <w:rFonts w:cs="Arial"/>
          <w:szCs w:val="24"/>
          <w:lang w:val="mn-MN"/>
        </w:rPr>
        <w:t>НОМ ЗҮЙ</w:t>
      </w:r>
      <w:bookmarkEnd w:id="21"/>
    </w:p>
    <w:p w14:paraId="7E9F7D17" w14:textId="77777777" w:rsidR="00D47167" w:rsidRPr="00474DE9" w:rsidRDefault="00D47167" w:rsidP="00D47167">
      <w:pPr>
        <w:jc w:val="both"/>
        <w:rPr>
          <w:rFonts w:cs="Arial"/>
          <w:b/>
          <w:szCs w:val="24"/>
          <w:lang w:val="mn-MN"/>
        </w:rPr>
      </w:pPr>
      <w:r w:rsidRPr="00474DE9">
        <w:rPr>
          <w:rFonts w:cs="Arial"/>
          <w:b/>
          <w:szCs w:val="24"/>
          <w:lang w:val="mn-MN"/>
        </w:rPr>
        <w:t>А. Монгол эх сурвалж</w:t>
      </w:r>
    </w:p>
    <w:p w14:paraId="478ED75D" w14:textId="77777777" w:rsidR="00D47167" w:rsidRPr="00474DE9" w:rsidRDefault="00D47167" w:rsidP="00D47167">
      <w:pPr>
        <w:pStyle w:val="ListParagraph"/>
        <w:numPr>
          <w:ilvl w:val="0"/>
          <w:numId w:val="11"/>
        </w:numPr>
        <w:spacing w:after="0" w:line="240" w:lineRule="auto"/>
        <w:jc w:val="both"/>
        <w:rPr>
          <w:rFonts w:ascii="Arial" w:hAnsi="Arial" w:cs="Arial"/>
          <w:b/>
          <w:sz w:val="24"/>
          <w:szCs w:val="24"/>
          <w:lang w:val="mn-MN"/>
        </w:rPr>
      </w:pPr>
      <w:r w:rsidRPr="00474DE9">
        <w:rPr>
          <w:rFonts w:ascii="Arial" w:hAnsi="Arial" w:cs="Arial"/>
          <w:sz w:val="24"/>
          <w:szCs w:val="24"/>
          <w:lang w:val="mn-MN"/>
        </w:rPr>
        <w:t>Шүүгчийн ёс зүйн талаарх бангалорын зарчим (2002), түүний тайлбар (2007)</w:t>
      </w:r>
    </w:p>
    <w:p w14:paraId="4DE8D5F0" w14:textId="77777777" w:rsidR="00D47167" w:rsidRPr="00474DE9" w:rsidRDefault="00D47167" w:rsidP="00D47167">
      <w:pPr>
        <w:pStyle w:val="ListParagraph"/>
        <w:numPr>
          <w:ilvl w:val="0"/>
          <w:numId w:val="11"/>
        </w:numPr>
        <w:spacing w:line="259" w:lineRule="auto"/>
        <w:jc w:val="both"/>
        <w:rPr>
          <w:rFonts w:ascii="Arial" w:hAnsi="Arial" w:cs="Arial"/>
          <w:sz w:val="24"/>
          <w:szCs w:val="24"/>
          <w:lang w:val="mn-MN"/>
        </w:rPr>
      </w:pPr>
      <w:r w:rsidRPr="00474DE9">
        <w:rPr>
          <w:rFonts w:ascii="Arial" w:hAnsi="Arial" w:cs="Arial"/>
          <w:sz w:val="24"/>
          <w:szCs w:val="24"/>
          <w:lang w:val="mn-MN"/>
        </w:rPr>
        <w:t xml:space="preserve">Шүүхийн ерөнхий зөвлөл, </w:t>
      </w:r>
      <w:r w:rsidRPr="00474DE9">
        <w:rPr>
          <w:rFonts w:ascii="Arial" w:hAnsi="Arial" w:cs="Arial"/>
          <w:i/>
          <w:sz w:val="24"/>
          <w:szCs w:val="24"/>
          <w:lang w:val="mn-MN"/>
        </w:rPr>
        <w:t>Шүүхийн ерөнхий зөвлөлийн 2021-2023 оны тайлан</w:t>
      </w:r>
      <w:r w:rsidRPr="00474DE9">
        <w:rPr>
          <w:rFonts w:ascii="Arial" w:hAnsi="Arial" w:cs="Arial"/>
          <w:sz w:val="24"/>
          <w:szCs w:val="24"/>
          <w:lang w:val="mn-MN"/>
        </w:rPr>
        <w:t>, 2023.</w:t>
      </w:r>
    </w:p>
    <w:p w14:paraId="78643924" w14:textId="77777777" w:rsidR="00D47167" w:rsidRPr="00474DE9" w:rsidRDefault="00D47167" w:rsidP="00D47167">
      <w:pPr>
        <w:pStyle w:val="ListParagraph"/>
        <w:numPr>
          <w:ilvl w:val="0"/>
          <w:numId w:val="11"/>
        </w:numPr>
        <w:spacing w:line="259" w:lineRule="auto"/>
        <w:jc w:val="both"/>
        <w:rPr>
          <w:rFonts w:ascii="Arial" w:hAnsi="Arial" w:cs="Arial"/>
          <w:sz w:val="24"/>
          <w:szCs w:val="24"/>
          <w:lang w:val="mn-MN"/>
        </w:rPr>
      </w:pPr>
      <w:r w:rsidRPr="00474DE9">
        <w:rPr>
          <w:rFonts w:ascii="Arial" w:hAnsi="Arial" w:cs="Arial"/>
          <w:sz w:val="24"/>
          <w:szCs w:val="24"/>
          <w:lang w:val="mn-MN"/>
        </w:rPr>
        <w:t>Шүүхийн сургалт</w:t>
      </w:r>
      <w:r w:rsidR="00EB5E16" w:rsidRPr="00474DE9">
        <w:rPr>
          <w:rFonts w:ascii="Arial" w:hAnsi="Arial" w:cs="Arial"/>
          <w:sz w:val="24"/>
          <w:szCs w:val="24"/>
          <w:lang w:val="mn-MN"/>
        </w:rPr>
        <w:t>,</w:t>
      </w:r>
      <w:r w:rsidRPr="00474DE9">
        <w:rPr>
          <w:rFonts w:ascii="Arial" w:hAnsi="Arial" w:cs="Arial"/>
          <w:sz w:val="24"/>
          <w:szCs w:val="24"/>
          <w:lang w:val="mn-MN"/>
        </w:rPr>
        <w:t xml:space="preserve"> судалгаа</w:t>
      </w:r>
      <w:r w:rsidR="00EB5E16" w:rsidRPr="00474DE9">
        <w:rPr>
          <w:rFonts w:ascii="Arial" w:hAnsi="Arial" w:cs="Arial"/>
          <w:sz w:val="24"/>
          <w:szCs w:val="24"/>
          <w:lang w:val="mn-MN"/>
        </w:rPr>
        <w:t>,</w:t>
      </w:r>
      <w:r w:rsidRPr="00474DE9">
        <w:rPr>
          <w:rFonts w:ascii="Arial" w:hAnsi="Arial" w:cs="Arial"/>
          <w:sz w:val="24"/>
          <w:szCs w:val="24"/>
          <w:lang w:val="mn-MN"/>
        </w:rPr>
        <w:t xml:space="preserve"> мэдээллийн хүрээлэн, “Шүүхийн цахимжилт харьцуулсан судалгаа,” 2024.</w:t>
      </w:r>
    </w:p>
    <w:p w14:paraId="37F11BEE" w14:textId="77777777" w:rsidR="00D47167" w:rsidRPr="00474DE9" w:rsidRDefault="00D47167" w:rsidP="00D47167">
      <w:pPr>
        <w:pStyle w:val="ListParagraph"/>
        <w:numPr>
          <w:ilvl w:val="0"/>
          <w:numId w:val="11"/>
        </w:numPr>
        <w:spacing w:line="259" w:lineRule="auto"/>
        <w:jc w:val="both"/>
        <w:rPr>
          <w:rFonts w:ascii="Arial" w:hAnsi="Arial" w:cs="Arial"/>
          <w:sz w:val="24"/>
          <w:szCs w:val="24"/>
          <w:lang w:val="mn-MN"/>
        </w:rPr>
      </w:pPr>
      <w:r w:rsidRPr="00474DE9">
        <w:rPr>
          <w:rFonts w:ascii="Arial" w:hAnsi="Arial" w:cs="Arial"/>
          <w:sz w:val="24"/>
          <w:szCs w:val="24"/>
          <w:lang w:val="mn-MN"/>
        </w:rPr>
        <w:t>Шүүхийн сургалт</w:t>
      </w:r>
      <w:r w:rsidR="00EB5E16" w:rsidRPr="00474DE9">
        <w:rPr>
          <w:rFonts w:ascii="Arial" w:hAnsi="Arial" w:cs="Arial"/>
          <w:sz w:val="24"/>
          <w:szCs w:val="24"/>
          <w:lang w:val="mn-MN"/>
        </w:rPr>
        <w:t>,</w:t>
      </w:r>
      <w:r w:rsidRPr="00474DE9">
        <w:rPr>
          <w:rFonts w:ascii="Arial" w:hAnsi="Arial" w:cs="Arial"/>
          <w:sz w:val="24"/>
          <w:szCs w:val="24"/>
          <w:lang w:val="mn-MN"/>
        </w:rPr>
        <w:t xml:space="preserve"> судалгаа</w:t>
      </w:r>
      <w:r w:rsidR="00EB5E16" w:rsidRPr="00474DE9">
        <w:rPr>
          <w:rFonts w:ascii="Arial" w:hAnsi="Arial" w:cs="Arial"/>
          <w:sz w:val="24"/>
          <w:szCs w:val="24"/>
          <w:lang w:val="mn-MN"/>
        </w:rPr>
        <w:t>,</w:t>
      </w:r>
      <w:r w:rsidRPr="00474DE9">
        <w:rPr>
          <w:rFonts w:ascii="Arial" w:hAnsi="Arial" w:cs="Arial"/>
          <w:sz w:val="24"/>
          <w:szCs w:val="24"/>
          <w:lang w:val="mn-MN"/>
        </w:rPr>
        <w:t xml:space="preserve"> мэдээллийн хүрээлэн, “Шүүх хуралдааны нээлттэй байдлын харьцуулсан судалгаа</w:t>
      </w:r>
      <w:bookmarkStart w:id="22" w:name="_Hlk137912482"/>
      <w:r w:rsidRPr="00474DE9">
        <w:rPr>
          <w:rFonts w:ascii="Arial" w:hAnsi="Arial" w:cs="Arial"/>
          <w:sz w:val="24"/>
          <w:szCs w:val="24"/>
          <w:lang w:val="mn-MN"/>
        </w:rPr>
        <w:t>,” 2024.</w:t>
      </w:r>
    </w:p>
    <w:p w14:paraId="37C94B0F" w14:textId="77777777" w:rsidR="00D47167" w:rsidRPr="00474DE9" w:rsidRDefault="00D47167" w:rsidP="00D47167">
      <w:pPr>
        <w:pStyle w:val="ListParagraph"/>
        <w:numPr>
          <w:ilvl w:val="0"/>
          <w:numId w:val="11"/>
        </w:numPr>
        <w:spacing w:line="259" w:lineRule="auto"/>
        <w:jc w:val="both"/>
        <w:rPr>
          <w:rFonts w:ascii="Arial" w:hAnsi="Arial" w:cs="Arial"/>
          <w:sz w:val="24"/>
          <w:szCs w:val="24"/>
          <w:lang w:val="mn-MN"/>
        </w:rPr>
      </w:pPr>
      <w:r w:rsidRPr="00474DE9">
        <w:rPr>
          <w:rFonts w:ascii="Arial" w:hAnsi="Arial" w:cs="Arial"/>
          <w:sz w:val="24"/>
          <w:szCs w:val="24"/>
          <w:lang w:val="mn-MN"/>
        </w:rPr>
        <w:t>Шүүхийн сургалт</w:t>
      </w:r>
      <w:r w:rsidR="00EB5E16" w:rsidRPr="00474DE9">
        <w:rPr>
          <w:rFonts w:ascii="Arial" w:hAnsi="Arial" w:cs="Arial"/>
          <w:sz w:val="24"/>
          <w:szCs w:val="24"/>
          <w:lang w:val="mn-MN"/>
        </w:rPr>
        <w:t>,</w:t>
      </w:r>
      <w:r w:rsidRPr="00474DE9">
        <w:rPr>
          <w:rFonts w:ascii="Arial" w:hAnsi="Arial" w:cs="Arial"/>
          <w:sz w:val="24"/>
          <w:szCs w:val="24"/>
          <w:lang w:val="mn-MN"/>
        </w:rPr>
        <w:t xml:space="preserve"> судалгаа</w:t>
      </w:r>
      <w:r w:rsidR="00EB5E16" w:rsidRPr="00474DE9">
        <w:rPr>
          <w:rFonts w:ascii="Arial" w:hAnsi="Arial" w:cs="Arial"/>
          <w:sz w:val="24"/>
          <w:szCs w:val="24"/>
          <w:lang w:val="mn-MN"/>
        </w:rPr>
        <w:t>,</w:t>
      </w:r>
      <w:r w:rsidRPr="00474DE9">
        <w:rPr>
          <w:rFonts w:ascii="Arial" w:hAnsi="Arial" w:cs="Arial"/>
          <w:sz w:val="24"/>
          <w:szCs w:val="24"/>
          <w:lang w:val="mn-MN"/>
        </w:rPr>
        <w:t xml:space="preserve"> мэдээллийн хүрээлэн</w:t>
      </w:r>
      <w:r w:rsidRPr="00474DE9">
        <w:rPr>
          <w:rFonts w:ascii="Arial" w:hAnsi="Arial" w:cs="Arial"/>
          <w:i/>
          <w:iCs/>
          <w:sz w:val="24"/>
          <w:szCs w:val="24"/>
          <w:lang w:val="mn-MN"/>
        </w:rPr>
        <w:t xml:space="preserve">, </w:t>
      </w:r>
      <w:r w:rsidRPr="00474DE9">
        <w:rPr>
          <w:rFonts w:ascii="Arial" w:hAnsi="Arial" w:cs="Arial"/>
          <w:iCs/>
          <w:sz w:val="24"/>
          <w:szCs w:val="24"/>
          <w:lang w:val="mn-MN"/>
        </w:rPr>
        <w:t>“Шүүх хуралдаан явуулж байх үед Live stream буюу шууд дамжуулалт хийхтэй холбоотой эрх зүйн зохицуулалтын талаарх судалгаа,”</w:t>
      </w:r>
      <w:r w:rsidRPr="00474DE9">
        <w:rPr>
          <w:rFonts w:ascii="Arial" w:hAnsi="Arial" w:cs="Arial"/>
          <w:i/>
          <w:iCs/>
          <w:sz w:val="24"/>
          <w:szCs w:val="24"/>
          <w:lang w:val="mn-MN"/>
        </w:rPr>
        <w:t xml:space="preserve">  </w:t>
      </w:r>
      <w:r w:rsidRPr="00474DE9">
        <w:rPr>
          <w:rFonts w:ascii="Arial" w:hAnsi="Arial" w:cs="Arial"/>
          <w:sz w:val="24"/>
          <w:szCs w:val="24"/>
          <w:lang w:val="mn-MN"/>
        </w:rPr>
        <w:t>2024</w:t>
      </w:r>
    </w:p>
    <w:p w14:paraId="405150DF" w14:textId="77777777" w:rsidR="00D47167" w:rsidRPr="00474DE9" w:rsidRDefault="00D47167" w:rsidP="00D47167">
      <w:pPr>
        <w:pStyle w:val="ListParagraph"/>
        <w:spacing w:line="259" w:lineRule="auto"/>
        <w:jc w:val="both"/>
        <w:rPr>
          <w:rFonts w:ascii="Arial" w:hAnsi="Arial" w:cs="Arial"/>
          <w:sz w:val="24"/>
          <w:szCs w:val="24"/>
          <w:lang w:val="mn-MN"/>
        </w:rPr>
      </w:pPr>
    </w:p>
    <w:p w14:paraId="0A984D5D" w14:textId="77777777" w:rsidR="00D47167" w:rsidRPr="00474DE9" w:rsidRDefault="00D47167" w:rsidP="00D47167">
      <w:pPr>
        <w:spacing w:line="276" w:lineRule="auto"/>
        <w:jc w:val="both"/>
        <w:rPr>
          <w:rFonts w:cs="Arial"/>
          <w:b/>
          <w:bCs/>
          <w:szCs w:val="24"/>
          <w:lang w:val="mn-MN"/>
        </w:rPr>
      </w:pPr>
      <w:r w:rsidRPr="00474DE9">
        <w:rPr>
          <w:rFonts w:cs="Arial"/>
          <w:b/>
          <w:bCs/>
          <w:szCs w:val="24"/>
          <w:lang w:val="mn-MN"/>
        </w:rPr>
        <w:t>Б. Эрх зүйн эх сурвалж</w:t>
      </w:r>
      <w:bookmarkEnd w:id="22"/>
      <w:r w:rsidRPr="00474DE9">
        <w:rPr>
          <w:rFonts w:cs="Arial"/>
          <w:b/>
          <w:bCs/>
          <w:szCs w:val="24"/>
          <w:lang w:val="mn-MN"/>
        </w:rPr>
        <w:t>:</w:t>
      </w:r>
    </w:p>
    <w:p w14:paraId="0FDC8DCE" w14:textId="77777777" w:rsidR="00D47167" w:rsidRPr="00474DE9" w:rsidRDefault="00D47167" w:rsidP="00D47167">
      <w:pPr>
        <w:pStyle w:val="ListParagraph"/>
        <w:numPr>
          <w:ilvl w:val="0"/>
          <w:numId w:val="10"/>
        </w:numPr>
        <w:spacing w:after="0" w:line="276" w:lineRule="auto"/>
        <w:jc w:val="both"/>
        <w:rPr>
          <w:rFonts w:ascii="Arial" w:hAnsi="Arial" w:cs="Arial"/>
          <w:b/>
          <w:bCs/>
          <w:sz w:val="24"/>
          <w:szCs w:val="24"/>
          <w:lang w:val="mn-MN"/>
        </w:rPr>
      </w:pPr>
      <w:r w:rsidRPr="00474DE9">
        <w:rPr>
          <w:rFonts w:ascii="Arial" w:hAnsi="Arial" w:cs="Arial"/>
          <w:color w:val="000000"/>
          <w:sz w:val="24"/>
          <w:szCs w:val="24"/>
          <w:lang w:val="mn-MN"/>
        </w:rPr>
        <w:t>Монгол Улсын Хууль тогтоомжийн тухай хуул</w:t>
      </w:r>
      <w:r w:rsidR="009A40DC" w:rsidRPr="00474DE9">
        <w:rPr>
          <w:rFonts w:ascii="Arial" w:hAnsi="Arial" w:cs="Arial"/>
          <w:color w:val="000000"/>
          <w:sz w:val="24"/>
          <w:szCs w:val="24"/>
          <w:lang w:val="mn-MN"/>
        </w:rPr>
        <w:t>ь</w:t>
      </w:r>
      <w:r w:rsidRPr="00474DE9">
        <w:rPr>
          <w:rFonts w:ascii="Arial" w:hAnsi="Arial" w:cs="Arial"/>
          <w:color w:val="000000"/>
          <w:sz w:val="24"/>
          <w:szCs w:val="24"/>
          <w:lang w:val="mn-MN"/>
        </w:rPr>
        <w:t xml:space="preserve"> (2015)</w:t>
      </w:r>
    </w:p>
    <w:p w14:paraId="1B38C0F9" w14:textId="77777777" w:rsidR="009A40DC" w:rsidRPr="00474DE9" w:rsidRDefault="009A40DC" w:rsidP="00D47167">
      <w:pPr>
        <w:pStyle w:val="ListParagraph"/>
        <w:numPr>
          <w:ilvl w:val="0"/>
          <w:numId w:val="10"/>
        </w:numPr>
        <w:spacing w:after="0" w:line="276" w:lineRule="auto"/>
        <w:jc w:val="both"/>
        <w:rPr>
          <w:rFonts w:ascii="Arial" w:hAnsi="Arial" w:cs="Arial"/>
          <w:bCs/>
          <w:sz w:val="24"/>
          <w:szCs w:val="24"/>
          <w:lang w:val="mn-MN"/>
        </w:rPr>
      </w:pPr>
      <w:r w:rsidRPr="00474DE9">
        <w:rPr>
          <w:rFonts w:ascii="Arial" w:hAnsi="Arial" w:cs="Arial"/>
          <w:bCs/>
          <w:sz w:val="24"/>
          <w:szCs w:val="24"/>
          <w:lang w:val="mn-MN"/>
        </w:rPr>
        <w:t xml:space="preserve">Монгол Улсын </w:t>
      </w:r>
      <w:r w:rsidR="00EB5E16" w:rsidRPr="00474DE9">
        <w:rPr>
          <w:rFonts w:ascii="Arial" w:hAnsi="Arial" w:cs="Arial"/>
          <w:bCs/>
          <w:sz w:val="24"/>
          <w:szCs w:val="24"/>
          <w:lang w:val="mn-MN"/>
        </w:rPr>
        <w:t>ш</w:t>
      </w:r>
      <w:r w:rsidRPr="00474DE9">
        <w:rPr>
          <w:rFonts w:ascii="Arial" w:hAnsi="Arial" w:cs="Arial"/>
          <w:bCs/>
          <w:sz w:val="24"/>
          <w:szCs w:val="24"/>
          <w:lang w:val="mn-MN"/>
        </w:rPr>
        <w:t>үүхийн тухай хууль (2021)</w:t>
      </w:r>
    </w:p>
    <w:p w14:paraId="6B4FDF94" w14:textId="77777777" w:rsidR="00D47167" w:rsidRPr="00474DE9" w:rsidRDefault="00D47167" w:rsidP="00D47167">
      <w:pPr>
        <w:spacing w:before="240" w:line="276" w:lineRule="auto"/>
        <w:jc w:val="both"/>
        <w:rPr>
          <w:rFonts w:cs="Arial"/>
          <w:b/>
          <w:bCs/>
          <w:szCs w:val="24"/>
          <w:lang w:val="mn-MN"/>
        </w:rPr>
      </w:pPr>
      <w:r w:rsidRPr="00474DE9">
        <w:rPr>
          <w:rFonts w:cs="Arial"/>
          <w:b/>
          <w:bCs/>
          <w:szCs w:val="24"/>
          <w:lang w:val="mn-MN"/>
        </w:rPr>
        <w:t>В. Цахим эх сурвалж:</w:t>
      </w:r>
    </w:p>
    <w:p w14:paraId="724129C6" w14:textId="77777777" w:rsidR="00D47167" w:rsidRPr="00474DE9" w:rsidRDefault="00D47167" w:rsidP="00D47167">
      <w:pPr>
        <w:pStyle w:val="ListParagraph"/>
        <w:numPr>
          <w:ilvl w:val="0"/>
          <w:numId w:val="12"/>
        </w:numPr>
        <w:spacing w:after="0" w:line="240" w:lineRule="auto"/>
        <w:jc w:val="both"/>
        <w:rPr>
          <w:rFonts w:ascii="Arial" w:hAnsi="Arial" w:cs="Arial"/>
          <w:b/>
          <w:sz w:val="24"/>
          <w:szCs w:val="24"/>
          <w:lang w:val="mn-MN"/>
        </w:rPr>
      </w:pPr>
      <w:r w:rsidRPr="00474DE9">
        <w:rPr>
          <w:rFonts w:ascii="Arial" w:hAnsi="Arial" w:cs="Arial"/>
          <w:sz w:val="24"/>
          <w:szCs w:val="24"/>
          <w:lang w:val="mn-MN"/>
        </w:rPr>
        <w:t xml:space="preserve">Монгол хэлний их тайлбар толь: </w:t>
      </w:r>
      <w:hyperlink r:id="rId9" w:history="1">
        <w:r w:rsidRPr="00474DE9">
          <w:rPr>
            <w:rStyle w:val="Hyperlink"/>
            <w:rFonts w:ascii="Arial" w:hAnsi="Arial" w:cs="Arial"/>
            <w:sz w:val="24"/>
            <w:szCs w:val="24"/>
            <w:lang w:val="mn-MN"/>
          </w:rPr>
          <w:t>https://mongoltoli.mn/dictionary/detail/3033</w:t>
        </w:r>
      </w:hyperlink>
    </w:p>
    <w:p w14:paraId="48EC7841" w14:textId="77777777" w:rsidR="00D47167" w:rsidRPr="00474DE9" w:rsidRDefault="00D47167" w:rsidP="00D47167">
      <w:pPr>
        <w:pStyle w:val="ListParagraph"/>
        <w:numPr>
          <w:ilvl w:val="0"/>
          <w:numId w:val="12"/>
        </w:numPr>
        <w:spacing w:after="0" w:line="240" w:lineRule="auto"/>
        <w:jc w:val="both"/>
        <w:rPr>
          <w:rFonts w:ascii="Arial" w:hAnsi="Arial" w:cs="Arial"/>
          <w:b/>
          <w:bCs/>
          <w:color w:val="0563C1" w:themeColor="hyperlink"/>
          <w:sz w:val="24"/>
          <w:szCs w:val="24"/>
          <w:u w:val="single"/>
          <w:lang w:val="mn-MN"/>
        </w:rPr>
      </w:pPr>
      <w:r w:rsidRPr="00474DE9">
        <w:rPr>
          <w:rFonts w:ascii="Arial" w:hAnsi="Arial" w:cs="Arial"/>
          <w:sz w:val="24"/>
          <w:szCs w:val="24"/>
          <w:lang w:val="mn-MN"/>
        </w:rPr>
        <w:t xml:space="preserve">Cambridge dictionary: </w:t>
      </w:r>
      <w:hyperlink r:id="rId10" w:history="1">
        <w:r w:rsidRPr="00474DE9">
          <w:rPr>
            <w:rStyle w:val="Hyperlink"/>
            <w:rFonts w:ascii="Arial" w:hAnsi="Arial" w:cs="Arial"/>
            <w:sz w:val="24"/>
            <w:szCs w:val="24"/>
            <w:lang w:val="mn-MN"/>
          </w:rPr>
          <w:t>https://dictionary.cambridge.org/dictionary/english/academy</w:t>
        </w:r>
      </w:hyperlink>
    </w:p>
    <w:p w14:paraId="32CE4209" w14:textId="77777777" w:rsidR="00D47167" w:rsidRPr="00474DE9" w:rsidRDefault="00D47167" w:rsidP="00D47167">
      <w:pPr>
        <w:pStyle w:val="ListParagraph"/>
        <w:numPr>
          <w:ilvl w:val="0"/>
          <w:numId w:val="12"/>
        </w:numPr>
        <w:spacing w:after="0" w:line="240" w:lineRule="auto"/>
        <w:jc w:val="both"/>
        <w:rPr>
          <w:rStyle w:val="Hyperlink"/>
          <w:rFonts w:ascii="Arial" w:hAnsi="Arial" w:cs="Arial"/>
          <w:b/>
          <w:bCs/>
          <w:sz w:val="24"/>
          <w:szCs w:val="24"/>
          <w:lang w:val="mn-MN"/>
        </w:rPr>
      </w:pPr>
      <w:r w:rsidRPr="00474DE9">
        <w:rPr>
          <w:rFonts w:ascii="Arial" w:hAnsi="Arial" w:cs="Arial"/>
          <w:sz w:val="24"/>
          <w:szCs w:val="24"/>
          <w:lang w:val="mn-MN"/>
        </w:rPr>
        <w:t xml:space="preserve">The Britannica Dictionary: </w:t>
      </w:r>
      <w:hyperlink r:id="rId11" w:history="1">
        <w:r w:rsidRPr="00474DE9">
          <w:rPr>
            <w:rStyle w:val="Hyperlink"/>
            <w:rFonts w:ascii="Arial" w:hAnsi="Arial" w:cs="Arial"/>
            <w:sz w:val="24"/>
            <w:szCs w:val="24"/>
            <w:lang w:val="mn-MN"/>
          </w:rPr>
          <w:t>https://www.britannica.com/dictionary/academy</w:t>
        </w:r>
      </w:hyperlink>
    </w:p>
    <w:p w14:paraId="2DC826BE" w14:textId="77777777" w:rsidR="00D47167" w:rsidRPr="00474DE9" w:rsidRDefault="00D47167" w:rsidP="00D47167">
      <w:pPr>
        <w:pStyle w:val="Heading1"/>
        <w:spacing w:after="240"/>
        <w:rPr>
          <w:rFonts w:cs="Arial"/>
          <w:lang w:val="mn-MN"/>
        </w:rPr>
      </w:pPr>
    </w:p>
    <w:p w14:paraId="728307D5" w14:textId="77777777" w:rsidR="00D8099E" w:rsidRPr="00474DE9" w:rsidRDefault="00D8099E" w:rsidP="00D8099E">
      <w:pPr>
        <w:rPr>
          <w:lang w:val="mn-MN"/>
        </w:rPr>
      </w:pPr>
    </w:p>
    <w:sectPr w:rsidR="00D8099E" w:rsidRPr="00474DE9" w:rsidSect="00C9511D">
      <w:footerReference w:type="defaul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523C" w14:textId="77777777" w:rsidR="009D530A" w:rsidRDefault="009D530A" w:rsidP="00902A01">
      <w:pPr>
        <w:spacing w:after="0" w:line="240" w:lineRule="auto"/>
      </w:pPr>
      <w:r>
        <w:separator/>
      </w:r>
    </w:p>
  </w:endnote>
  <w:endnote w:type="continuationSeparator" w:id="0">
    <w:p w14:paraId="50675653" w14:textId="77777777" w:rsidR="009D530A" w:rsidRDefault="009D530A" w:rsidP="0090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94481"/>
      <w:docPartObj>
        <w:docPartGallery w:val="Page Numbers (Bottom of Page)"/>
        <w:docPartUnique/>
      </w:docPartObj>
    </w:sdtPr>
    <w:sdtEndPr>
      <w:rPr>
        <w:noProof/>
      </w:rPr>
    </w:sdtEndPr>
    <w:sdtContent>
      <w:p w14:paraId="5B05F28C" w14:textId="77777777" w:rsidR="00CF5CD5" w:rsidRDefault="00CF5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6B8A3" w14:textId="77777777" w:rsidR="00CF5CD5" w:rsidRDefault="00CF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8F71" w14:textId="77777777" w:rsidR="009D530A" w:rsidRDefault="009D530A" w:rsidP="00902A01">
      <w:pPr>
        <w:spacing w:after="0" w:line="240" w:lineRule="auto"/>
      </w:pPr>
      <w:r>
        <w:separator/>
      </w:r>
    </w:p>
  </w:footnote>
  <w:footnote w:type="continuationSeparator" w:id="0">
    <w:p w14:paraId="73AB81EE" w14:textId="77777777" w:rsidR="009D530A" w:rsidRDefault="009D530A" w:rsidP="00902A01">
      <w:pPr>
        <w:spacing w:after="0" w:line="240" w:lineRule="auto"/>
      </w:pPr>
      <w:r>
        <w:continuationSeparator/>
      </w:r>
    </w:p>
  </w:footnote>
  <w:footnote w:id="1">
    <w:p w14:paraId="270F691C" w14:textId="77777777" w:rsidR="00C34E66" w:rsidRPr="00C34E66" w:rsidRDefault="00C34E66">
      <w:pPr>
        <w:pStyle w:val="FootnoteText"/>
        <w:rPr>
          <w:rFonts w:cs="Arial"/>
          <w:lang w:val="mn-MN"/>
        </w:rPr>
      </w:pPr>
      <w:r w:rsidRPr="00C34E66">
        <w:rPr>
          <w:rStyle w:val="FootnoteReference"/>
          <w:rFonts w:cs="Arial"/>
          <w:lang w:val="mn-MN"/>
        </w:rPr>
        <w:footnoteRef/>
      </w:r>
      <w:r w:rsidRPr="00C34E66">
        <w:rPr>
          <w:rFonts w:cs="Arial"/>
          <w:lang w:val="mn-MN"/>
        </w:rPr>
        <w:t xml:space="preserve"> </w:t>
      </w:r>
      <w:r w:rsidRPr="00C34E66">
        <w:rPr>
          <w:rFonts w:cs="Arial"/>
          <w:i/>
          <w:lang w:val="mn-MN"/>
        </w:rPr>
        <w:t>Төрийн мэдээлэл эмхэтгэл</w:t>
      </w:r>
      <w:r w:rsidRPr="00C34E66">
        <w:rPr>
          <w:rFonts w:cs="Arial"/>
          <w:lang w:val="mn-MN"/>
        </w:rPr>
        <w:t xml:space="preserve"> (2015) №25.</w:t>
      </w:r>
    </w:p>
  </w:footnote>
  <w:footnote w:id="2">
    <w:p w14:paraId="15400D33" w14:textId="77777777" w:rsidR="00CF5CD5" w:rsidRDefault="00CF5CD5" w:rsidP="00CA69E3">
      <w:pPr>
        <w:pBdr>
          <w:top w:val="nil"/>
          <w:left w:val="nil"/>
          <w:bottom w:val="nil"/>
          <w:right w:val="nil"/>
          <w:between w:val="nil"/>
        </w:pBdr>
        <w:spacing w:line="240" w:lineRule="auto"/>
        <w:rPr>
          <w:sz w:val="20"/>
          <w:szCs w:val="20"/>
        </w:rPr>
      </w:pPr>
      <w:r>
        <w:rPr>
          <w:rStyle w:val="FootnoteReference"/>
        </w:rPr>
        <w:footnoteRef/>
      </w:r>
      <w:r>
        <w:rPr>
          <w:rFonts w:eastAsia="Arial" w:cs="Arial"/>
          <w:color w:val="000000"/>
          <w:sz w:val="20"/>
          <w:szCs w:val="20"/>
        </w:rPr>
        <w:t xml:space="preserve"> Хуулийн төслийн үзэл баримтлал. </w:t>
      </w:r>
    </w:p>
  </w:footnote>
  <w:footnote w:id="3">
    <w:p w14:paraId="55470F94" w14:textId="77777777" w:rsidR="00CF5CD5" w:rsidRPr="00FC5FE5" w:rsidRDefault="00CF5CD5" w:rsidP="00542D26">
      <w:pPr>
        <w:pStyle w:val="FootnoteText"/>
        <w:jc w:val="both"/>
        <w:rPr>
          <w:rFonts w:cs="Arial"/>
          <w:lang w:val="mn-MN"/>
        </w:rPr>
      </w:pPr>
      <w:r w:rsidRPr="00FC5FE5">
        <w:rPr>
          <w:rStyle w:val="FootnoteReference"/>
          <w:rFonts w:cs="Arial"/>
          <w:lang w:val="mn-MN"/>
        </w:rPr>
        <w:footnoteRef/>
      </w:r>
      <w:r w:rsidRPr="00FC5FE5">
        <w:rPr>
          <w:rFonts w:cs="Arial"/>
          <w:lang w:val="mn-MN"/>
        </w:rPr>
        <w:t xml:space="preserve"> Шүүгчийн ёс зүйн талаарх бангалорын зарчим, түүний тайлбар, </w:t>
      </w:r>
      <w:hyperlink r:id="rId1" w:history="1">
        <w:r w:rsidRPr="00FC5FE5">
          <w:rPr>
            <w:rStyle w:val="Hyperlink"/>
            <w:rFonts w:cs="Arial"/>
            <w:lang w:val="mn-MN"/>
          </w:rPr>
          <w:t>https://www.uih.mn/sudalgaa/s/100</w:t>
        </w:r>
      </w:hyperlink>
      <w:r w:rsidRPr="00FC5FE5">
        <w:rPr>
          <w:rFonts w:cs="Arial"/>
          <w:lang w:val="mn-MN"/>
        </w:rPr>
        <w:t xml:space="preserve"> </w:t>
      </w:r>
    </w:p>
  </w:footnote>
  <w:footnote w:id="4">
    <w:p w14:paraId="222D877F" w14:textId="77777777" w:rsidR="00CF5CD5" w:rsidRPr="00FC5FE5" w:rsidRDefault="00CF5CD5">
      <w:pPr>
        <w:pStyle w:val="FootnoteText"/>
        <w:rPr>
          <w:rFonts w:cs="Arial"/>
          <w:lang w:val="mn-MN"/>
        </w:rPr>
      </w:pPr>
      <w:r w:rsidRPr="00FC5FE5">
        <w:rPr>
          <w:rStyle w:val="FootnoteReference"/>
          <w:rFonts w:cs="Arial"/>
        </w:rPr>
        <w:footnoteRef/>
      </w:r>
      <w:r w:rsidRPr="00FC5FE5">
        <w:rPr>
          <w:rFonts w:cs="Arial"/>
          <w:lang w:val="mn-MN"/>
        </w:rPr>
        <w:t xml:space="preserve"> Мөн тэнд, 195 дахь тал</w:t>
      </w:r>
    </w:p>
  </w:footnote>
  <w:footnote w:id="5">
    <w:p w14:paraId="47B3C7BC" w14:textId="77777777" w:rsidR="00CF5CD5" w:rsidRPr="00FC5FE5" w:rsidRDefault="00CF5CD5">
      <w:pPr>
        <w:pStyle w:val="FootnoteText"/>
        <w:rPr>
          <w:rFonts w:cs="Arial"/>
          <w:lang w:val="mn-MN"/>
        </w:rPr>
      </w:pPr>
      <w:r w:rsidRPr="00FC5FE5">
        <w:rPr>
          <w:rStyle w:val="FootnoteReference"/>
          <w:rFonts w:cs="Arial"/>
        </w:rPr>
        <w:footnoteRef/>
      </w:r>
      <w:r w:rsidRPr="00FC5FE5">
        <w:rPr>
          <w:rFonts w:cs="Arial"/>
          <w:lang w:val="mn-MN"/>
        </w:rPr>
        <w:t xml:space="preserve"> </w:t>
      </w:r>
      <w:r w:rsidRPr="00FC5FE5">
        <w:rPr>
          <w:rFonts w:cs="Arial"/>
          <w:noProof/>
          <w:lang w:val="mn-MN"/>
        </w:rPr>
        <w:t xml:space="preserve">Cambridge dictionary, </w:t>
      </w:r>
      <w:hyperlink r:id="rId2" w:history="1">
        <w:r w:rsidRPr="00FC5FE5">
          <w:rPr>
            <w:rStyle w:val="Hyperlink"/>
            <w:rFonts w:cs="Arial"/>
            <w:noProof/>
            <w:lang w:val="mn-MN"/>
          </w:rPr>
          <w:t>https://dictionary.cambridge.org/dictionary/english/academy</w:t>
        </w:r>
      </w:hyperlink>
      <w:r w:rsidRPr="00FC5FE5">
        <w:rPr>
          <w:rFonts w:cs="Arial"/>
          <w:noProof/>
          <w:lang w:val="mn-MN"/>
        </w:rPr>
        <w:t xml:space="preserve"> (Сүүлд үзсэн: 2024.04.21)</w:t>
      </w:r>
    </w:p>
  </w:footnote>
  <w:footnote w:id="6">
    <w:p w14:paraId="570264C4" w14:textId="77777777" w:rsidR="00CF5CD5" w:rsidRPr="00FC5FE5" w:rsidRDefault="00CF5CD5">
      <w:pPr>
        <w:pStyle w:val="FootnoteText"/>
        <w:rPr>
          <w:rFonts w:cs="Arial"/>
          <w:lang w:val="mn-MN"/>
        </w:rPr>
      </w:pPr>
      <w:r w:rsidRPr="00FC5FE5">
        <w:rPr>
          <w:rStyle w:val="FootnoteReference"/>
          <w:rFonts w:cs="Arial"/>
        </w:rPr>
        <w:footnoteRef/>
      </w:r>
      <w:r w:rsidRPr="00FC5FE5">
        <w:rPr>
          <w:rFonts w:cs="Arial"/>
        </w:rPr>
        <w:t xml:space="preserve"> The Britannica Dictionary, </w:t>
      </w:r>
      <w:hyperlink r:id="rId3" w:history="1">
        <w:r w:rsidRPr="00FC5FE5">
          <w:rPr>
            <w:rStyle w:val="Hyperlink"/>
            <w:rFonts w:cs="Arial"/>
          </w:rPr>
          <w:t>https://www.britannica.com/dictionary/academy</w:t>
        </w:r>
      </w:hyperlink>
      <w:r w:rsidRPr="00FC5FE5">
        <w:rPr>
          <w:rFonts w:cs="Arial"/>
          <w:lang w:val="mn-MN"/>
        </w:rPr>
        <w:t xml:space="preserve"> </w:t>
      </w:r>
      <w:r w:rsidRPr="00FC5FE5">
        <w:rPr>
          <w:rFonts w:cs="Arial"/>
        </w:rPr>
        <w:t>(</w:t>
      </w:r>
      <w:r w:rsidRPr="00FC5FE5">
        <w:rPr>
          <w:rFonts w:cs="Arial"/>
          <w:lang w:val="mn-MN"/>
        </w:rPr>
        <w:t>Сүүлд үзсэн:</w:t>
      </w:r>
      <w:r w:rsidRPr="00FC5FE5">
        <w:rPr>
          <w:rFonts w:cs="Arial"/>
        </w:rPr>
        <w:t xml:space="preserve"> 2024.0</w:t>
      </w:r>
      <w:r w:rsidRPr="00FC5FE5">
        <w:rPr>
          <w:rFonts w:cs="Arial"/>
          <w:lang w:val="mn-MN"/>
        </w:rPr>
        <w:t>4.21</w:t>
      </w:r>
      <w:r w:rsidRPr="00FC5FE5">
        <w:rPr>
          <w:rFonts w:cs="Arial"/>
        </w:rPr>
        <w:t>)</w:t>
      </w:r>
    </w:p>
  </w:footnote>
  <w:footnote w:id="7">
    <w:p w14:paraId="11E09B82" w14:textId="77777777" w:rsidR="00CF5CD5" w:rsidRPr="00EA7955" w:rsidRDefault="00CF5CD5">
      <w:pPr>
        <w:pStyle w:val="FootnoteText"/>
        <w:rPr>
          <w:rFonts w:cs="Arial"/>
          <w:lang w:val="mn-MN"/>
        </w:rPr>
      </w:pPr>
      <w:r w:rsidRPr="00FC5FE5">
        <w:rPr>
          <w:rStyle w:val="FootnoteReference"/>
          <w:rFonts w:cs="Arial"/>
        </w:rPr>
        <w:footnoteRef/>
      </w:r>
      <w:r w:rsidRPr="00FC5FE5">
        <w:rPr>
          <w:rFonts w:cs="Arial"/>
          <w:lang w:val="mn-MN"/>
        </w:rPr>
        <w:t xml:space="preserve"> Монгол хэлний их тайлбар толь, </w:t>
      </w:r>
      <w:hyperlink r:id="rId4" w:history="1">
        <w:r w:rsidRPr="00FC5FE5">
          <w:rPr>
            <w:rStyle w:val="Hyperlink"/>
            <w:rFonts w:cs="Arial"/>
            <w:lang w:val="mn-MN"/>
          </w:rPr>
          <w:t>https://mongoltoli.mn/dictionary/detail/3033</w:t>
        </w:r>
      </w:hyperlink>
      <w:r w:rsidRPr="00FC5FE5">
        <w:rPr>
          <w:rFonts w:cs="Arial"/>
          <w:lang w:val="mn-MN"/>
        </w:rPr>
        <w:t xml:space="preserve"> </w:t>
      </w:r>
      <w:r w:rsidRPr="00FC5FE5">
        <w:rPr>
          <w:rFonts w:cs="Arial"/>
          <w:noProof/>
          <w:lang w:val="mn-MN"/>
        </w:rPr>
        <w:t>(Сүүлд үзсэн: 2024.04.21)</w:t>
      </w:r>
    </w:p>
  </w:footnote>
  <w:footnote w:id="8">
    <w:p w14:paraId="70BA77B5" w14:textId="77777777" w:rsidR="00CF5CD5" w:rsidRPr="005E6DDA" w:rsidRDefault="00CF5CD5" w:rsidP="00EA7955">
      <w:pPr>
        <w:pStyle w:val="Heading1"/>
        <w:shd w:val="clear" w:color="auto" w:fill="FFFFFF"/>
        <w:snapToGrid w:val="0"/>
        <w:spacing w:before="0"/>
        <w:ind w:left="142" w:firstLine="578"/>
        <w:rPr>
          <w:rFonts w:ascii="Times New Roman" w:hAnsi="Times New Roman" w:cs="Times New Roman"/>
          <w:b w:val="0"/>
          <w:color w:val="1B1B1B"/>
          <w:spacing w:val="-2"/>
          <w:sz w:val="20"/>
          <w:szCs w:val="20"/>
          <w:lang w:val="mn-MN" w:eastAsia="ja-JP"/>
        </w:rPr>
      </w:pPr>
      <w:r w:rsidRPr="005E6DDA">
        <w:rPr>
          <w:rStyle w:val="FootnoteReference"/>
          <w:rFonts w:cs="Arial"/>
          <w:b w:val="0"/>
          <w:color w:val="auto"/>
          <w:sz w:val="20"/>
          <w:szCs w:val="20"/>
          <w:lang w:val="mn-MN"/>
        </w:rPr>
        <w:footnoteRef/>
      </w:r>
      <w:r w:rsidRPr="005E6DDA">
        <w:rPr>
          <w:rFonts w:cs="Arial"/>
          <w:b w:val="0"/>
          <w:color w:val="auto"/>
          <w:sz w:val="20"/>
          <w:szCs w:val="20"/>
          <w:lang w:val="mn-MN"/>
        </w:rPr>
        <w:t xml:space="preserve"> </w:t>
      </w:r>
      <w:r w:rsidRPr="005E6DDA">
        <w:rPr>
          <w:rFonts w:cs="Arial"/>
          <w:b w:val="0"/>
          <w:bCs/>
          <w:color w:val="auto"/>
          <w:spacing w:val="-2"/>
          <w:sz w:val="20"/>
          <w:szCs w:val="20"/>
          <w:lang w:val="mn-MN"/>
        </w:rPr>
        <w:t xml:space="preserve">Шүүхийн </w:t>
      </w:r>
      <w:r w:rsidRPr="005E6DDA">
        <w:rPr>
          <w:rFonts w:cs="Arial"/>
          <w:b w:val="0"/>
          <w:bCs/>
          <w:color w:val="1B1B1B"/>
          <w:spacing w:val="-2"/>
          <w:sz w:val="20"/>
          <w:szCs w:val="20"/>
          <w:lang w:val="mn-MN"/>
        </w:rPr>
        <w:t xml:space="preserve">ерөнхий зөвлөлийн 2021-2023 оны тайлан, Тайланг бүрэн эхээр нь үзэх холбоос: </w:t>
      </w:r>
      <w:hyperlink r:id="rId5" w:history="1">
        <w:r w:rsidRPr="005E6DDA">
          <w:rPr>
            <w:rStyle w:val="Hyperlink"/>
            <w:rFonts w:cs="Arial"/>
            <w:b w:val="0"/>
            <w:bCs/>
            <w:spacing w:val="-2"/>
            <w:sz w:val="20"/>
            <w:szCs w:val="20"/>
            <w:lang w:val="mn-MN"/>
          </w:rPr>
          <w:t>https://www.judcouncil.mn/site/news_full/13313</w:t>
        </w:r>
      </w:hyperlink>
      <w:r w:rsidRPr="005E6DDA">
        <w:rPr>
          <w:rFonts w:cs="Arial"/>
          <w:b w:val="0"/>
          <w:bCs/>
          <w:color w:val="1B1B1B"/>
          <w:spacing w:val="-2"/>
          <w:sz w:val="20"/>
          <w:szCs w:val="20"/>
          <w:lang w:val="mn-MN"/>
        </w:rPr>
        <w:t>.</w:t>
      </w:r>
      <w:r w:rsidRPr="005E6DDA">
        <w:rPr>
          <w:rFonts w:ascii="Times New Roman" w:hAnsi="Times New Roman" w:cs="Times New Roman"/>
          <w:b w:val="0"/>
          <w:bCs/>
          <w:color w:val="1B1B1B"/>
          <w:spacing w:val="-2"/>
          <w:sz w:val="20"/>
          <w:szCs w:val="20"/>
          <w:lang w:val="mn-MN"/>
        </w:rPr>
        <w:t xml:space="preserve">  </w:t>
      </w:r>
    </w:p>
  </w:footnote>
  <w:footnote w:id="9">
    <w:p w14:paraId="3C8F3E69" w14:textId="77777777" w:rsidR="009A40DC" w:rsidRPr="009A40DC" w:rsidRDefault="009A40DC">
      <w:pPr>
        <w:pStyle w:val="FootnoteText"/>
        <w:rPr>
          <w:lang w:val="mn-MN"/>
        </w:rPr>
      </w:pPr>
      <w:r>
        <w:rPr>
          <w:rStyle w:val="FootnoteReference"/>
        </w:rPr>
        <w:footnoteRef/>
      </w:r>
      <w:r w:rsidRPr="004F5998">
        <w:rPr>
          <w:lang w:val="mn-MN"/>
        </w:rPr>
        <w:t xml:space="preserve"> </w:t>
      </w:r>
      <w:r w:rsidRPr="00C34E66">
        <w:rPr>
          <w:rFonts w:cs="Arial"/>
          <w:i/>
          <w:lang w:val="mn-MN"/>
        </w:rPr>
        <w:t>Төрийн мэдээлэл эмхэтгэл</w:t>
      </w:r>
      <w:r w:rsidRPr="00C34E66">
        <w:rPr>
          <w:rFonts w:cs="Arial"/>
          <w:lang w:val="mn-MN"/>
        </w:rPr>
        <w:t xml:space="preserve"> (20</w:t>
      </w:r>
      <w:r>
        <w:rPr>
          <w:rFonts w:cs="Arial"/>
          <w:lang w:val="mn-MN"/>
        </w:rPr>
        <w:t>21</w:t>
      </w:r>
      <w:r w:rsidRPr="00C34E66">
        <w:rPr>
          <w:rFonts w:cs="Arial"/>
          <w:lang w:val="mn-MN"/>
        </w:rPr>
        <w:t>) №</w:t>
      </w:r>
      <w:r>
        <w:rPr>
          <w:rFonts w:cs="Arial"/>
          <w:lang w:val="mn-MN"/>
        </w:rPr>
        <w:t>0</w:t>
      </w:r>
      <w:r w:rsidRPr="00C34E66">
        <w:rPr>
          <w:rFonts w:cs="Arial"/>
          <w:lang w:val="mn-MN"/>
        </w:rPr>
        <w:t>5.</w:t>
      </w:r>
    </w:p>
  </w:footnote>
  <w:footnote w:id="10">
    <w:p w14:paraId="5E5A0C19" w14:textId="77777777" w:rsidR="00D8099E" w:rsidRPr="00702D2E" w:rsidRDefault="00D8099E" w:rsidP="00D8099E">
      <w:pPr>
        <w:pStyle w:val="FootnoteText"/>
        <w:rPr>
          <w:rFonts w:cs="Arial"/>
          <w:lang w:val="mn-MN"/>
        </w:rPr>
      </w:pPr>
      <w:r w:rsidRPr="00702D2E">
        <w:rPr>
          <w:rStyle w:val="FootnoteReference"/>
          <w:rFonts w:cs="Arial"/>
        </w:rPr>
        <w:footnoteRef/>
      </w:r>
      <w:r w:rsidRPr="004F5998">
        <w:rPr>
          <w:rFonts w:cs="Arial"/>
          <w:lang w:val="mn-MN"/>
        </w:rPr>
        <w:t xml:space="preserve"> </w:t>
      </w:r>
      <w:r w:rsidR="00D47167" w:rsidRPr="00A5356A">
        <w:rPr>
          <w:rFonts w:cs="Arial"/>
          <w:lang w:val="mn-MN"/>
        </w:rPr>
        <w:t>Шүүхийн сургалт</w:t>
      </w:r>
      <w:r w:rsidR="001E0271">
        <w:rPr>
          <w:rFonts w:cs="Arial"/>
          <w:lang w:val="mn-MN"/>
        </w:rPr>
        <w:t>,</w:t>
      </w:r>
      <w:r w:rsidR="00D47167" w:rsidRPr="00A5356A">
        <w:rPr>
          <w:rFonts w:cs="Arial"/>
          <w:lang w:val="mn-MN"/>
        </w:rPr>
        <w:t xml:space="preserve"> судалгаа</w:t>
      </w:r>
      <w:r w:rsidR="001E0271">
        <w:rPr>
          <w:rFonts w:cs="Arial"/>
          <w:lang w:val="mn-MN"/>
        </w:rPr>
        <w:t>,</w:t>
      </w:r>
      <w:r w:rsidR="00D47167" w:rsidRPr="00A5356A">
        <w:rPr>
          <w:rFonts w:cs="Arial"/>
          <w:lang w:val="mn-MN"/>
        </w:rPr>
        <w:t xml:space="preserve"> мэдээллийн хүрээлэн, </w:t>
      </w:r>
      <w:r w:rsidR="00D47167" w:rsidRPr="00A5356A">
        <w:rPr>
          <w:rFonts w:cs="Arial"/>
          <w:i/>
          <w:iCs/>
          <w:lang w:val="mn-MN"/>
        </w:rPr>
        <w:t>Шүүхийн цахимжилт харьцуулсан судалгаа</w:t>
      </w:r>
      <w:r w:rsidR="00D47167" w:rsidRPr="00A5356A">
        <w:rPr>
          <w:rFonts w:cs="Arial"/>
          <w:lang w:val="mn-MN"/>
        </w:rPr>
        <w:t>, 2024, 4 дэх тал.</w:t>
      </w:r>
    </w:p>
  </w:footnote>
  <w:footnote w:id="11">
    <w:p w14:paraId="3F8EFFA3" w14:textId="77777777" w:rsidR="00D8099E" w:rsidRPr="00501CFC" w:rsidRDefault="00D8099E" w:rsidP="00D8099E">
      <w:pPr>
        <w:pStyle w:val="FootnoteText"/>
        <w:rPr>
          <w:lang w:val="mn-MN"/>
        </w:rPr>
      </w:pPr>
      <w:r>
        <w:rPr>
          <w:rStyle w:val="FootnoteReference"/>
        </w:rPr>
        <w:footnoteRef/>
      </w:r>
      <w:r w:rsidRPr="00501CFC">
        <w:rPr>
          <w:lang w:val="mn-MN"/>
        </w:rPr>
        <w:t xml:space="preserve"> </w:t>
      </w:r>
      <w:r w:rsidR="00D47167" w:rsidRPr="00A5356A">
        <w:rPr>
          <w:rFonts w:cs="Arial"/>
          <w:lang w:val="mn-MN"/>
        </w:rPr>
        <w:t>Шүүхийн сургалт</w:t>
      </w:r>
      <w:r w:rsidR="001E0271">
        <w:rPr>
          <w:rFonts w:cs="Arial"/>
          <w:lang w:val="mn-MN"/>
        </w:rPr>
        <w:t>,</w:t>
      </w:r>
      <w:r w:rsidR="00D47167" w:rsidRPr="00A5356A">
        <w:rPr>
          <w:rFonts w:cs="Arial"/>
          <w:lang w:val="mn-MN"/>
        </w:rPr>
        <w:t xml:space="preserve"> судалгаа</w:t>
      </w:r>
      <w:r w:rsidR="001E0271">
        <w:rPr>
          <w:rFonts w:cs="Arial"/>
          <w:lang w:val="mn-MN"/>
        </w:rPr>
        <w:t>,</w:t>
      </w:r>
      <w:r w:rsidR="00D47167" w:rsidRPr="00A5356A">
        <w:rPr>
          <w:rFonts w:cs="Arial"/>
          <w:lang w:val="mn-MN"/>
        </w:rPr>
        <w:t xml:space="preserve"> мэдээллийн хүрээлэн, </w:t>
      </w:r>
      <w:r w:rsidR="00D47167" w:rsidRPr="00A5356A">
        <w:rPr>
          <w:rFonts w:cs="Arial"/>
          <w:i/>
          <w:iCs/>
          <w:lang w:val="mn-MN"/>
        </w:rPr>
        <w:t>Шүүх хуралдааны нээлттэй байдлын харьцуулсан судалгаа</w:t>
      </w:r>
      <w:r w:rsidR="00D47167" w:rsidRPr="00A5356A">
        <w:rPr>
          <w:rFonts w:cs="Arial"/>
          <w:lang w:val="mn-MN"/>
        </w:rPr>
        <w:t>, 2024, 29 дэх тал.</w:t>
      </w:r>
    </w:p>
  </w:footnote>
  <w:footnote w:id="12">
    <w:p w14:paraId="6BF1E0E9" w14:textId="77777777" w:rsidR="00D8099E" w:rsidRPr="007A25B0" w:rsidRDefault="00D8099E" w:rsidP="00D47167">
      <w:pPr>
        <w:pStyle w:val="FootnoteText"/>
        <w:jc w:val="both"/>
        <w:rPr>
          <w:lang w:val="mn-MN"/>
        </w:rPr>
      </w:pPr>
      <w:r>
        <w:rPr>
          <w:rStyle w:val="FootnoteReference"/>
        </w:rPr>
        <w:footnoteRef/>
      </w:r>
      <w:r w:rsidRPr="004F5998">
        <w:rPr>
          <w:lang w:val="mn-MN"/>
        </w:rPr>
        <w:t xml:space="preserve"> </w:t>
      </w:r>
      <w:r>
        <w:rPr>
          <w:lang w:val="mn-MN"/>
        </w:rPr>
        <w:t xml:space="preserve">Мөн тэнд </w:t>
      </w:r>
    </w:p>
  </w:footnote>
  <w:footnote w:id="13">
    <w:p w14:paraId="394E3C89" w14:textId="77777777" w:rsidR="00D8099E" w:rsidRPr="0034664E" w:rsidRDefault="00D8099E" w:rsidP="00D47167">
      <w:pPr>
        <w:pStyle w:val="FootnoteText"/>
        <w:jc w:val="both"/>
        <w:rPr>
          <w:rFonts w:cs="Arial"/>
          <w:lang w:val="mn-MN"/>
        </w:rPr>
      </w:pPr>
      <w:r w:rsidRPr="0034664E">
        <w:rPr>
          <w:rStyle w:val="FootnoteReference"/>
          <w:rFonts w:cs="Arial"/>
        </w:rPr>
        <w:footnoteRef/>
      </w:r>
      <w:r w:rsidRPr="0034664E">
        <w:rPr>
          <w:rFonts w:cs="Arial"/>
          <w:lang w:val="mn-MN"/>
        </w:rPr>
        <w:t xml:space="preserve"> </w:t>
      </w:r>
      <w:r w:rsidR="00D47167" w:rsidRPr="00A5356A">
        <w:rPr>
          <w:rFonts w:cs="Arial"/>
          <w:lang w:val="mn-MN"/>
        </w:rPr>
        <w:t>Шүүхийн сургалт судалгаа мэдээллийн хүрээлэн</w:t>
      </w:r>
      <w:r w:rsidR="00D47167" w:rsidRPr="00A5356A">
        <w:rPr>
          <w:rFonts w:cs="Arial"/>
          <w:i/>
          <w:iCs/>
          <w:lang w:val="mn-MN"/>
        </w:rPr>
        <w:t xml:space="preserve">, Шүүх хуралдаан явуулж байх үед Live stream буюу шууд дамжуулалт хийхтэй холбоотой эрх зүйн зохицуулалтын талаарх судалгаа, </w:t>
      </w:r>
      <w:r w:rsidR="00D47167" w:rsidRPr="00A5356A">
        <w:rPr>
          <w:rFonts w:cs="Arial"/>
          <w:lang w:val="mn-MN"/>
        </w:rPr>
        <w:t>2024, 13 дахь тал.</w:t>
      </w:r>
    </w:p>
  </w:footnote>
  <w:footnote w:id="14">
    <w:p w14:paraId="09753135" w14:textId="77777777" w:rsidR="00D8099E" w:rsidRPr="0034664E" w:rsidRDefault="00D8099E" w:rsidP="00D47167">
      <w:pPr>
        <w:pStyle w:val="FootnoteText"/>
        <w:jc w:val="both"/>
        <w:rPr>
          <w:rFonts w:cs="Arial"/>
          <w:lang w:val="mn-MN"/>
        </w:rPr>
      </w:pPr>
      <w:r w:rsidRPr="0034664E">
        <w:rPr>
          <w:rStyle w:val="FootnoteReference"/>
          <w:rFonts w:cs="Arial"/>
        </w:rPr>
        <w:footnoteRef/>
      </w:r>
      <w:r w:rsidRPr="0034664E">
        <w:rPr>
          <w:rFonts w:cs="Arial"/>
          <w:lang w:val="mn-MN"/>
        </w:rPr>
        <w:t xml:space="preserve"> Монгол улсын шүүхийн тухай хуульд нэмэлт, өөрчлөлт оруулах тухай хуулийн төслийн үзэл баримтлал</w:t>
      </w:r>
    </w:p>
  </w:footnote>
  <w:footnote w:id="15">
    <w:p w14:paraId="6FED8522" w14:textId="77777777" w:rsidR="00D8099E" w:rsidRPr="0034664E" w:rsidRDefault="00D8099E" w:rsidP="009A40DC">
      <w:pPr>
        <w:pStyle w:val="FootnoteText"/>
        <w:rPr>
          <w:rFonts w:cs="Arial"/>
          <w:lang w:val="mn-MN"/>
        </w:rPr>
      </w:pPr>
      <w:r w:rsidRPr="0034664E">
        <w:rPr>
          <w:rStyle w:val="FootnoteReference"/>
          <w:rFonts w:cs="Arial"/>
        </w:rPr>
        <w:footnoteRef/>
      </w:r>
      <w:r w:rsidRPr="0034664E">
        <w:rPr>
          <w:rFonts w:cs="Arial"/>
          <w:lang w:val="mn-MN"/>
        </w:rPr>
        <w:t xml:space="preserve"> </w:t>
      </w:r>
      <w:r w:rsidR="009A40DC" w:rsidRPr="00A5356A">
        <w:rPr>
          <w:rFonts w:cs="Arial"/>
          <w:lang w:val="mn-MN"/>
        </w:rPr>
        <w:t>Шүүхийн сургалт</w:t>
      </w:r>
      <w:r w:rsidR="00BD2CBB">
        <w:rPr>
          <w:rFonts w:cs="Arial"/>
          <w:lang w:val="mn-MN"/>
        </w:rPr>
        <w:t>,</w:t>
      </w:r>
      <w:r w:rsidR="009A40DC" w:rsidRPr="00A5356A">
        <w:rPr>
          <w:rFonts w:cs="Arial"/>
          <w:lang w:val="mn-MN"/>
        </w:rPr>
        <w:t xml:space="preserve"> судалгаа</w:t>
      </w:r>
      <w:r w:rsidR="00BD2CBB">
        <w:rPr>
          <w:rFonts w:cs="Arial"/>
          <w:lang w:val="mn-MN"/>
        </w:rPr>
        <w:t>,</w:t>
      </w:r>
      <w:r w:rsidR="009A40DC" w:rsidRPr="00A5356A">
        <w:rPr>
          <w:rFonts w:cs="Arial"/>
          <w:lang w:val="mn-MN"/>
        </w:rPr>
        <w:t xml:space="preserve"> мэдээллийн хүрээлэн</w:t>
      </w:r>
      <w:r w:rsidR="002B18DF">
        <w:rPr>
          <w:rFonts w:cs="Arial"/>
          <w:lang w:val="mn-MN"/>
        </w:rPr>
        <w:t>, өмнөх эшлэл 11</w:t>
      </w:r>
      <w:r w:rsidR="009A40DC" w:rsidRPr="00A5356A">
        <w:rPr>
          <w:rFonts w:cs="Arial"/>
          <w:lang w:val="mn-MN"/>
        </w:rPr>
        <w:t>, 29 дэх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631"/>
    <w:multiLevelType w:val="hybridMultilevel"/>
    <w:tmpl w:val="D86E89A8"/>
    <w:lvl w:ilvl="0" w:tplc="391E9CD6">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03069"/>
    <w:multiLevelType w:val="hybridMultilevel"/>
    <w:tmpl w:val="955EC232"/>
    <w:lvl w:ilvl="0" w:tplc="AD9CE2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F42CA"/>
    <w:multiLevelType w:val="hybridMultilevel"/>
    <w:tmpl w:val="12C8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D4C4C"/>
    <w:multiLevelType w:val="hybridMultilevel"/>
    <w:tmpl w:val="02B05A38"/>
    <w:lvl w:ilvl="0" w:tplc="9A04F31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045B2"/>
    <w:multiLevelType w:val="hybridMultilevel"/>
    <w:tmpl w:val="CA20CB44"/>
    <w:lvl w:ilvl="0" w:tplc="70EC8B5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30078F"/>
    <w:multiLevelType w:val="hybridMultilevel"/>
    <w:tmpl w:val="401497CC"/>
    <w:lvl w:ilvl="0" w:tplc="AD9CE2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C4CB9"/>
    <w:multiLevelType w:val="hybridMultilevel"/>
    <w:tmpl w:val="E4E48464"/>
    <w:lvl w:ilvl="0" w:tplc="70EC8B5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E74A5"/>
    <w:multiLevelType w:val="hybridMultilevel"/>
    <w:tmpl w:val="E4E48464"/>
    <w:lvl w:ilvl="0" w:tplc="70EC8B5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24E95"/>
    <w:multiLevelType w:val="hybridMultilevel"/>
    <w:tmpl w:val="BB509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52ABF"/>
    <w:multiLevelType w:val="hybridMultilevel"/>
    <w:tmpl w:val="31C6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2B5F78"/>
    <w:multiLevelType w:val="hybridMultilevel"/>
    <w:tmpl w:val="7EA61450"/>
    <w:lvl w:ilvl="0" w:tplc="391E9CD6">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828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6982857">
    <w:abstractNumId w:val="9"/>
  </w:num>
  <w:num w:numId="3" w16cid:durableId="125973895">
    <w:abstractNumId w:val="4"/>
  </w:num>
  <w:num w:numId="4" w16cid:durableId="1283416899">
    <w:abstractNumId w:val="7"/>
  </w:num>
  <w:num w:numId="5" w16cid:durableId="1346905041">
    <w:abstractNumId w:val="8"/>
  </w:num>
  <w:num w:numId="6" w16cid:durableId="610476664">
    <w:abstractNumId w:val="2"/>
  </w:num>
  <w:num w:numId="7" w16cid:durableId="1087531736">
    <w:abstractNumId w:val="0"/>
  </w:num>
  <w:num w:numId="8" w16cid:durableId="168452525">
    <w:abstractNumId w:val="10"/>
  </w:num>
  <w:num w:numId="9" w16cid:durableId="749737006">
    <w:abstractNumId w:val="6"/>
  </w:num>
  <w:num w:numId="10" w16cid:durableId="140969642">
    <w:abstractNumId w:val="1"/>
  </w:num>
  <w:num w:numId="11" w16cid:durableId="31926048">
    <w:abstractNumId w:val="5"/>
  </w:num>
  <w:num w:numId="12" w16cid:durableId="207148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65"/>
    <w:rsid w:val="000668F1"/>
    <w:rsid w:val="00073695"/>
    <w:rsid w:val="000A5F91"/>
    <w:rsid w:val="0017273C"/>
    <w:rsid w:val="0019779A"/>
    <w:rsid w:val="001C62C9"/>
    <w:rsid w:val="001E0271"/>
    <w:rsid w:val="00213707"/>
    <w:rsid w:val="00225BBC"/>
    <w:rsid w:val="0026455E"/>
    <w:rsid w:val="002A58C0"/>
    <w:rsid w:val="002B18DF"/>
    <w:rsid w:val="002D00D6"/>
    <w:rsid w:val="002E31AE"/>
    <w:rsid w:val="00304B0A"/>
    <w:rsid w:val="00317515"/>
    <w:rsid w:val="00320AB0"/>
    <w:rsid w:val="00406AB6"/>
    <w:rsid w:val="00406F97"/>
    <w:rsid w:val="00474DE9"/>
    <w:rsid w:val="004B4ABE"/>
    <w:rsid w:val="004B785F"/>
    <w:rsid w:val="004C2BD9"/>
    <w:rsid w:val="004F5998"/>
    <w:rsid w:val="00522565"/>
    <w:rsid w:val="00542D26"/>
    <w:rsid w:val="00547E19"/>
    <w:rsid w:val="00575267"/>
    <w:rsid w:val="005D6D44"/>
    <w:rsid w:val="005E6DDA"/>
    <w:rsid w:val="00647E15"/>
    <w:rsid w:val="0068354E"/>
    <w:rsid w:val="006C068D"/>
    <w:rsid w:val="0078214B"/>
    <w:rsid w:val="00793DEE"/>
    <w:rsid w:val="007B2992"/>
    <w:rsid w:val="007F18AA"/>
    <w:rsid w:val="00801FFF"/>
    <w:rsid w:val="00877D85"/>
    <w:rsid w:val="00894B52"/>
    <w:rsid w:val="008C6C13"/>
    <w:rsid w:val="00902A01"/>
    <w:rsid w:val="00995DCF"/>
    <w:rsid w:val="009A40DC"/>
    <w:rsid w:val="009B29A1"/>
    <w:rsid w:val="009D2B0B"/>
    <w:rsid w:val="009D530A"/>
    <w:rsid w:val="009E3C32"/>
    <w:rsid w:val="00A11125"/>
    <w:rsid w:val="00A12C26"/>
    <w:rsid w:val="00B071C3"/>
    <w:rsid w:val="00B14FF7"/>
    <w:rsid w:val="00B276D4"/>
    <w:rsid w:val="00B57AA1"/>
    <w:rsid w:val="00BD2CBB"/>
    <w:rsid w:val="00C34E66"/>
    <w:rsid w:val="00C9511D"/>
    <w:rsid w:val="00CA69E3"/>
    <w:rsid w:val="00CE2098"/>
    <w:rsid w:val="00CF5CD5"/>
    <w:rsid w:val="00D47167"/>
    <w:rsid w:val="00D703A4"/>
    <w:rsid w:val="00D8099E"/>
    <w:rsid w:val="00E91B3F"/>
    <w:rsid w:val="00EA7955"/>
    <w:rsid w:val="00EB5E16"/>
    <w:rsid w:val="00F446C2"/>
    <w:rsid w:val="00F72824"/>
    <w:rsid w:val="00FC5FE5"/>
    <w:rsid w:val="00FD7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90A3"/>
  <w15:chartTrackingRefBased/>
  <w15:docId w15:val="{79D0BC1F-7D3B-4A57-B572-54CD0048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szCs w:val="22"/>
        <w:lang w:val="en-US" w:eastAsia="en-US"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Heading1">
    <w:name w:val="heading 1"/>
    <w:basedOn w:val="Normal"/>
    <w:link w:val="Heading1Char"/>
    <w:uiPriority w:val="9"/>
    <w:qFormat/>
    <w:rsid w:val="008C6C13"/>
    <w:pPr>
      <w:keepNext/>
      <w:keepLines/>
      <w:spacing w:before="240" w:after="0" w:line="276" w:lineRule="auto"/>
      <w:jc w:val="both"/>
      <w:outlineLvl w:val="0"/>
    </w:pPr>
    <w:rPr>
      <w:rFonts w:eastAsiaTheme="majorEastAsia" w:cstheme="majorBidi"/>
      <w:b/>
      <w:color w:val="000000" w:themeColor="text1"/>
      <w:kern w:val="0"/>
      <w:szCs w:val="32"/>
      <w:lang w:eastAsia="zh-CN"/>
      <w14:ligatures w14:val="none"/>
    </w:rPr>
  </w:style>
  <w:style w:type="paragraph" w:styleId="Heading2">
    <w:name w:val="heading 2"/>
    <w:basedOn w:val="Normal"/>
    <w:next w:val="Normal"/>
    <w:link w:val="Heading2Char"/>
    <w:uiPriority w:val="9"/>
    <w:unhideWhenUsed/>
    <w:qFormat/>
    <w:rsid w:val="00FD76F1"/>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CA69E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6C13"/>
    <w:rPr>
      <w:rFonts w:eastAsiaTheme="majorEastAsia" w:cstheme="majorBidi"/>
      <w:b/>
      <w:color w:val="000000" w:themeColor="text1"/>
      <w:kern w:val="0"/>
      <w:szCs w:val="32"/>
      <w:lang w:eastAsia="zh-CN"/>
      <w14:ligatures w14:val="none"/>
    </w:rPr>
  </w:style>
  <w:style w:type="character" w:styleId="Hyperlink">
    <w:name w:val="Hyperlink"/>
    <w:basedOn w:val="DefaultParagraphFont"/>
    <w:uiPriority w:val="99"/>
    <w:unhideWhenUsed/>
    <w:rsid w:val="00902A01"/>
    <w:rPr>
      <w:color w:val="0563C1" w:themeColor="hyperlink"/>
      <w:u w:val="single"/>
    </w:rPr>
  </w:style>
  <w:style w:type="paragraph" w:styleId="ListParagraph">
    <w:name w:val="List Paragraph"/>
    <w:basedOn w:val="Normal"/>
    <w:uiPriority w:val="34"/>
    <w:qFormat/>
    <w:rsid w:val="00902A01"/>
    <w:pPr>
      <w:spacing w:line="254" w:lineRule="auto"/>
      <w:ind w:left="720" w:firstLine="0"/>
      <w:contextualSpacing/>
    </w:pPr>
    <w:rPr>
      <w:rFonts w:asciiTheme="minorHAnsi" w:hAnsiTheme="minorHAnsi" w:cstheme="minorBidi"/>
      <w:noProof/>
      <w:kern w:val="0"/>
      <w:sz w:val="22"/>
      <w14:ligatures w14:val="none"/>
    </w:rPr>
  </w:style>
  <w:style w:type="character" w:styleId="FootnoteReference">
    <w:name w:val="footnote reference"/>
    <w:basedOn w:val="DefaultParagraphFont"/>
    <w:uiPriority w:val="99"/>
    <w:semiHidden/>
    <w:unhideWhenUsed/>
    <w:rsid w:val="00902A01"/>
    <w:rPr>
      <w:vertAlign w:val="superscript"/>
    </w:rPr>
  </w:style>
  <w:style w:type="paragraph" w:styleId="FootnoteText">
    <w:name w:val="footnote text"/>
    <w:basedOn w:val="Normal"/>
    <w:link w:val="FootnoteTextChar"/>
    <w:uiPriority w:val="99"/>
    <w:semiHidden/>
    <w:unhideWhenUsed/>
    <w:rsid w:val="00542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D26"/>
    <w:rPr>
      <w:sz w:val="20"/>
      <w:szCs w:val="20"/>
    </w:rPr>
  </w:style>
  <w:style w:type="character" w:styleId="UnresolvedMention">
    <w:name w:val="Unresolved Mention"/>
    <w:basedOn w:val="DefaultParagraphFont"/>
    <w:uiPriority w:val="99"/>
    <w:semiHidden/>
    <w:unhideWhenUsed/>
    <w:rsid w:val="00542D26"/>
    <w:rPr>
      <w:color w:val="605E5C"/>
      <w:shd w:val="clear" w:color="auto" w:fill="E1DFDD"/>
    </w:rPr>
  </w:style>
  <w:style w:type="paragraph" w:styleId="Header">
    <w:name w:val="header"/>
    <w:basedOn w:val="Normal"/>
    <w:link w:val="HeaderChar"/>
    <w:uiPriority w:val="99"/>
    <w:unhideWhenUsed/>
    <w:rsid w:val="002D0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D6"/>
  </w:style>
  <w:style w:type="paragraph" w:styleId="Footer">
    <w:name w:val="footer"/>
    <w:basedOn w:val="Normal"/>
    <w:link w:val="FooterChar"/>
    <w:uiPriority w:val="99"/>
    <w:unhideWhenUsed/>
    <w:rsid w:val="002D0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D6"/>
  </w:style>
  <w:style w:type="character" w:customStyle="1" w:styleId="Heading2Char">
    <w:name w:val="Heading 2 Char"/>
    <w:basedOn w:val="DefaultParagraphFont"/>
    <w:link w:val="Heading2"/>
    <w:uiPriority w:val="9"/>
    <w:rsid w:val="00FD76F1"/>
    <w:rPr>
      <w:rFonts w:eastAsiaTheme="majorEastAsia" w:cstheme="majorBidi"/>
      <w:b/>
      <w:color w:val="000000" w:themeColor="text1"/>
      <w:szCs w:val="26"/>
    </w:rPr>
  </w:style>
  <w:style w:type="character" w:customStyle="1" w:styleId="Heading3Char">
    <w:name w:val="Heading 3 Char"/>
    <w:basedOn w:val="DefaultParagraphFont"/>
    <w:link w:val="Heading3"/>
    <w:uiPriority w:val="9"/>
    <w:semiHidden/>
    <w:rsid w:val="00CA69E3"/>
    <w:rPr>
      <w:rFonts w:asciiTheme="majorHAnsi" w:eastAsiaTheme="majorEastAsia" w:hAnsiTheme="majorHAnsi" w:cstheme="majorBidi"/>
      <w:color w:val="1F3763" w:themeColor="accent1" w:themeShade="7F"/>
      <w:szCs w:val="24"/>
    </w:rPr>
  </w:style>
  <w:style w:type="paragraph" w:styleId="TOCHeading">
    <w:name w:val="TOC Heading"/>
    <w:basedOn w:val="Heading1"/>
    <w:next w:val="Normal"/>
    <w:uiPriority w:val="39"/>
    <w:unhideWhenUsed/>
    <w:qFormat/>
    <w:rsid w:val="00FC5FE5"/>
    <w:pPr>
      <w:spacing w:line="259" w:lineRule="auto"/>
      <w:ind w:firstLine="0"/>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213707"/>
    <w:pPr>
      <w:tabs>
        <w:tab w:val="right" w:leader="dot" w:pos="9347"/>
      </w:tabs>
      <w:spacing w:after="100"/>
    </w:pPr>
    <w:rPr>
      <w:rFonts w:cs="Arial"/>
      <w:noProof/>
      <w:lang w:val="mn-MN"/>
    </w:rPr>
  </w:style>
  <w:style w:type="paragraph" w:styleId="TOC2">
    <w:name w:val="toc 2"/>
    <w:basedOn w:val="Normal"/>
    <w:next w:val="Normal"/>
    <w:autoRedefine/>
    <w:uiPriority w:val="39"/>
    <w:unhideWhenUsed/>
    <w:rsid w:val="00FC5FE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369">
      <w:bodyDiv w:val="1"/>
      <w:marLeft w:val="0"/>
      <w:marRight w:val="0"/>
      <w:marTop w:val="0"/>
      <w:marBottom w:val="0"/>
      <w:divBdr>
        <w:top w:val="none" w:sz="0" w:space="0" w:color="auto"/>
        <w:left w:val="none" w:sz="0" w:space="0" w:color="auto"/>
        <w:bottom w:val="none" w:sz="0" w:space="0" w:color="auto"/>
        <w:right w:val="none" w:sz="0" w:space="0" w:color="auto"/>
      </w:divBdr>
    </w:div>
    <w:div w:id="445808536">
      <w:bodyDiv w:val="1"/>
      <w:marLeft w:val="0"/>
      <w:marRight w:val="0"/>
      <w:marTop w:val="0"/>
      <w:marBottom w:val="0"/>
      <w:divBdr>
        <w:top w:val="none" w:sz="0" w:space="0" w:color="auto"/>
        <w:left w:val="none" w:sz="0" w:space="0" w:color="auto"/>
        <w:bottom w:val="none" w:sz="0" w:space="0" w:color="auto"/>
        <w:right w:val="none" w:sz="0" w:space="0" w:color="auto"/>
      </w:divBdr>
    </w:div>
    <w:div w:id="529996775">
      <w:bodyDiv w:val="1"/>
      <w:marLeft w:val="0"/>
      <w:marRight w:val="0"/>
      <w:marTop w:val="0"/>
      <w:marBottom w:val="0"/>
      <w:divBdr>
        <w:top w:val="none" w:sz="0" w:space="0" w:color="auto"/>
        <w:left w:val="none" w:sz="0" w:space="0" w:color="auto"/>
        <w:bottom w:val="none" w:sz="0" w:space="0" w:color="auto"/>
        <w:right w:val="none" w:sz="0" w:space="0" w:color="auto"/>
      </w:divBdr>
    </w:div>
    <w:div w:id="769858620">
      <w:bodyDiv w:val="1"/>
      <w:marLeft w:val="0"/>
      <w:marRight w:val="0"/>
      <w:marTop w:val="0"/>
      <w:marBottom w:val="0"/>
      <w:divBdr>
        <w:top w:val="none" w:sz="0" w:space="0" w:color="auto"/>
        <w:left w:val="none" w:sz="0" w:space="0" w:color="auto"/>
        <w:bottom w:val="none" w:sz="0" w:space="0" w:color="auto"/>
        <w:right w:val="none" w:sz="0" w:space="0" w:color="auto"/>
      </w:divBdr>
    </w:div>
    <w:div w:id="990018726">
      <w:bodyDiv w:val="1"/>
      <w:marLeft w:val="0"/>
      <w:marRight w:val="0"/>
      <w:marTop w:val="0"/>
      <w:marBottom w:val="0"/>
      <w:divBdr>
        <w:top w:val="none" w:sz="0" w:space="0" w:color="auto"/>
        <w:left w:val="none" w:sz="0" w:space="0" w:color="auto"/>
        <w:bottom w:val="none" w:sz="0" w:space="0" w:color="auto"/>
        <w:right w:val="none" w:sz="0" w:space="0" w:color="auto"/>
      </w:divBdr>
    </w:div>
    <w:div w:id="1022828787">
      <w:bodyDiv w:val="1"/>
      <w:marLeft w:val="0"/>
      <w:marRight w:val="0"/>
      <w:marTop w:val="0"/>
      <w:marBottom w:val="0"/>
      <w:divBdr>
        <w:top w:val="none" w:sz="0" w:space="0" w:color="auto"/>
        <w:left w:val="none" w:sz="0" w:space="0" w:color="auto"/>
        <w:bottom w:val="none" w:sz="0" w:space="0" w:color="auto"/>
        <w:right w:val="none" w:sz="0" w:space="0" w:color="auto"/>
      </w:divBdr>
    </w:div>
    <w:div w:id="10411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dictionary/academy" TargetMode="External"/><Relationship Id="rId5" Type="http://schemas.openxmlformats.org/officeDocument/2006/relationships/webSettings" Target="webSettings.xml"/><Relationship Id="rId10" Type="http://schemas.openxmlformats.org/officeDocument/2006/relationships/hyperlink" Target="https://dictionary.cambridge.org/dictionary/english/academy" TargetMode="External"/><Relationship Id="rId4" Type="http://schemas.openxmlformats.org/officeDocument/2006/relationships/settings" Target="settings.xml"/><Relationship Id="rId9" Type="http://schemas.openxmlformats.org/officeDocument/2006/relationships/hyperlink" Target="https://mongoltoli.mn/dictionary/detail/303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ritannica.com/dictionary/academy" TargetMode="External"/><Relationship Id="rId2" Type="http://schemas.openxmlformats.org/officeDocument/2006/relationships/hyperlink" Target="https://dictionary.cambridge.org/dictionary/english/academy" TargetMode="External"/><Relationship Id="rId1" Type="http://schemas.openxmlformats.org/officeDocument/2006/relationships/hyperlink" Target="https://www.uih.mn/sudalgaa/s/100" TargetMode="External"/><Relationship Id="rId5" Type="http://schemas.openxmlformats.org/officeDocument/2006/relationships/hyperlink" Target="https://www.judcouncil.mn/site/news_full/13313" TargetMode="External"/><Relationship Id="rId4" Type="http://schemas.openxmlformats.org/officeDocument/2006/relationships/hyperlink" Target="https://mongoltoli.mn/dictionary/detail/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9E49-4A36-4E75-9214-D034A057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5875</Words>
  <Characters>33491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Khulan  Nayanbaatar</dc:creator>
  <cp:keywords/>
  <dc:description/>
  <cp:lastModifiedBy>Mac</cp:lastModifiedBy>
  <cp:revision>2</cp:revision>
  <dcterms:created xsi:type="dcterms:W3CDTF">2024-04-30T13:46:00Z</dcterms:created>
  <dcterms:modified xsi:type="dcterms:W3CDTF">2024-04-30T13:46:00Z</dcterms:modified>
</cp:coreProperties>
</file>