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0F77A" w14:textId="77777777" w:rsidR="00B71956" w:rsidRPr="00812D3F" w:rsidRDefault="00B71956" w:rsidP="00B71956">
      <w:pPr>
        <w:ind w:firstLine="720"/>
        <w:rPr>
          <w:rFonts w:ascii="Arial" w:hAnsi="Arial" w:cs="Arial"/>
          <w:b/>
          <w:lang w:val="mn-MN"/>
        </w:rPr>
      </w:pPr>
      <w:r w:rsidRPr="00812D3F">
        <w:rPr>
          <w:rFonts w:ascii="Arial" w:hAnsi="Arial" w:cs="Arial"/>
          <w:b/>
          <w:lang w:val="mn-MN"/>
        </w:rPr>
        <w:t>ӨНДӨР НАСНЫ ТЭТГЭВРИЙН ДООД ХЭМЖЭЭГ НЭМЭГДҮҮЛЭН ОЛГОХ</w:t>
      </w:r>
    </w:p>
    <w:p w14:paraId="7522D97C" w14:textId="77777777" w:rsidR="00B71956" w:rsidRPr="00812D3F" w:rsidRDefault="00B71956" w:rsidP="00B71956">
      <w:pPr>
        <w:jc w:val="center"/>
        <w:rPr>
          <w:rFonts w:ascii="Arial" w:hAnsi="Arial" w:cs="Arial"/>
          <w:b/>
          <w:lang w:val="mn-MN"/>
        </w:rPr>
      </w:pPr>
      <w:r w:rsidRPr="00812D3F">
        <w:rPr>
          <w:rFonts w:ascii="Arial" w:hAnsi="Arial" w:cs="Arial"/>
          <w:b/>
          <w:lang w:val="mn-MN"/>
        </w:rPr>
        <w:t>ТУХАЙ ХУУЛИЙН ТӨСЛИЙН ТАНИЛЦУУЛГА</w:t>
      </w:r>
    </w:p>
    <w:p w14:paraId="54FE65E7" w14:textId="77777777" w:rsidR="00B71956" w:rsidRPr="00812D3F" w:rsidRDefault="00B71956" w:rsidP="00B71956">
      <w:pPr>
        <w:tabs>
          <w:tab w:val="left" w:pos="7395"/>
        </w:tabs>
        <w:ind w:left="270" w:firstLine="90"/>
        <w:rPr>
          <w:rFonts w:ascii="Arial" w:hAnsi="Arial" w:cs="Arial"/>
          <w:b/>
          <w:lang w:val="mn-MN"/>
        </w:rPr>
      </w:pPr>
    </w:p>
    <w:p w14:paraId="3E983280" w14:textId="77777777" w:rsidR="00B71956" w:rsidRPr="00812D3F" w:rsidRDefault="00B71956" w:rsidP="00B71956">
      <w:pPr>
        <w:tabs>
          <w:tab w:val="left" w:pos="720"/>
        </w:tabs>
        <w:rPr>
          <w:rFonts w:ascii="Arial" w:hAnsi="Arial" w:cs="Arial"/>
          <w:b/>
          <w:lang w:val="mn-MN"/>
        </w:rPr>
      </w:pPr>
      <w:r w:rsidRPr="00812D3F">
        <w:rPr>
          <w:rFonts w:ascii="Arial" w:hAnsi="Arial" w:cs="Arial"/>
          <w:b/>
          <w:lang w:val="mn-MN"/>
        </w:rPr>
        <w:tab/>
      </w:r>
    </w:p>
    <w:p w14:paraId="6FD61B55" w14:textId="77777777" w:rsidR="00B71956" w:rsidRPr="00812D3F" w:rsidRDefault="00B71956" w:rsidP="00B71956">
      <w:pPr>
        <w:ind w:firstLine="567"/>
        <w:jc w:val="both"/>
        <w:rPr>
          <w:rFonts w:ascii="Arial" w:hAnsi="Arial" w:cs="Arial"/>
          <w:lang w:val="mn-MN"/>
        </w:rPr>
      </w:pPr>
      <w:r w:rsidRPr="00812D3F">
        <w:rPr>
          <w:rFonts w:ascii="Arial" w:hAnsi="Arial" w:cs="Arial"/>
          <w:b/>
          <w:lang w:val="mn-MN"/>
        </w:rPr>
        <w:tab/>
      </w:r>
      <w:r w:rsidRPr="00812D3F">
        <w:rPr>
          <w:rFonts w:ascii="Arial" w:eastAsia="Times New Roman" w:hAnsi="Arial" w:cs="Arial"/>
          <w:bCs/>
          <w:lang w:val="mn-MN"/>
        </w:rPr>
        <w:t xml:space="preserve">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хангахуйц бус, дутагдалтай байсаар байна. </w:t>
      </w:r>
      <w:r w:rsidRPr="00812D3F">
        <w:rPr>
          <w:rFonts w:ascii="Arial" w:hAnsi="Arial" w:cs="Arial"/>
          <w:lang w:val="mn-MN"/>
        </w:rPr>
        <w:t>Үүний нэг илрэл нь өндөр насны тэтгэвэр тогтоолгосон иргэдийн тэтгэврийн хэмжээ харилцан адилгүй, ялгаатай байгаа байдал нь шударга, энэрэнгүй зарчимд суурилдаг манай улсын тэтгэврийн тогтолцоонд нийцэхгүй байна.</w:t>
      </w:r>
    </w:p>
    <w:p w14:paraId="03E38CFC" w14:textId="77777777" w:rsidR="00B71956" w:rsidRPr="00812D3F" w:rsidRDefault="00B71956" w:rsidP="00B71956">
      <w:pPr>
        <w:jc w:val="both"/>
        <w:rPr>
          <w:rFonts w:ascii="Arial" w:eastAsia="Times New Roman" w:hAnsi="Arial" w:cs="Arial"/>
        </w:rPr>
      </w:pPr>
      <w:r w:rsidRPr="00812D3F">
        <w:rPr>
          <w:rFonts w:ascii="Arial" w:hAnsi="Arial" w:cs="Arial"/>
          <w:lang w:val="mn-MN"/>
        </w:rPr>
        <w:tab/>
      </w:r>
      <w:r w:rsidRPr="00812D3F">
        <w:rPr>
          <w:rFonts w:ascii="Arial" w:hAnsi="Arial" w:cs="Arial"/>
        </w:rPr>
        <w:t xml:space="preserve">Монгол Улсын төрөөс хүн амын нийгмийн хамгааллыг  сайжруулах бодлогыг тодорхойлж нийгмийн даатгалын тогтолцоог боловсронгуй болгон улс орныхоо онцлогт нийцсэн тэтгэврийн шинэчлэлийн бодлогыг  хэрэгжүүлэх </w:t>
      </w:r>
      <w:r w:rsidRPr="00812D3F">
        <w:rPr>
          <w:rFonts w:ascii="Arial" w:hAnsi="Arial" w:cs="Arial"/>
          <w:lang w:val="mn-MN"/>
        </w:rPr>
        <w:t xml:space="preserve">Төрөөс тэтгэврийн шинэчлэлийн талаар 2015-2030 онд баримтлах үндсэн чиглэлийн </w:t>
      </w:r>
      <w:r w:rsidRPr="00812D3F">
        <w:rPr>
          <w:rFonts w:ascii="Arial" w:eastAsia="Times New Roman" w:hAnsi="Arial" w:cs="Arial"/>
        </w:rPr>
        <w:t>2.1.1-д “Монгол Улсын ахмад настан бүр орлогын наад захын баталгаат тэтгэврээр хангагдах;</w:t>
      </w:r>
      <w:r w:rsidRPr="00812D3F">
        <w:rPr>
          <w:rFonts w:ascii="Arial" w:eastAsia="Times New Roman" w:hAnsi="Arial" w:cs="Arial"/>
          <w:lang w:val="mn-MN"/>
        </w:rPr>
        <w:t xml:space="preserve">”, </w:t>
      </w:r>
      <w:r w:rsidRPr="00812D3F">
        <w:rPr>
          <w:rFonts w:ascii="Arial" w:hAnsi="Arial" w:cs="Arial"/>
        </w:rPr>
        <w:t>3.2.1-д “тэтгэврийн хэмжээг жил бүрийн үнийн өсөлт болон дундаж цалин хөлсний өсөлттэй уялдуулан нэмэгдүүлж, шаардагдах хөрөнгийг төсөвт тусгаж байх</w:t>
      </w:r>
      <w:r w:rsidRPr="00812D3F">
        <w:rPr>
          <w:rFonts w:ascii="Arial" w:hAnsi="Arial" w:cs="Arial"/>
          <w:lang w:val="mn-MN"/>
        </w:rPr>
        <w:t xml:space="preserve">”, Монгол Улсын </w:t>
      </w:r>
      <w:r w:rsidRPr="00812D3F">
        <w:rPr>
          <w:rFonts w:ascii="Arial" w:eastAsia="Times New Roman" w:hAnsi="Arial" w:cs="Arial"/>
          <w:lang w:val="mn-MN"/>
        </w:rPr>
        <w:t xml:space="preserve">Засгийн газрын 2020-2024 оны үйл ажиллагааны хөтөлбөрийн  </w:t>
      </w:r>
      <w:r w:rsidRPr="00812D3F">
        <w:rPr>
          <w:rFonts w:ascii="Arial" w:eastAsia="Times New Roman" w:hAnsi="Arial" w:cs="Arial"/>
          <w:color w:val="333333"/>
          <w:shd w:val="clear" w:color="auto" w:fill="FFFFFF"/>
        </w:rPr>
        <w:t xml:space="preserve">2.5.5-д “Цалин хөлс, тэтгэвэр, тэтгэмжийг инфляц, хөдөлмөрийн бүтээмжтэй уялдуулан үе шаттайгаар нэмэгдүүлнэ” </w:t>
      </w:r>
      <w:r w:rsidRPr="00812D3F">
        <w:rPr>
          <w:rFonts w:ascii="Arial" w:eastAsia="Times New Roman" w:hAnsi="Arial" w:cs="Arial"/>
          <w:lang w:val="mn-MN"/>
        </w:rPr>
        <w:t xml:space="preserve"> гэж тус тус заасан.</w:t>
      </w:r>
      <w:r w:rsidRPr="00812D3F">
        <w:rPr>
          <w:rFonts w:ascii="Arial" w:eastAsia="Times New Roman" w:hAnsi="Arial" w:cs="Arial"/>
        </w:rPr>
        <w:t xml:space="preserve"> </w:t>
      </w:r>
    </w:p>
    <w:p w14:paraId="4BA451D3" w14:textId="77777777" w:rsidR="00B71956" w:rsidRPr="00812D3F" w:rsidRDefault="00B71956" w:rsidP="00B71956">
      <w:pPr>
        <w:jc w:val="both"/>
        <w:rPr>
          <w:rFonts w:ascii="Arial" w:eastAsia="Times New Roman" w:hAnsi="Arial" w:cs="Arial"/>
        </w:rPr>
      </w:pPr>
      <w:r w:rsidRPr="00812D3F">
        <w:rPr>
          <w:rFonts w:ascii="Arial" w:eastAsia="Times New Roman" w:hAnsi="Arial" w:cs="Arial"/>
        </w:rPr>
        <w:tab/>
      </w:r>
      <w:r w:rsidRPr="00812D3F">
        <w:rPr>
          <w:rFonts w:ascii="Arial" w:eastAsia="Times New Roman" w:hAnsi="Arial" w:cs="Arial"/>
          <w:lang w:val="mn-MN"/>
        </w:rPr>
        <w:t>Дээрх</w:t>
      </w:r>
      <w:r w:rsidRPr="00812D3F">
        <w:rPr>
          <w:rFonts w:ascii="Arial" w:hAnsi="Arial" w:cs="Arial"/>
          <w:lang w:val="mn-MN"/>
        </w:rPr>
        <w:t xml:space="preserve"> зорилтын хүрээнд өндөр насны тэтгэврийн доод хэмжээг нэмэгдүүлэх шаардлага зайлшгүй тулгараад байна.</w:t>
      </w:r>
    </w:p>
    <w:p w14:paraId="79E3E0EB" w14:textId="77777777" w:rsidR="00B71956" w:rsidRPr="00812D3F" w:rsidRDefault="00B71956" w:rsidP="00B71956">
      <w:pPr>
        <w:tabs>
          <w:tab w:val="left" w:pos="567"/>
        </w:tabs>
        <w:jc w:val="both"/>
        <w:rPr>
          <w:rFonts w:ascii="Arial" w:hAnsi="Arial" w:cs="Arial"/>
          <w:lang w:val="mn-MN"/>
        </w:rPr>
      </w:pPr>
    </w:p>
    <w:p w14:paraId="36388C56"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 xml:space="preserve">Сүүлийн жилүүдэд өргөн хэрэглээний бараа, үйлчилгээний үнэ ханш нэмэгдэж тэтгэвэр авагчдын худалдан авах чадварт, ялангуяа ахмад настнуудын амьжиргаанд хүндээр тусах болсон. Тухайлбал сүүлийн гурван жилийн үзүүлэлтээс харвал мах, махан бүтээгдэхүүний үнэ 23.7 хувиар, шатахууны үнэ 25 хувиар өссөн байх бөгөөд өргөн хэрэглээний гол бүтээгдэхүүнүүдийн үнэ ийнхүү өсөж байгаа нь тэтгэврээс өөр орлогогүй иргэдийг ядууралд хөтлөх, зайлшгүй шаардлагатай өдөр тутмын хэрэгцээгээ хангаж чадахгүйд хүргэж байна. </w:t>
      </w:r>
    </w:p>
    <w:p w14:paraId="326C878D"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r>
    </w:p>
    <w:p w14:paraId="0898EA91"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Үндэсний статистикийн хорооноос гаргасан Өрхийн нийгэм, эдийн засгийн судалгааны 2020 оны 2 дугаар улирлын танилцуулгад өрхийн сарын дундаж нийт зарлага оны үнээр 1.5 сая төгрөг болж, өмнөх оны мөн үеэс 131.0 (9.3%) мянган төгрөгөөр өссөн, өрхийн сарын дундаж (үнийн нөлөөллийг арилган тооцсон) бодит нийт зарлагын хэмжээ 1.2 сая төгрөг болж, өмнөх оны мөн үеэс 70.4 (6.1%) мянган төгрөгөөр өссөн, үүнд хүнсний бус бараа, үйлчилгээний бодит зарлага 71.2 (10.1%) мянган төгрөгөөр өссөн нь нөлөөлсөн гэж дурджээ.</w:t>
      </w:r>
    </w:p>
    <w:p w14:paraId="6D6B74F2"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r>
    </w:p>
    <w:p w14:paraId="4E725190"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 xml:space="preserve">2020 оны 08 дугаар сарын 14-ний өдрийн байдлаар Нийгмийн даатгалын сангаас нийт 441,201 мянган хүн өндөр насны тэтгэвэр авч байгаагаас 277,527 орчим нь 500,000 /таван зуун мянга/ төгрөгөөс доош тэтгэвэр авч байна. Үүнийг өрхийн дундаж зарлагын хэмжээтэй харьцуулан авч үзвэл нийт ахмадуудын 60 орчим хувь нь 500,000 /таван зуун мянга/ төгрөг хүрэхгүй тэтгэвэр авч, нэг өрхийн хоёр өндөр настан нийлээд дээр дурдсан өрхийн дундаж зарлагын 50 хувьд ч хүрэхээргүй хэмжээний тэтгэврийн орлогоор амьдрах дүр зураг харагдаж буй </w:t>
      </w:r>
      <w:r w:rsidRPr="00812D3F">
        <w:rPr>
          <w:rFonts w:ascii="Arial" w:hAnsi="Arial" w:cs="Arial"/>
          <w:lang w:val="mn-MN"/>
        </w:rPr>
        <w:lastRenderedPageBreak/>
        <w:t xml:space="preserve">бөгөөд энэ нь улс орон, үр хүүхэд, хойч ирээдүйнхээ төлөө насаараа зүтгэн хөдөлмөрлөсөн, тэтгэврээс өөр орлогогүй ахмадуудыг амьдралынхаа наад захын хэрэгцээг хангаж чадахгүй, нэн ядуу нөхцөлд амьдрахаас өөр аргагүйд хүргэж байна. </w:t>
      </w:r>
    </w:p>
    <w:p w14:paraId="12AFDFA6"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r>
    </w:p>
    <w:p w14:paraId="0023B116"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Үндэсний статистикийн хорооноос Дэлхийн банктай хамтран хоёр жил тутамд танилцуулдаг ядуурлын түвшингийн 2018 оны үзүүлэлтээр Монгол Улсын нийт хүн амын 28.4 хувь буюу 904,900 хүн ядуу амьдарч байгааг тогтоожээ.</w:t>
      </w:r>
    </w:p>
    <w:p w14:paraId="744D3AEF"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r>
    </w:p>
    <w:p w14:paraId="51DAC787"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 xml:space="preserve">Эдгээр ядуу иргэдийн тоонд өндөр насны тэтгэврээр амьдардаг ахмадуудын олонх нь хамаарах болсныг амьдралын бодит нөхцөл, авч буй тэтгэврийн нь хувь хэмжээ бүрэн нотлохоор байгаа бөгөөд нөгөө талаас гурван хүн тутмын нэг нь ядуу амьдарч буй энэхүү эмгэнэлтэй үзүүлэлт нотлон харуулж байна.  </w:t>
      </w:r>
    </w:p>
    <w:p w14:paraId="51257310"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r>
    </w:p>
    <w:p w14:paraId="24BC11AB"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УИХ-ын гишүүд орон нутагт ажиллах үеэр санал бодлоо илэрхийлсэн иргэдийн олонх нь ахмад настнуудын ахуй амьдралыг онцгойлон анхаарах, тэдний авч буй тэтгэврийн доод хэмжээг амьдралд нь хүрэлцэхүйц хэмжээгээр нэмэгдүүлэхэд чиглэсэн хууль эрх зүйн орчинг нэн даруй бүрдүүлэх шаардлага тавьж, төрөөс тодорхой бодлого, шийдэл гарахыг хүлээж байгаагаа мэдэгдэн, тодорхой арга хэмжээ авахыг уламжилсан байсан.</w:t>
      </w:r>
    </w:p>
    <w:p w14:paraId="5DFE9354"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r>
    </w:p>
    <w:p w14:paraId="0A66DEED"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Дээр дурдсан хууль зүйн болон практик, бусад үндэслэл шаардлагын хүрээнд Монгол Улсын эдийн засаг, нийгмийн амьдралын хөгжил, үүнээс үүдэн гарсан нөхцөл байдлыг харгалзан, ахмад настнуудын амьдралын нөхцөл чанарыг сайжруулах болон учирч байгаа хүндрэл бэрхшээлийг нь шийдвэрлэх зайлшгүй шаардлага бий болсон хэмээн дүгнэж, өндөр насны тэтгэврийн доод хэмжээг нэмэгдүүлэн олгох тухай хуулийн төслийг боловсруулсан болно.</w:t>
      </w:r>
    </w:p>
    <w:p w14:paraId="2782E2AC"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r>
    </w:p>
    <w:p w14:paraId="633E9947"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Энэхүү хуулийн төслийг холбогдох төрийн болон төрийн бус байгууллага, иргэдээс нээлттэй санал авч, бие даасан хуулийн хэлбэрээр боловсрууллаа.</w:t>
      </w:r>
    </w:p>
    <w:p w14:paraId="738B2CDB" w14:textId="77777777" w:rsidR="00B71956" w:rsidRPr="00812D3F" w:rsidRDefault="00B71956" w:rsidP="00B71956">
      <w:pPr>
        <w:tabs>
          <w:tab w:val="left" w:pos="720"/>
        </w:tabs>
        <w:jc w:val="both"/>
        <w:rPr>
          <w:rFonts w:ascii="Arial" w:hAnsi="Arial" w:cs="Arial"/>
          <w:bCs/>
          <w:lang w:val="mn-MN"/>
        </w:rPr>
      </w:pPr>
    </w:p>
    <w:p w14:paraId="3D44B543"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 xml:space="preserve">Энэхүү хуулийн зорилт нь нийгмийн даатгалын сангаас өндөр насны тэтгэвэр авагч иргэдийн тэтгэврийн доод хэмжээг таван зуун мянган төгрөгт хүргэн нэмэгдүүлж олгохтой холбогдсон харилцааг зохицуулж байгаа тул төрийн байгууллага, хуулийн этгээдэд үйл ажиллагааны зардал үүсгэхгүй, шинээр бүтэц бий болохгүй, нэмэлт ажилтан шаардагдахгүй, нийгэмд эерэг нөлөө үзүүлнэ. </w:t>
      </w:r>
    </w:p>
    <w:p w14:paraId="0FEA8DCE" w14:textId="77777777" w:rsidR="00B71956" w:rsidRPr="00812D3F" w:rsidRDefault="00B71956" w:rsidP="00B71956">
      <w:pPr>
        <w:spacing w:before="100" w:beforeAutospacing="1" w:after="200"/>
        <w:ind w:firstLine="567"/>
        <w:jc w:val="both"/>
        <w:rPr>
          <w:rFonts w:ascii="Arial" w:eastAsia="Times New Roman" w:hAnsi="Arial" w:cs="Arial"/>
          <w:bCs/>
          <w:color w:val="000000"/>
          <w:lang w:val="mn-MN"/>
        </w:rPr>
      </w:pPr>
      <w:r w:rsidRPr="00812D3F">
        <w:rPr>
          <w:rFonts w:ascii="Arial" w:eastAsia="Times New Roman" w:hAnsi="Arial" w:cs="Arial"/>
          <w:bCs/>
          <w:color w:val="000000"/>
          <w:lang w:val="mn-MN"/>
        </w:rPr>
        <w:t>Хуулийн төсөл батлагдсанаар тэтгэвэр авагч иргэдийн амьжиргаа, амьдралын чанар сайжирч, тэтгэврээ олон сар, жилээр барьцаалж зээл авах нөхцөл буурна. Ядуу иргэдийн тоо буурч, иргэд Нийгмийн даатгалын шимтгэл төлөхдөө ирээдүйдээ итгэлтэй байна.</w:t>
      </w:r>
      <w:r w:rsidRPr="00812D3F">
        <w:rPr>
          <w:rFonts w:ascii="Arial" w:hAnsi="Arial" w:cs="Arial"/>
          <w:b/>
          <w:lang w:val="mn-MN"/>
        </w:rPr>
        <w:t xml:space="preserve"> </w:t>
      </w:r>
    </w:p>
    <w:p w14:paraId="344ECFBC" w14:textId="77777777" w:rsidR="00B71956" w:rsidRPr="00812D3F" w:rsidRDefault="00B71956" w:rsidP="00B71956">
      <w:pPr>
        <w:tabs>
          <w:tab w:val="left" w:pos="720"/>
        </w:tabs>
        <w:jc w:val="both"/>
        <w:rPr>
          <w:rFonts w:ascii="Arial" w:hAnsi="Arial" w:cs="Arial"/>
          <w:lang w:val="mn-MN"/>
        </w:rPr>
      </w:pPr>
      <w:r w:rsidRPr="00812D3F">
        <w:rPr>
          <w:rFonts w:ascii="Arial" w:hAnsi="Arial" w:cs="Arial"/>
          <w:lang w:val="mn-MN"/>
        </w:rPr>
        <w:tab/>
        <w:t>Энэхүү хуулийн төсөл нь Монгол Улсын Үндсэн хууль, Монгол Улсын нэгдэн орсон олон улсын гэрээ, конвенц болон бусад хууль тогтоомжид нийцсэн болно.</w:t>
      </w:r>
    </w:p>
    <w:p w14:paraId="4E84261B" w14:textId="77777777" w:rsidR="00B71956" w:rsidRPr="00812D3F" w:rsidRDefault="00B71956" w:rsidP="00B71956">
      <w:pPr>
        <w:tabs>
          <w:tab w:val="left" w:pos="720"/>
        </w:tabs>
        <w:jc w:val="both"/>
        <w:rPr>
          <w:rFonts w:ascii="Arial" w:hAnsi="Arial" w:cs="Arial"/>
          <w:lang w:val="mn-MN"/>
        </w:rPr>
      </w:pPr>
    </w:p>
    <w:p w14:paraId="3EB6A63C" w14:textId="77777777" w:rsidR="00B71956" w:rsidRPr="00812D3F" w:rsidRDefault="00B71956" w:rsidP="00B71956">
      <w:pPr>
        <w:jc w:val="center"/>
        <w:rPr>
          <w:rFonts w:ascii="Arial" w:hAnsi="Arial" w:cs="Arial"/>
          <w:lang w:val="mn-MN"/>
        </w:rPr>
      </w:pPr>
      <w:r w:rsidRPr="00812D3F">
        <w:rPr>
          <w:rFonts w:ascii="Arial" w:hAnsi="Arial" w:cs="Arial"/>
          <w:lang w:val="mn-MN"/>
        </w:rPr>
        <w:t>ХУУЛЬ САНААЧЛАГЧ</w:t>
      </w:r>
    </w:p>
    <w:p w14:paraId="00143021" w14:textId="77777777" w:rsidR="00B71956" w:rsidRPr="00812D3F" w:rsidRDefault="00B71956" w:rsidP="00B71956">
      <w:pPr>
        <w:tabs>
          <w:tab w:val="left" w:pos="720"/>
        </w:tabs>
        <w:jc w:val="both"/>
        <w:rPr>
          <w:rFonts w:ascii="Arial" w:hAnsi="Arial" w:cs="Arial"/>
          <w:lang w:val="mn-MN"/>
        </w:rPr>
      </w:pPr>
    </w:p>
    <w:p w14:paraId="21871DC9" w14:textId="77777777" w:rsidR="00B71956" w:rsidRPr="000611AB" w:rsidRDefault="00B71956" w:rsidP="00B71956">
      <w:pPr>
        <w:tabs>
          <w:tab w:val="left" w:pos="720"/>
        </w:tabs>
        <w:jc w:val="center"/>
        <w:rPr>
          <w:rFonts w:ascii="Arial" w:hAnsi="Arial" w:cs="Arial"/>
          <w:lang w:val="mn-MN"/>
        </w:rPr>
      </w:pPr>
      <w:r w:rsidRPr="00812D3F">
        <w:rPr>
          <w:rFonts w:ascii="Arial" w:hAnsi="Arial" w:cs="Arial"/>
          <w:lang w:val="mn-MN"/>
        </w:rPr>
        <w:lastRenderedPageBreak/>
        <w:t>---оОо---</w:t>
      </w:r>
    </w:p>
    <w:p w14:paraId="36F9D615" w14:textId="77777777" w:rsidR="00A038E3" w:rsidRDefault="00B71956"/>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56"/>
    <w:rsid w:val="006D2A05"/>
    <w:rsid w:val="00AD409C"/>
    <w:rsid w:val="00B7195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F18E"/>
  <w15:chartTrackingRefBased/>
  <w15:docId w15:val="{66D34981-4D5B-BC4B-BDF0-7EB02135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956"/>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2021-03-31T08:17:00Z</dcterms:created>
  <dcterms:modified xsi:type="dcterms:W3CDTF">2021-03-31T08:17:00Z</dcterms:modified>
</cp:coreProperties>
</file>