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9B832" w14:textId="77777777" w:rsidR="007A1205" w:rsidRPr="00A32326" w:rsidRDefault="00250F26" w:rsidP="00350F93">
      <w:pPr>
        <w:jc w:val="right"/>
      </w:pPr>
      <w:r>
        <w:t xml:space="preserve">Төсөл </w:t>
      </w:r>
    </w:p>
    <w:p w14:paraId="4DCC2331" w14:textId="77777777" w:rsidR="00350F93" w:rsidRDefault="00350F93" w:rsidP="007A1205">
      <w:pPr>
        <w:jc w:val="center"/>
        <w:rPr>
          <w:b/>
          <w:bCs/>
        </w:rPr>
      </w:pPr>
    </w:p>
    <w:p w14:paraId="2B6EDE27" w14:textId="77777777" w:rsidR="007A1205" w:rsidRPr="00A32326" w:rsidRDefault="007A1205" w:rsidP="007A1205">
      <w:pPr>
        <w:jc w:val="center"/>
        <w:rPr>
          <w:b/>
          <w:bCs/>
        </w:rPr>
      </w:pPr>
      <w:r w:rsidRPr="00A32326">
        <w:rPr>
          <w:b/>
          <w:bCs/>
        </w:rPr>
        <w:t>МОНГОЛ УЛСЫН ХУУЛЬ</w:t>
      </w:r>
    </w:p>
    <w:p w14:paraId="574D3F5B" w14:textId="77777777" w:rsidR="007A1205" w:rsidRPr="00A32326" w:rsidRDefault="007A1205" w:rsidP="00C0077A"/>
    <w:p w14:paraId="498460F2" w14:textId="77777777" w:rsidR="00250F26" w:rsidRDefault="007A1205" w:rsidP="007A1205">
      <w:r w:rsidRPr="00A32326">
        <w:t xml:space="preserve">2024 оны …. </w:t>
      </w:r>
      <w:r w:rsidR="00250F26">
        <w:t>с</w:t>
      </w:r>
      <w:r w:rsidRPr="00A32326">
        <w:t>арын</w:t>
      </w:r>
      <w:r w:rsidR="00250F26">
        <w:t xml:space="preserve">                                                                                        Улаанбаатар</w:t>
      </w:r>
    </w:p>
    <w:p w14:paraId="76880A6A" w14:textId="77777777" w:rsidR="007A1205" w:rsidRPr="00A32326" w:rsidRDefault="007A1205" w:rsidP="007A1205">
      <w:r w:rsidRPr="00A32326">
        <w:t xml:space="preserve"> ….-ны өдөр</w:t>
      </w:r>
      <w:r w:rsidRPr="00A32326">
        <w:tab/>
      </w:r>
      <w:r w:rsidRPr="00A32326">
        <w:tab/>
      </w:r>
      <w:r w:rsidRPr="00A32326">
        <w:tab/>
      </w:r>
      <w:r w:rsidR="00250F26">
        <w:t xml:space="preserve">                                                                                     </w:t>
      </w:r>
      <w:r w:rsidRPr="00A32326">
        <w:t xml:space="preserve"> хот</w:t>
      </w:r>
    </w:p>
    <w:p w14:paraId="5C0470ED" w14:textId="77777777" w:rsidR="007A1205" w:rsidRPr="00A32326" w:rsidRDefault="007A1205" w:rsidP="007A1205"/>
    <w:p w14:paraId="316D2E02" w14:textId="77777777" w:rsidR="007A1205" w:rsidRPr="00A32326" w:rsidRDefault="007A1205" w:rsidP="007A1205"/>
    <w:p w14:paraId="448ACA82" w14:textId="77777777" w:rsidR="007A1205" w:rsidRPr="00A32326" w:rsidRDefault="00554FB7" w:rsidP="007A1205">
      <w:pPr>
        <w:jc w:val="center"/>
        <w:rPr>
          <w:b/>
          <w:bCs/>
        </w:rPr>
      </w:pPr>
      <w:r w:rsidRPr="00A32326">
        <w:rPr>
          <w:b/>
          <w:bCs/>
        </w:rPr>
        <w:t>ХУУЛЬ</w:t>
      </w:r>
      <w:r w:rsidR="0075357F">
        <w:rPr>
          <w:b/>
          <w:bCs/>
        </w:rPr>
        <w:t xml:space="preserve"> ТОГТООМЖИЙН </w:t>
      </w:r>
      <w:r w:rsidR="007A1205" w:rsidRPr="00A32326">
        <w:rPr>
          <w:b/>
          <w:bCs/>
        </w:rPr>
        <w:t xml:space="preserve">ТУХАЙ ХУУЛЬД </w:t>
      </w:r>
    </w:p>
    <w:p w14:paraId="1B87B785" w14:textId="77777777" w:rsidR="007A1205" w:rsidRPr="00A32326" w:rsidRDefault="00554FB7" w:rsidP="007A1205">
      <w:pPr>
        <w:jc w:val="center"/>
        <w:rPr>
          <w:b/>
          <w:bCs/>
        </w:rPr>
      </w:pPr>
      <w:r w:rsidRPr="00A32326">
        <w:rPr>
          <w:b/>
          <w:bCs/>
        </w:rPr>
        <w:t>НЭМЭЛТ</w:t>
      </w:r>
      <w:r w:rsidR="007A1205" w:rsidRPr="00A32326">
        <w:rPr>
          <w:b/>
          <w:bCs/>
        </w:rPr>
        <w:t xml:space="preserve"> ОРУУЛАХ ТУХАЙ</w:t>
      </w:r>
    </w:p>
    <w:p w14:paraId="40981812" w14:textId="77777777" w:rsidR="007A1205" w:rsidRPr="00A32326" w:rsidRDefault="007A1205" w:rsidP="009423D3">
      <w:pPr>
        <w:rPr>
          <w:b/>
          <w:bCs/>
        </w:rPr>
      </w:pPr>
    </w:p>
    <w:p w14:paraId="29A5F827" w14:textId="08C7ABB4" w:rsidR="00250F26" w:rsidRPr="00A74942" w:rsidRDefault="007A1205" w:rsidP="00A74942">
      <w:pPr>
        <w:spacing w:after="120" w:line="276" w:lineRule="auto"/>
        <w:ind w:firstLine="720"/>
        <w:jc w:val="both"/>
        <w:rPr>
          <w:color w:val="000000" w:themeColor="text1"/>
        </w:rPr>
      </w:pPr>
      <w:r w:rsidRPr="00A32326">
        <w:rPr>
          <w:b/>
          <w:bCs/>
        </w:rPr>
        <w:t>1 дүгээр зүйл.</w:t>
      </w:r>
      <w:r w:rsidR="00554FB7" w:rsidRPr="00350F93">
        <w:rPr>
          <w:color w:val="000000" w:themeColor="text1"/>
        </w:rPr>
        <w:t>Хууль</w:t>
      </w:r>
      <w:r w:rsidR="0075357F" w:rsidRPr="00350F93">
        <w:rPr>
          <w:color w:val="000000" w:themeColor="text1"/>
        </w:rPr>
        <w:t xml:space="preserve"> тогтоомжийн тухай </w:t>
      </w:r>
      <w:r w:rsidRPr="00350F93">
        <w:rPr>
          <w:color w:val="000000" w:themeColor="text1"/>
        </w:rPr>
        <w:t>хуул</w:t>
      </w:r>
      <w:r w:rsidR="00D3383A" w:rsidRPr="00350F93">
        <w:rPr>
          <w:color w:val="000000" w:themeColor="text1"/>
        </w:rPr>
        <w:t>ьд</w:t>
      </w:r>
      <w:r w:rsidRPr="00350F93">
        <w:rPr>
          <w:color w:val="000000" w:themeColor="text1"/>
        </w:rPr>
        <w:t xml:space="preserve"> </w:t>
      </w:r>
      <w:r w:rsidR="00917814" w:rsidRPr="00350F93">
        <w:rPr>
          <w:color w:val="000000" w:themeColor="text1"/>
        </w:rPr>
        <w:t>до</w:t>
      </w:r>
      <w:r w:rsidR="0075357F" w:rsidRPr="00350F93">
        <w:rPr>
          <w:color w:val="000000" w:themeColor="text1"/>
        </w:rPr>
        <w:t>о</w:t>
      </w:r>
      <w:r w:rsidR="00917814" w:rsidRPr="00350F93">
        <w:rPr>
          <w:color w:val="000000" w:themeColor="text1"/>
        </w:rPr>
        <w:t>р дурдсан</w:t>
      </w:r>
      <w:r w:rsidR="00250F26" w:rsidRPr="00350F93">
        <w:rPr>
          <w:color w:val="000000" w:themeColor="text1"/>
        </w:rPr>
        <w:t xml:space="preserve"> агуулгатай</w:t>
      </w:r>
      <w:r w:rsidR="00917814" w:rsidRPr="00350F93">
        <w:rPr>
          <w:color w:val="000000" w:themeColor="text1"/>
        </w:rPr>
        <w:t xml:space="preserve"> </w:t>
      </w:r>
      <w:proofErr w:type="spellStart"/>
      <w:r w:rsidR="003B0311" w:rsidRPr="00350F93">
        <w:rPr>
          <w:color w:val="000000" w:themeColor="text1"/>
          <w:lang w:val="en-US"/>
        </w:rPr>
        <w:t>дараах</w:t>
      </w:r>
      <w:proofErr w:type="spellEnd"/>
      <w:r w:rsidR="003B0311" w:rsidRPr="00350F93">
        <w:rPr>
          <w:color w:val="000000" w:themeColor="text1"/>
          <w:lang w:val="en-US"/>
        </w:rPr>
        <w:t xml:space="preserve"> </w:t>
      </w:r>
      <w:r w:rsidR="0075357F" w:rsidRPr="00350F93">
        <w:rPr>
          <w:color w:val="000000" w:themeColor="text1"/>
        </w:rPr>
        <w:t>29</w:t>
      </w:r>
      <w:r w:rsidR="00D3383A" w:rsidRPr="00350F93">
        <w:rPr>
          <w:color w:val="000000" w:themeColor="text1"/>
          <w:vertAlign w:val="superscript"/>
        </w:rPr>
        <w:t>1</w:t>
      </w:r>
      <w:r w:rsidR="00D3383A" w:rsidRPr="00350F93">
        <w:rPr>
          <w:color w:val="000000" w:themeColor="text1"/>
        </w:rPr>
        <w:t xml:space="preserve"> дүгээр зүйл</w:t>
      </w:r>
      <w:r w:rsidR="00917814" w:rsidRPr="00350F93">
        <w:rPr>
          <w:color w:val="000000" w:themeColor="text1"/>
        </w:rPr>
        <w:t xml:space="preserve"> нэмсүгэй:</w:t>
      </w:r>
    </w:p>
    <w:p w14:paraId="5F2DA6CA" w14:textId="06C96A31" w:rsidR="008070D9" w:rsidRPr="00950918" w:rsidRDefault="008070D9" w:rsidP="008070D9">
      <w:pPr>
        <w:spacing w:after="120" w:line="276" w:lineRule="auto"/>
        <w:ind w:firstLine="720"/>
        <w:jc w:val="both"/>
        <w:rPr>
          <w:lang w:val="en-US"/>
        </w:rPr>
      </w:pPr>
      <w:r>
        <w:rPr>
          <w:b/>
          <w:bCs/>
        </w:rPr>
        <w:t>“</w:t>
      </w:r>
      <w:r w:rsidR="00A37FBB">
        <w:rPr>
          <w:b/>
          <w:bCs/>
        </w:rPr>
        <w:t>2</w:t>
      </w:r>
      <w:r w:rsidRPr="00A32326">
        <w:rPr>
          <w:b/>
          <w:bCs/>
        </w:rPr>
        <w:t>9</w:t>
      </w:r>
      <w:r w:rsidRPr="00A32326">
        <w:rPr>
          <w:b/>
          <w:bCs/>
          <w:vertAlign w:val="superscript"/>
        </w:rPr>
        <w:t xml:space="preserve">1 </w:t>
      </w:r>
      <w:r w:rsidRPr="00A32326">
        <w:rPr>
          <w:b/>
          <w:bCs/>
        </w:rPr>
        <w:t>дүгээр зүйл.</w:t>
      </w:r>
      <w:r w:rsidR="0075357F">
        <w:rPr>
          <w:b/>
          <w:bCs/>
        </w:rPr>
        <w:t xml:space="preserve">Хуулийн төсөлд захиргааны </w:t>
      </w:r>
      <w:r w:rsidR="00A74942">
        <w:rPr>
          <w:b/>
          <w:bCs/>
        </w:rPr>
        <w:t xml:space="preserve">хэм хэмжээний акт </w:t>
      </w:r>
      <w:r w:rsidR="00184DC7">
        <w:rPr>
          <w:b/>
          <w:bCs/>
        </w:rPr>
        <w:t>батлах</w:t>
      </w:r>
      <w:r w:rsidR="0075357F">
        <w:rPr>
          <w:b/>
          <w:bCs/>
        </w:rPr>
        <w:t xml:space="preserve"> эрх шилжүүл</w:t>
      </w:r>
      <w:r w:rsidR="00184DC7">
        <w:rPr>
          <w:b/>
          <w:bCs/>
        </w:rPr>
        <w:t>эх</w:t>
      </w:r>
    </w:p>
    <w:p w14:paraId="3B14B40F" w14:textId="0B8F3E15" w:rsidR="00A74942" w:rsidRPr="00A37FBB" w:rsidRDefault="00A74942" w:rsidP="00A74942">
      <w:pPr>
        <w:spacing w:after="120" w:line="276" w:lineRule="auto"/>
        <w:ind w:firstLine="720"/>
        <w:jc w:val="both"/>
        <w:rPr>
          <w:lang w:val="en-US"/>
        </w:rPr>
      </w:pPr>
      <w:r>
        <w:t>2</w:t>
      </w:r>
      <w:r w:rsidRPr="008B0049">
        <w:t>9</w:t>
      </w:r>
      <w:r w:rsidRPr="008B0049">
        <w:rPr>
          <w:vertAlign w:val="superscript"/>
        </w:rPr>
        <w:t>1</w:t>
      </w:r>
      <w:r>
        <w:t>.1.Хуулийн төсөлд тухайн хуулийг хэрэгжүүлэх зорилгоор тодорхой хүрээ, хязгаарын дотор захиргааны хэм хэмжээ</w:t>
      </w:r>
      <w:r w:rsidR="00570FDB">
        <w:t>ний акт батлах</w:t>
      </w:r>
      <w:r>
        <w:t xml:space="preserve"> эрхийг хууль тогтоогч холбогдох этгээдэд шилжүүлсэн агуулга бүхий зохицуулалт тусгахад дараах шаардлагыг хангасан байна</w:t>
      </w:r>
      <w:r>
        <w:rPr>
          <w:lang w:val="en-US"/>
        </w:rPr>
        <w:t>:</w:t>
      </w:r>
      <w:r>
        <w:t xml:space="preserve"> </w:t>
      </w:r>
    </w:p>
    <w:p w14:paraId="244C811D" w14:textId="1320D5EF" w:rsidR="00A74942" w:rsidRPr="00A32326" w:rsidRDefault="00A74942" w:rsidP="00A74942">
      <w:pPr>
        <w:pStyle w:val="NormalWeb"/>
        <w:spacing w:after="120" w:line="276" w:lineRule="auto"/>
        <w:ind w:firstLine="1440"/>
        <w:jc w:val="both"/>
        <w:rPr>
          <w:rFonts w:ascii="Arial" w:hAnsi="Arial" w:cs="Arial"/>
        </w:rPr>
      </w:pPr>
      <w:r>
        <w:rPr>
          <w:rFonts w:ascii="Arial" w:hAnsi="Arial" w:cs="Arial"/>
        </w:rPr>
        <w:t>29</w:t>
      </w:r>
      <w:r>
        <w:rPr>
          <w:rFonts w:ascii="Arial" w:hAnsi="Arial" w:cs="Arial"/>
          <w:vertAlign w:val="superscript"/>
        </w:rPr>
        <w:t>1</w:t>
      </w:r>
      <w:r w:rsidRPr="00A32326">
        <w:rPr>
          <w:rFonts w:ascii="Arial" w:hAnsi="Arial" w:cs="Arial"/>
        </w:rPr>
        <w:t>.</w:t>
      </w:r>
      <w:r>
        <w:rPr>
          <w:rFonts w:ascii="Arial" w:hAnsi="Arial" w:cs="Arial"/>
        </w:rPr>
        <w:t>1</w:t>
      </w:r>
      <w:r w:rsidRPr="00A32326">
        <w:rPr>
          <w:rFonts w:ascii="Arial" w:hAnsi="Arial" w:cs="Arial"/>
        </w:rPr>
        <w:t>.</w:t>
      </w:r>
      <w:r>
        <w:rPr>
          <w:rFonts w:ascii="Arial" w:hAnsi="Arial" w:cs="Arial"/>
        </w:rPr>
        <w:t>1.захиргааны хэм х</w:t>
      </w:r>
      <w:r w:rsidR="00570FDB">
        <w:rPr>
          <w:rFonts w:ascii="Arial" w:hAnsi="Arial" w:cs="Arial"/>
        </w:rPr>
        <w:t>эмжээний акт батлах</w:t>
      </w:r>
      <w:r>
        <w:rPr>
          <w:rFonts w:ascii="Arial" w:hAnsi="Arial" w:cs="Arial"/>
        </w:rPr>
        <w:t xml:space="preserve"> эрх шилжүүлсэн </w:t>
      </w:r>
      <w:r w:rsidR="00184DC7">
        <w:rPr>
          <w:rFonts w:ascii="Arial" w:hAnsi="Arial" w:cs="Arial"/>
        </w:rPr>
        <w:t>зохицуулалтад</w:t>
      </w:r>
      <w:r>
        <w:rPr>
          <w:rFonts w:ascii="Arial" w:hAnsi="Arial" w:cs="Arial"/>
        </w:rPr>
        <w:t xml:space="preserve"> тухайн хэм хэмжээний зорилго, зохицуулах хүрээ, хязгаарыг тодорхой тусгасан</w:t>
      </w:r>
      <w:r w:rsidRPr="00A32326">
        <w:rPr>
          <w:rFonts w:ascii="Arial" w:hAnsi="Arial" w:cs="Arial"/>
        </w:rPr>
        <w:t xml:space="preserve"> байх</w:t>
      </w:r>
      <w:r w:rsidRPr="00287AE2">
        <w:rPr>
          <w:rFonts w:ascii="Arial" w:hAnsi="Arial" w:cs="Arial"/>
        </w:rPr>
        <w:t>;</w:t>
      </w:r>
    </w:p>
    <w:p w14:paraId="2601EAF6" w14:textId="08F254F2" w:rsidR="00A74942" w:rsidRDefault="00A74942" w:rsidP="00A74942">
      <w:pPr>
        <w:pStyle w:val="NormalWeb"/>
        <w:spacing w:after="120" w:line="276" w:lineRule="auto"/>
        <w:ind w:firstLine="1418"/>
        <w:jc w:val="both"/>
        <w:rPr>
          <w:rFonts w:ascii="Arial" w:hAnsi="Arial" w:cs="Arial"/>
        </w:rPr>
      </w:pPr>
      <w:r>
        <w:rPr>
          <w:rFonts w:ascii="Arial" w:hAnsi="Arial" w:cs="Arial"/>
        </w:rPr>
        <w:t>29</w:t>
      </w:r>
      <w:r>
        <w:rPr>
          <w:rFonts w:ascii="Arial" w:hAnsi="Arial" w:cs="Arial"/>
          <w:vertAlign w:val="superscript"/>
        </w:rPr>
        <w:t>1</w:t>
      </w:r>
      <w:r w:rsidRPr="00A32326">
        <w:rPr>
          <w:rFonts w:ascii="Arial" w:hAnsi="Arial" w:cs="Arial"/>
        </w:rPr>
        <w:t>.</w:t>
      </w:r>
      <w:r>
        <w:rPr>
          <w:rFonts w:ascii="Arial" w:hAnsi="Arial" w:cs="Arial"/>
        </w:rPr>
        <w:t>1</w:t>
      </w:r>
      <w:r w:rsidRPr="00A32326">
        <w:rPr>
          <w:rFonts w:ascii="Arial" w:hAnsi="Arial" w:cs="Arial"/>
        </w:rPr>
        <w:t>.</w:t>
      </w:r>
      <w:r>
        <w:rPr>
          <w:rFonts w:ascii="Arial" w:hAnsi="Arial" w:cs="Arial"/>
        </w:rPr>
        <w:t>2</w:t>
      </w:r>
      <w:r w:rsidRPr="00A32326">
        <w:rPr>
          <w:rFonts w:ascii="Arial" w:hAnsi="Arial" w:cs="Arial"/>
        </w:rPr>
        <w:t>.</w:t>
      </w:r>
      <w:r>
        <w:rPr>
          <w:rFonts w:ascii="Arial" w:hAnsi="Arial" w:cs="Arial"/>
        </w:rPr>
        <w:t>захиргааны хэм хэмжээ</w:t>
      </w:r>
      <w:r w:rsidR="00570FDB">
        <w:rPr>
          <w:rFonts w:ascii="Arial" w:hAnsi="Arial" w:cs="Arial"/>
        </w:rPr>
        <w:t>ний актаар</w:t>
      </w:r>
      <w:r>
        <w:rPr>
          <w:rFonts w:ascii="Arial" w:hAnsi="Arial" w:cs="Arial"/>
        </w:rPr>
        <w:t xml:space="preserve"> зохицуулах харилцаа нь эрх шилжүүлэн авч буй этгээдийн үндсэн чиг үүрэгт хамааралтай байх</w:t>
      </w:r>
      <w:r>
        <w:rPr>
          <w:rFonts w:ascii="Arial" w:hAnsi="Arial" w:cs="Arial"/>
          <w:lang w:val="en-US"/>
        </w:rPr>
        <w:t>.</w:t>
      </w:r>
      <w:r>
        <w:rPr>
          <w:rFonts w:ascii="Arial" w:hAnsi="Arial" w:cs="Arial"/>
        </w:rPr>
        <w:tab/>
      </w:r>
    </w:p>
    <w:p w14:paraId="329FA666" w14:textId="6526E7F7" w:rsidR="00A74942" w:rsidRPr="00C75DF9" w:rsidRDefault="00A74942" w:rsidP="00A74942">
      <w:pPr>
        <w:pStyle w:val="NormalWeb"/>
        <w:spacing w:after="120" w:line="276" w:lineRule="auto"/>
        <w:ind w:firstLine="720"/>
        <w:jc w:val="both"/>
        <w:rPr>
          <w:rFonts w:ascii="Arial" w:hAnsi="Arial" w:cs="Arial"/>
          <w:lang w:val="en-US"/>
        </w:rPr>
      </w:pPr>
      <w:r>
        <w:rPr>
          <w:rFonts w:ascii="Arial" w:hAnsi="Arial" w:cs="Arial"/>
        </w:rPr>
        <w:t>29</w:t>
      </w:r>
      <w:r>
        <w:rPr>
          <w:rFonts w:ascii="Arial" w:hAnsi="Arial" w:cs="Arial"/>
          <w:vertAlign w:val="superscript"/>
        </w:rPr>
        <w:t>1</w:t>
      </w:r>
      <w:r w:rsidRPr="00A32326">
        <w:rPr>
          <w:rFonts w:ascii="Arial" w:hAnsi="Arial" w:cs="Arial"/>
        </w:rPr>
        <w:t>.</w:t>
      </w:r>
      <w:r>
        <w:rPr>
          <w:rFonts w:ascii="Arial" w:hAnsi="Arial" w:cs="Arial"/>
        </w:rPr>
        <w:t xml:space="preserve">2.Дараах асуудлыг </w:t>
      </w:r>
      <w:r w:rsidR="00570FDB">
        <w:rPr>
          <w:rFonts w:ascii="Arial" w:hAnsi="Arial" w:cs="Arial"/>
        </w:rPr>
        <w:t xml:space="preserve">захиргааны </w:t>
      </w:r>
      <w:r>
        <w:rPr>
          <w:rFonts w:ascii="Arial" w:hAnsi="Arial" w:cs="Arial"/>
        </w:rPr>
        <w:t>хэм хэмжээний актаар зохицуулахаар хуулийн төсөлд эрх олгосон заалт тусгахгүй</w:t>
      </w:r>
      <w:r>
        <w:rPr>
          <w:rFonts w:ascii="Arial" w:hAnsi="Arial" w:cs="Arial"/>
          <w:lang w:val="en-US"/>
        </w:rPr>
        <w:t>:</w:t>
      </w:r>
    </w:p>
    <w:p w14:paraId="675F6549" w14:textId="77777777" w:rsidR="00570FDB" w:rsidRPr="00570FDB" w:rsidRDefault="00570FDB" w:rsidP="00570FDB">
      <w:pPr>
        <w:pStyle w:val="NormalWeb"/>
        <w:spacing w:after="120" w:line="276" w:lineRule="auto"/>
        <w:ind w:firstLine="1440"/>
        <w:jc w:val="both"/>
        <w:rPr>
          <w:rFonts w:ascii="Arial" w:hAnsi="Arial" w:cs="Arial"/>
          <w:dstrike/>
        </w:rPr>
      </w:pPr>
      <w:r w:rsidRPr="00570FDB">
        <w:rPr>
          <w:rFonts w:ascii="Arial" w:hAnsi="Arial" w:cs="Arial"/>
        </w:rPr>
        <w:t>29</w:t>
      </w:r>
      <w:r w:rsidRPr="00570FDB">
        <w:rPr>
          <w:rFonts w:ascii="Arial" w:hAnsi="Arial" w:cs="Arial"/>
          <w:vertAlign w:val="superscript"/>
        </w:rPr>
        <w:t>1</w:t>
      </w:r>
      <w:r w:rsidRPr="00570FDB">
        <w:rPr>
          <w:rFonts w:ascii="Arial" w:hAnsi="Arial" w:cs="Arial"/>
        </w:rPr>
        <w:t>.</w:t>
      </w:r>
      <w:r w:rsidRPr="00570FDB">
        <w:rPr>
          <w:rFonts w:ascii="Arial" w:hAnsi="Arial" w:cs="Arial"/>
          <w:lang w:val="en-US"/>
        </w:rPr>
        <w:t>2</w:t>
      </w:r>
      <w:r w:rsidRPr="00570FDB">
        <w:rPr>
          <w:rFonts w:ascii="Arial" w:hAnsi="Arial" w:cs="Arial"/>
        </w:rPr>
        <w:t>.1.Монгол Улсын Үндсэн хуульд заасан хүний эрх, эрх чөлөөг зохицуулсан, хариуцлага оногдуулсан, татвар хураамж тогтоосон харилцаа;</w:t>
      </w:r>
    </w:p>
    <w:p w14:paraId="51BD8818" w14:textId="77777777" w:rsidR="00570FDB" w:rsidRPr="00570FDB" w:rsidRDefault="00570FDB" w:rsidP="00570FDB">
      <w:pPr>
        <w:pStyle w:val="NormalWeb"/>
        <w:spacing w:after="120" w:line="276" w:lineRule="auto"/>
        <w:ind w:firstLine="1440"/>
        <w:jc w:val="both"/>
        <w:rPr>
          <w:rFonts w:ascii="Arial" w:hAnsi="Arial" w:cs="Arial"/>
          <w:lang w:val="en-US"/>
        </w:rPr>
      </w:pPr>
      <w:r w:rsidRPr="00570FDB">
        <w:rPr>
          <w:rFonts w:ascii="Arial" w:hAnsi="Arial" w:cs="Arial"/>
        </w:rPr>
        <w:t>29</w:t>
      </w:r>
      <w:r w:rsidRPr="00570FDB">
        <w:rPr>
          <w:rFonts w:ascii="Arial" w:hAnsi="Arial" w:cs="Arial"/>
          <w:vertAlign w:val="superscript"/>
        </w:rPr>
        <w:t>1</w:t>
      </w:r>
      <w:r w:rsidRPr="00570FDB">
        <w:rPr>
          <w:rFonts w:ascii="Arial" w:hAnsi="Arial" w:cs="Arial"/>
        </w:rPr>
        <w:t>.</w:t>
      </w:r>
      <w:r w:rsidRPr="00570FDB">
        <w:rPr>
          <w:rFonts w:ascii="Arial" w:hAnsi="Arial" w:cs="Arial"/>
          <w:lang w:val="en-US"/>
        </w:rPr>
        <w:t>2</w:t>
      </w:r>
      <w:r w:rsidRPr="00570FDB">
        <w:rPr>
          <w:rFonts w:ascii="Arial" w:hAnsi="Arial" w:cs="Arial"/>
        </w:rPr>
        <w:t>.2.Монгол Улсын үндсэн хуульд гагцхүү хуулиар зохицуулахаар заасан харилцаа, эсхүл улсын эдийн засаг, нийгмийн амьдралыг бүхэлд нь хамарсан асуудал</w:t>
      </w:r>
      <w:r w:rsidRPr="00570FDB">
        <w:rPr>
          <w:rFonts w:ascii="Arial" w:hAnsi="Arial" w:cs="Arial"/>
          <w:lang w:val="en-US"/>
        </w:rPr>
        <w:t>;</w:t>
      </w:r>
    </w:p>
    <w:p w14:paraId="6F1AF41B" w14:textId="77777777" w:rsidR="00570FDB" w:rsidRPr="00570FDB" w:rsidRDefault="00570FDB" w:rsidP="00570FDB">
      <w:pPr>
        <w:pStyle w:val="NormalWeb"/>
        <w:spacing w:after="120" w:line="276" w:lineRule="auto"/>
        <w:ind w:firstLine="1440"/>
        <w:jc w:val="both"/>
        <w:rPr>
          <w:rFonts w:ascii="Arial" w:hAnsi="Arial" w:cs="Arial"/>
          <w:lang w:val="en-US"/>
        </w:rPr>
      </w:pPr>
      <w:r w:rsidRPr="00570FDB">
        <w:rPr>
          <w:rFonts w:ascii="Arial" w:hAnsi="Arial" w:cs="Arial"/>
        </w:rPr>
        <w:t>29</w:t>
      </w:r>
      <w:r w:rsidRPr="00570FDB">
        <w:rPr>
          <w:rFonts w:ascii="Arial" w:hAnsi="Arial" w:cs="Arial"/>
          <w:vertAlign w:val="superscript"/>
        </w:rPr>
        <w:t>1</w:t>
      </w:r>
      <w:r w:rsidRPr="00570FDB">
        <w:rPr>
          <w:rFonts w:ascii="Arial" w:hAnsi="Arial" w:cs="Arial"/>
        </w:rPr>
        <w:t>.</w:t>
      </w:r>
      <w:r w:rsidRPr="00570FDB">
        <w:rPr>
          <w:rFonts w:ascii="Arial" w:hAnsi="Arial" w:cs="Arial"/>
          <w:lang w:val="en-US"/>
        </w:rPr>
        <w:t>2</w:t>
      </w:r>
      <w:r w:rsidRPr="00570FDB">
        <w:rPr>
          <w:rFonts w:ascii="Arial" w:hAnsi="Arial" w:cs="Arial"/>
        </w:rPr>
        <w:t>.</w:t>
      </w:r>
      <w:r w:rsidRPr="00570FDB">
        <w:rPr>
          <w:rFonts w:ascii="Arial" w:hAnsi="Arial" w:cs="Arial"/>
          <w:lang w:val="en-US"/>
        </w:rPr>
        <w:t>3</w:t>
      </w:r>
      <w:r w:rsidRPr="00570FDB">
        <w:rPr>
          <w:rFonts w:ascii="Arial" w:hAnsi="Arial" w:cs="Arial"/>
        </w:rPr>
        <w:t>.эрхээ хамгаалах гомдол гаргах хөөн хэлэлцэх хугацаа тогтоох асууд</w:t>
      </w:r>
      <w:proofErr w:type="spellStart"/>
      <w:r w:rsidRPr="00570FDB">
        <w:rPr>
          <w:rFonts w:ascii="Arial" w:hAnsi="Arial" w:cs="Arial"/>
          <w:lang w:val="en-US"/>
        </w:rPr>
        <w:t>ал</w:t>
      </w:r>
      <w:proofErr w:type="spellEnd"/>
      <w:r w:rsidRPr="00570FDB">
        <w:rPr>
          <w:rFonts w:ascii="Arial" w:hAnsi="Arial" w:cs="Arial"/>
          <w:lang w:val="en-US"/>
        </w:rPr>
        <w:t>;</w:t>
      </w:r>
    </w:p>
    <w:p w14:paraId="7813A585" w14:textId="77777777" w:rsidR="00570FDB" w:rsidRPr="00570FDB" w:rsidRDefault="00570FDB" w:rsidP="00570FDB">
      <w:pPr>
        <w:pStyle w:val="NormalWeb"/>
        <w:spacing w:after="120" w:line="276" w:lineRule="auto"/>
        <w:ind w:firstLine="1440"/>
        <w:jc w:val="both"/>
        <w:rPr>
          <w:rFonts w:ascii="Arial" w:hAnsi="Arial" w:cs="Arial"/>
          <w:lang w:val="en-US"/>
        </w:rPr>
      </w:pPr>
      <w:r w:rsidRPr="00570FDB">
        <w:rPr>
          <w:rFonts w:ascii="Arial" w:hAnsi="Arial" w:cs="Arial"/>
        </w:rPr>
        <w:t>29</w:t>
      </w:r>
      <w:r w:rsidRPr="00570FDB">
        <w:rPr>
          <w:rFonts w:ascii="Arial" w:hAnsi="Arial" w:cs="Arial"/>
          <w:vertAlign w:val="superscript"/>
        </w:rPr>
        <w:t>1</w:t>
      </w:r>
      <w:r w:rsidRPr="00570FDB">
        <w:rPr>
          <w:rFonts w:ascii="Arial" w:hAnsi="Arial" w:cs="Arial"/>
        </w:rPr>
        <w:t>.</w:t>
      </w:r>
      <w:r w:rsidRPr="00570FDB">
        <w:rPr>
          <w:rFonts w:ascii="Arial" w:hAnsi="Arial" w:cs="Arial"/>
          <w:lang w:val="en-US"/>
        </w:rPr>
        <w:t>2</w:t>
      </w:r>
      <w:r w:rsidRPr="00570FDB">
        <w:rPr>
          <w:rFonts w:ascii="Arial" w:hAnsi="Arial" w:cs="Arial"/>
        </w:rPr>
        <w:t>.</w:t>
      </w:r>
      <w:r w:rsidRPr="00570FDB">
        <w:rPr>
          <w:rFonts w:ascii="Arial" w:hAnsi="Arial" w:cs="Arial"/>
          <w:lang w:val="en-US"/>
        </w:rPr>
        <w:t xml:space="preserve">4.гомдол, </w:t>
      </w:r>
      <w:proofErr w:type="spellStart"/>
      <w:r w:rsidRPr="00570FDB">
        <w:rPr>
          <w:rFonts w:ascii="Arial" w:hAnsi="Arial" w:cs="Arial"/>
          <w:lang w:val="en-US"/>
        </w:rPr>
        <w:t>маргааныг</w:t>
      </w:r>
      <w:proofErr w:type="spellEnd"/>
      <w:r w:rsidRPr="00570FDB">
        <w:rPr>
          <w:rFonts w:ascii="Arial" w:hAnsi="Arial" w:cs="Arial"/>
          <w:lang w:val="en-US"/>
        </w:rPr>
        <w:t xml:space="preserve"> </w:t>
      </w:r>
      <w:proofErr w:type="spellStart"/>
      <w:r w:rsidRPr="00570FDB">
        <w:rPr>
          <w:rFonts w:ascii="Arial" w:hAnsi="Arial" w:cs="Arial"/>
          <w:lang w:val="en-US"/>
        </w:rPr>
        <w:t>урьдчилан</w:t>
      </w:r>
      <w:proofErr w:type="spellEnd"/>
      <w:r w:rsidRPr="00570FDB">
        <w:rPr>
          <w:rFonts w:ascii="Arial" w:hAnsi="Arial" w:cs="Arial"/>
          <w:lang w:val="en-US"/>
        </w:rPr>
        <w:t xml:space="preserve"> </w:t>
      </w:r>
      <w:proofErr w:type="spellStart"/>
      <w:r w:rsidRPr="00570FDB">
        <w:rPr>
          <w:rFonts w:ascii="Arial" w:hAnsi="Arial" w:cs="Arial"/>
          <w:lang w:val="en-US"/>
        </w:rPr>
        <w:t>шийдвэрлэх</w:t>
      </w:r>
      <w:proofErr w:type="spellEnd"/>
      <w:r w:rsidRPr="00570FDB">
        <w:rPr>
          <w:rFonts w:ascii="Arial" w:hAnsi="Arial" w:cs="Arial"/>
          <w:lang w:val="en-US"/>
        </w:rPr>
        <w:t xml:space="preserve"> </w:t>
      </w:r>
      <w:proofErr w:type="spellStart"/>
      <w:r w:rsidRPr="00570FDB">
        <w:rPr>
          <w:rFonts w:ascii="Arial" w:hAnsi="Arial" w:cs="Arial"/>
          <w:lang w:val="en-US"/>
        </w:rPr>
        <w:t>ажиллагааны</w:t>
      </w:r>
      <w:proofErr w:type="spellEnd"/>
      <w:r w:rsidRPr="00570FDB">
        <w:rPr>
          <w:rFonts w:ascii="Arial" w:hAnsi="Arial" w:cs="Arial"/>
          <w:lang w:val="en-US"/>
        </w:rPr>
        <w:t xml:space="preserve"> </w:t>
      </w:r>
      <w:proofErr w:type="spellStart"/>
      <w:r w:rsidRPr="00570FDB">
        <w:rPr>
          <w:rFonts w:ascii="Arial" w:hAnsi="Arial" w:cs="Arial"/>
          <w:lang w:val="en-US"/>
        </w:rPr>
        <w:t>журам</w:t>
      </w:r>
      <w:proofErr w:type="spellEnd"/>
      <w:r w:rsidRPr="00570FDB">
        <w:rPr>
          <w:rFonts w:ascii="Arial" w:hAnsi="Arial" w:cs="Arial"/>
          <w:lang w:val="en-US"/>
        </w:rPr>
        <w:t xml:space="preserve"> </w:t>
      </w:r>
      <w:proofErr w:type="spellStart"/>
      <w:r w:rsidRPr="00570FDB">
        <w:rPr>
          <w:rFonts w:ascii="Arial" w:hAnsi="Arial" w:cs="Arial"/>
          <w:lang w:val="en-US"/>
        </w:rPr>
        <w:t>тогтоох</w:t>
      </w:r>
      <w:proofErr w:type="spellEnd"/>
      <w:r w:rsidRPr="00570FDB">
        <w:rPr>
          <w:rFonts w:ascii="Arial" w:hAnsi="Arial" w:cs="Arial"/>
          <w:lang w:val="en-US"/>
        </w:rPr>
        <w:t xml:space="preserve"> </w:t>
      </w:r>
      <w:proofErr w:type="spellStart"/>
      <w:r w:rsidRPr="00570FDB">
        <w:rPr>
          <w:rFonts w:ascii="Arial" w:hAnsi="Arial" w:cs="Arial"/>
          <w:lang w:val="en-US"/>
        </w:rPr>
        <w:t>асуудал</w:t>
      </w:r>
      <w:proofErr w:type="spellEnd"/>
      <w:r w:rsidRPr="00570FDB">
        <w:rPr>
          <w:rFonts w:ascii="Arial" w:hAnsi="Arial" w:cs="Arial"/>
          <w:lang w:val="en-US"/>
        </w:rPr>
        <w:t xml:space="preserve">; </w:t>
      </w:r>
    </w:p>
    <w:p w14:paraId="24C1C6F2" w14:textId="77777777" w:rsidR="00570FDB" w:rsidRPr="00C241FF" w:rsidRDefault="00570FDB" w:rsidP="00570FDB">
      <w:pPr>
        <w:pStyle w:val="NormalWeb"/>
        <w:spacing w:after="120" w:line="276" w:lineRule="auto"/>
        <w:ind w:firstLine="1440"/>
        <w:jc w:val="both"/>
        <w:rPr>
          <w:rFonts w:ascii="Arial" w:hAnsi="Arial" w:cs="Arial"/>
          <w:lang w:val="en-US"/>
        </w:rPr>
      </w:pPr>
      <w:r w:rsidRPr="00570FDB">
        <w:rPr>
          <w:rFonts w:ascii="Arial" w:hAnsi="Arial" w:cs="Arial"/>
        </w:rPr>
        <w:t>29</w:t>
      </w:r>
      <w:r w:rsidRPr="00570FDB">
        <w:rPr>
          <w:rFonts w:ascii="Arial" w:hAnsi="Arial" w:cs="Arial"/>
          <w:vertAlign w:val="superscript"/>
        </w:rPr>
        <w:t>1</w:t>
      </w:r>
      <w:r w:rsidRPr="00570FDB">
        <w:rPr>
          <w:rFonts w:ascii="Arial" w:hAnsi="Arial" w:cs="Arial"/>
        </w:rPr>
        <w:t>.</w:t>
      </w:r>
      <w:r w:rsidRPr="00570FDB">
        <w:rPr>
          <w:rFonts w:ascii="Arial" w:hAnsi="Arial" w:cs="Arial"/>
          <w:lang w:val="en-US"/>
        </w:rPr>
        <w:t xml:space="preserve">2.5.үндэсний </w:t>
      </w:r>
      <w:proofErr w:type="spellStart"/>
      <w:r w:rsidRPr="00570FDB">
        <w:rPr>
          <w:rFonts w:ascii="Arial" w:hAnsi="Arial" w:cs="Arial"/>
          <w:lang w:val="en-US"/>
        </w:rPr>
        <w:t>аюулгүй</w:t>
      </w:r>
      <w:proofErr w:type="spellEnd"/>
      <w:r w:rsidRPr="00570FDB">
        <w:rPr>
          <w:rFonts w:ascii="Arial" w:hAnsi="Arial" w:cs="Arial"/>
          <w:lang w:val="en-US"/>
        </w:rPr>
        <w:t xml:space="preserve"> </w:t>
      </w:r>
      <w:proofErr w:type="spellStart"/>
      <w:r w:rsidRPr="00570FDB">
        <w:rPr>
          <w:rFonts w:ascii="Arial" w:hAnsi="Arial" w:cs="Arial"/>
          <w:lang w:val="en-US"/>
        </w:rPr>
        <w:t>байдал</w:t>
      </w:r>
      <w:proofErr w:type="spellEnd"/>
      <w:r w:rsidRPr="00570FDB">
        <w:rPr>
          <w:rFonts w:ascii="Arial" w:hAnsi="Arial" w:cs="Arial"/>
          <w:lang w:val="en-US"/>
        </w:rPr>
        <w:t xml:space="preserve">, </w:t>
      </w:r>
      <w:proofErr w:type="spellStart"/>
      <w:r w:rsidRPr="00570FDB">
        <w:rPr>
          <w:rFonts w:ascii="Arial" w:hAnsi="Arial" w:cs="Arial"/>
          <w:lang w:val="en-US"/>
        </w:rPr>
        <w:t>галт</w:t>
      </w:r>
      <w:proofErr w:type="spellEnd"/>
      <w:r w:rsidRPr="00570FDB">
        <w:rPr>
          <w:rFonts w:ascii="Arial" w:hAnsi="Arial" w:cs="Arial"/>
          <w:lang w:val="en-US"/>
        </w:rPr>
        <w:t xml:space="preserve"> </w:t>
      </w:r>
      <w:proofErr w:type="spellStart"/>
      <w:r w:rsidRPr="00570FDB">
        <w:rPr>
          <w:rFonts w:ascii="Arial" w:hAnsi="Arial" w:cs="Arial"/>
          <w:lang w:val="en-US"/>
        </w:rPr>
        <w:t>зэвсэг</w:t>
      </w:r>
      <w:proofErr w:type="spellEnd"/>
      <w:r w:rsidRPr="00570FDB">
        <w:rPr>
          <w:rFonts w:ascii="Arial" w:hAnsi="Arial" w:cs="Arial"/>
          <w:lang w:val="en-US"/>
        </w:rPr>
        <w:t xml:space="preserve"> </w:t>
      </w:r>
      <w:proofErr w:type="spellStart"/>
      <w:r w:rsidRPr="00570FDB">
        <w:rPr>
          <w:rFonts w:ascii="Arial" w:hAnsi="Arial" w:cs="Arial"/>
          <w:lang w:val="en-US"/>
        </w:rPr>
        <w:t>зэрэг</w:t>
      </w:r>
      <w:proofErr w:type="spellEnd"/>
      <w:r w:rsidRPr="00570FDB">
        <w:rPr>
          <w:rFonts w:ascii="Arial" w:hAnsi="Arial" w:cs="Arial"/>
          <w:lang w:val="en-US"/>
        </w:rPr>
        <w:t xml:space="preserve"> </w:t>
      </w:r>
      <w:proofErr w:type="spellStart"/>
      <w:r w:rsidRPr="00570FDB">
        <w:rPr>
          <w:rFonts w:ascii="Arial" w:hAnsi="Arial" w:cs="Arial"/>
          <w:lang w:val="en-US"/>
        </w:rPr>
        <w:t>тусгай</w:t>
      </w:r>
      <w:proofErr w:type="spellEnd"/>
      <w:r w:rsidRPr="00570FDB">
        <w:rPr>
          <w:rFonts w:ascii="Arial" w:hAnsi="Arial" w:cs="Arial"/>
          <w:lang w:val="en-US"/>
        </w:rPr>
        <w:t xml:space="preserve"> </w:t>
      </w:r>
      <w:proofErr w:type="spellStart"/>
      <w:r w:rsidRPr="00570FDB">
        <w:rPr>
          <w:rFonts w:ascii="Arial" w:hAnsi="Arial" w:cs="Arial"/>
          <w:lang w:val="en-US"/>
        </w:rPr>
        <w:t>харилцаа</w:t>
      </w:r>
      <w:proofErr w:type="spellEnd"/>
      <w:r w:rsidRPr="00570FDB">
        <w:rPr>
          <w:rFonts w:ascii="Arial" w:hAnsi="Arial" w:cs="Arial"/>
          <w:lang w:val="en-US"/>
        </w:rPr>
        <w:t xml:space="preserve">,  </w:t>
      </w:r>
      <w:proofErr w:type="spellStart"/>
      <w:r w:rsidRPr="00570FDB">
        <w:rPr>
          <w:rFonts w:ascii="Arial" w:hAnsi="Arial" w:cs="Arial"/>
          <w:lang w:val="en-US"/>
        </w:rPr>
        <w:t>тодорхой</w:t>
      </w:r>
      <w:proofErr w:type="spellEnd"/>
      <w:r w:rsidRPr="00570FDB">
        <w:rPr>
          <w:rFonts w:ascii="Arial" w:hAnsi="Arial" w:cs="Arial"/>
          <w:lang w:val="en-US"/>
        </w:rPr>
        <w:t xml:space="preserve"> </w:t>
      </w:r>
      <w:proofErr w:type="spellStart"/>
      <w:r w:rsidRPr="00570FDB">
        <w:rPr>
          <w:rFonts w:ascii="Arial" w:hAnsi="Arial" w:cs="Arial"/>
          <w:lang w:val="en-US"/>
        </w:rPr>
        <w:t>этгээдэд</w:t>
      </w:r>
      <w:proofErr w:type="spellEnd"/>
      <w:r w:rsidRPr="00570FDB">
        <w:rPr>
          <w:rFonts w:ascii="Arial" w:hAnsi="Arial" w:cs="Arial"/>
          <w:lang w:val="en-US"/>
        </w:rPr>
        <w:t xml:space="preserve"> </w:t>
      </w:r>
      <w:proofErr w:type="spellStart"/>
      <w:r w:rsidRPr="00570FDB">
        <w:rPr>
          <w:rFonts w:ascii="Arial" w:hAnsi="Arial" w:cs="Arial"/>
          <w:lang w:val="en-US"/>
        </w:rPr>
        <w:t>давуу</w:t>
      </w:r>
      <w:proofErr w:type="spellEnd"/>
      <w:r w:rsidRPr="00570FDB">
        <w:rPr>
          <w:rFonts w:ascii="Arial" w:hAnsi="Arial" w:cs="Arial"/>
          <w:lang w:val="en-US"/>
        </w:rPr>
        <w:t xml:space="preserve"> </w:t>
      </w:r>
      <w:proofErr w:type="spellStart"/>
      <w:r w:rsidRPr="00570FDB">
        <w:rPr>
          <w:rFonts w:ascii="Arial" w:hAnsi="Arial" w:cs="Arial"/>
          <w:lang w:val="en-US"/>
        </w:rPr>
        <w:t>байдал</w:t>
      </w:r>
      <w:proofErr w:type="spellEnd"/>
      <w:r w:rsidRPr="00570FDB">
        <w:rPr>
          <w:rFonts w:ascii="Arial" w:hAnsi="Arial" w:cs="Arial"/>
          <w:lang w:val="en-US"/>
        </w:rPr>
        <w:t xml:space="preserve"> </w:t>
      </w:r>
      <w:proofErr w:type="spellStart"/>
      <w:r w:rsidRPr="00570FDB">
        <w:rPr>
          <w:rFonts w:ascii="Arial" w:hAnsi="Arial" w:cs="Arial"/>
          <w:lang w:val="en-US"/>
        </w:rPr>
        <w:t>үүсгэх</w:t>
      </w:r>
      <w:proofErr w:type="spellEnd"/>
      <w:r w:rsidRPr="00570FDB">
        <w:rPr>
          <w:rFonts w:ascii="Arial" w:hAnsi="Arial" w:cs="Arial"/>
          <w:lang w:val="en-US"/>
        </w:rPr>
        <w:t xml:space="preserve"> </w:t>
      </w:r>
      <w:proofErr w:type="spellStart"/>
      <w:r w:rsidRPr="00570FDB">
        <w:rPr>
          <w:rFonts w:ascii="Arial" w:hAnsi="Arial" w:cs="Arial"/>
          <w:lang w:val="en-US"/>
        </w:rPr>
        <w:t>зөвшөөрөл</w:t>
      </w:r>
      <w:proofErr w:type="spellEnd"/>
      <w:r w:rsidRPr="00570FDB">
        <w:rPr>
          <w:rFonts w:ascii="Arial" w:hAnsi="Arial" w:cs="Arial"/>
          <w:lang w:val="en-US"/>
        </w:rPr>
        <w:t xml:space="preserve"> </w:t>
      </w:r>
      <w:proofErr w:type="spellStart"/>
      <w:r w:rsidRPr="00570FDB">
        <w:rPr>
          <w:rFonts w:ascii="Arial" w:hAnsi="Arial" w:cs="Arial"/>
          <w:lang w:val="en-US"/>
        </w:rPr>
        <w:t>олгох</w:t>
      </w:r>
      <w:proofErr w:type="spellEnd"/>
      <w:r w:rsidRPr="00570FDB">
        <w:rPr>
          <w:rFonts w:ascii="Arial" w:hAnsi="Arial" w:cs="Arial"/>
          <w:lang w:val="en-US"/>
        </w:rPr>
        <w:t xml:space="preserve"> </w:t>
      </w:r>
      <w:proofErr w:type="spellStart"/>
      <w:r w:rsidRPr="00570FDB">
        <w:rPr>
          <w:rFonts w:ascii="Arial" w:hAnsi="Arial" w:cs="Arial"/>
          <w:lang w:val="en-US"/>
        </w:rPr>
        <w:t>харилцаа</w:t>
      </w:r>
      <w:proofErr w:type="spellEnd"/>
      <w:r w:rsidRPr="00570FDB">
        <w:rPr>
          <w:rFonts w:ascii="Arial" w:hAnsi="Arial" w:cs="Arial"/>
          <w:lang w:val="en-US"/>
        </w:rPr>
        <w:t>.</w:t>
      </w:r>
    </w:p>
    <w:p w14:paraId="2B17DEA8" w14:textId="67E7660B" w:rsidR="00A74942" w:rsidRPr="00C75DF9" w:rsidRDefault="00A74942" w:rsidP="00A74942">
      <w:pPr>
        <w:pStyle w:val="NormalWeb"/>
        <w:spacing w:after="120" w:line="276" w:lineRule="auto"/>
        <w:ind w:firstLine="720"/>
        <w:jc w:val="both"/>
        <w:rPr>
          <w:rFonts w:ascii="Arial" w:hAnsi="Arial" w:cs="Arial"/>
        </w:rPr>
      </w:pPr>
      <w:r>
        <w:rPr>
          <w:rFonts w:ascii="Arial" w:hAnsi="Arial" w:cs="Arial"/>
        </w:rPr>
        <w:t>29</w:t>
      </w:r>
      <w:r>
        <w:rPr>
          <w:rFonts w:ascii="Arial" w:hAnsi="Arial" w:cs="Arial"/>
          <w:vertAlign w:val="superscript"/>
        </w:rPr>
        <w:t>1</w:t>
      </w:r>
      <w:r w:rsidRPr="00A32326">
        <w:rPr>
          <w:rFonts w:ascii="Arial" w:hAnsi="Arial" w:cs="Arial"/>
        </w:rPr>
        <w:t>.</w:t>
      </w:r>
      <w:r>
        <w:rPr>
          <w:rFonts w:ascii="Arial" w:hAnsi="Arial" w:cs="Arial"/>
          <w:lang w:val="en-US"/>
        </w:rPr>
        <w:t>3.</w:t>
      </w:r>
      <w:r w:rsidR="00184DC7" w:rsidRPr="00184DC7">
        <w:rPr>
          <w:rFonts w:ascii="Arial" w:hAnsi="Arial" w:cs="Arial"/>
          <w:lang w:val="en-US"/>
        </w:rPr>
        <w:t xml:space="preserve">Захиргааны </w:t>
      </w:r>
      <w:proofErr w:type="spellStart"/>
      <w:r w:rsidR="00184DC7" w:rsidRPr="00184DC7">
        <w:rPr>
          <w:rFonts w:ascii="Arial" w:hAnsi="Arial" w:cs="Arial"/>
          <w:lang w:val="en-US"/>
        </w:rPr>
        <w:t>хэм</w:t>
      </w:r>
      <w:proofErr w:type="spellEnd"/>
      <w:r w:rsidR="00184DC7" w:rsidRPr="00184DC7">
        <w:rPr>
          <w:rFonts w:ascii="Arial" w:hAnsi="Arial" w:cs="Arial"/>
          <w:lang w:val="en-US"/>
        </w:rPr>
        <w:t xml:space="preserve"> </w:t>
      </w:r>
      <w:proofErr w:type="spellStart"/>
      <w:r w:rsidR="00184DC7" w:rsidRPr="00184DC7">
        <w:rPr>
          <w:rFonts w:ascii="Arial" w:hAnsi="Arial" w:cs="Arial"/>
          <w:lang w:val="en-US"/>
        </w:rPr>
        <w:t>хэмжээний</w:t>
      </w:r>
      <w:proofErr w:type="spellEnd"/>
      <w:r w:rsidR="00184DC7" w:rsidRPr="00184DC7">
        <w:rPr>
          <w:rFonts w:ascii="Arial" w:hAnsi="Arial" w:cs="Arial"/>
          <w:lang w:val="en-US"/>
        </w:rPr>
        <w:t xml:space="preserve"> </w:t>
      </w:r>
      <w:proofErr w:type="spellStart"/>
      <w:r w:rsidR="00184DC7" w:rsidRPr="00184DC7">
        <w:rPr>
          <w:rFonts w:ascii="Arial" w:hAnsi="Arial" w:cs="Arial"/>
          <w:lang w:val="en-US"/>
        </w:rPr>
        <w:t>акт</w:t>
      </w:r>
      <w:proofErr w:type="spellEnd"/>
      <w:r w:rsidR="00184DC7" w:rsidRPr="00184DC7">
        <w:rPr>
          <w:rFonts w:ascii="Arial" w:hAnsi="Arial" w:cs="Arial"/>
          <w:lang w:val="en-US"/>
        </w:rPr>
        <w:t xml:space="preserve"> </w:t>
      </w:r>
      <w:proofErr w:type="spellStart"/>
      <w:r w:rsidR="00184DC7" w:rsidRPr="00184DC7">
        <w:rPr>
          <w:rFonts w:ascii="Arial" w:hAnsi="Arial" w:cs="Arial"/>
          <w:lang w:val="en-US"/>
        </w:rPr>
        <w:t>батлах</w:t>
      </w:r>
      <w:proofErr w:type="spellEnd"/>
      <w:r w:rsidR="00184DC7" w:rsidRPr="00184DC7">
        <w:rPr>
          <w:rFonts w:ascii="Arial" w:hAnsi="Arial" w:cs="Arial"/>
          <w:lang w:val="en-US"/>
        </w:rPr>
        <w:t xml:space="preserve"> </w:t>
      </w:r>
      <w:proofErr w:type="spellStart"/>
      <w:r w:rsidR="00184DC7" w:rsidRPr="00184DC7">
        <w:rPr>
          <w:rFonts w:ascii="Arial" w:hAnsi="Arial" w:cs="Arial"/>
          <w:lang w:val="en-US"/>
        </w:rPr>
        <w:t>эрх</w:t>
      </w:r>
      <w:proofErr w:type="spellEnd"/>
      <w:r w:rsidR="00184DC7">
        <w:rPr>
          <w:rFonts w:ascii="Arial" w:hAnsi="Arial" w:cs="Arial"/>
          <w:lang w:val="en-US"/>
        </w:rPr>
        <w:t xml:space="preserve"> </w:t>
      </w:r>
      <w:proofErr w:type="spellStart"/>
      <w:r w:rsidR="00184DC7">
        <w:rPr>
          <w:rFonts w:ascii="Arial" w:hAnsi="Arial" w:cs="Arial"/>
          <w:lang w:val="en-US"/>
        </w:rPr>
        <w:t>э</w:t>
      </w:r>
      <w:r>
        <w:rPr>
          <w:rFonts w:ascii="Arial" w:hAnsi="Arial" w:cs="Arial"/>
          <w:lang w:val="en-US"/>
        </w:rPr>
        <w:t>рх</w:t>
      </w:r>
      <w:proofErr w:type="spellEnd"/>
      <w:r>
        <w:rPr>
          <w:rFonts w:ascii="Arial" w:hAnsi="Arial" w:cs="Arial"/>
          <w:lang w:val="en-US"/>
        </w:rPr>
        <w:t xml:space="preserve"> </w:t>
      </w:r>
      <w:proofErr w:type="spellStart"/>
      <w:r>
        <w:rPr>
          <w:rFonts w:ascii="Arial" w:hAnsi="Arial" w:cs="Arial"/>
          <w:lang w:val="en-US"/>
        </w:rPr>
        <w:t>шилжүүлэн</w:t>
      </w:r>
      <w:proofErr w:type="spellEnd"/>
      <w:r>
        <w:rPr>
          <w:rFonts w:ascii="Arial" w:hAnsi="Arial" w:cs="Arial"/>
          <w:lang w:val="en-US"/>
        </w:rPr>
        <w:t xml:space="preserve"> </w:t>
      </w:r>
      <w:proofErr w:type="spellStart"/>
      <w:r>
        <w:rPr>
          <w:rFonts w:ascii="Arial" w:hAnsi="Arial" w:cs="Arial"/>
          <w:lang w:val="en-US"/>
        </w:rPr>
        <w:t>авсан</w:t>
      </w:r>
      <w:proofErr w:type="spellEnd"/>
      <w:r>
        <w:rPr>
          <w:rFonts w:ascii="Arial" w:hAnsi="Arial" w:cs="Arial"/>
          <w:lang w:val="en-US"/>
        </w:rPr>
        <w:t xml:space="preserve"> </w:t>
      </w:r>
      <w:proofErr w:type="spellStart"/>
      <w:r>
        <w:rPr>
          <w:rFonts w:ascii="Arial" w:hAnsi="Arial" w:cs="Arial"/>
          <w:lang w:val="en-US"/>
        </w:rPr>
        <w:t>этгээд</w:t>
      </w:r>
      <w:proofErr w:type="spellEnd"/>
      <w:r>
        <w:rPr>
          <w:rFonts w:ascii="Arial" w:hAnsi="Arial" w:cs="Arial"/>
          <w:lang w:val="en-US"/>
        </w:rPr>
        <w:t xml:space="preserve"> </w:t>
      </w:r>
      <w:proofErr w:type="spellStart"/>
      <w:r>
        <w:rPr>
          <w:rFonts w:ascii="Arial" w:hAnsi="Arial" w:cs="Arial"/>
          <w:lang w:val="en-US"/>
        </w:rPr>
        <w:t>нь</w:t>
      </w:r>
      <w:proofErr w:type="spellEnd"/>
      <w:r>
        <w:rPr>
          <w:rFonts w:ascii="Arial" w:hAnsi="Arial" w:cs="Arial"/>
          <w:lang w:val="en-US"/>
        </w:rPr>
        <w:t xml:space="preserve"> </w:t>
      </w:r>
      <w:r>
        <w:rPr>
          <w:rFonts w:ascii="Arial" w:hAnsi="Arial" w:cs="Arial"/>
          <w:lang w:val="mn-MN"/>
        </w:rPr>
        <w:t>и</w:t>
      </w:r>
      <w:r w:rsidRPr="00C75DF9">
        <w:rPr>
          <w:rFonts w:ascii="Arial" w:hAnsi="Arial" w:cs="Arial"/>
          <w:lang w:val="mn-MN"/>
        </w:rPr>
        <w:t>ргэний үндсэн эрхээс бусад эрхтэй холбоотой харилцааг зохицуулсан хуулийн эрх шилжүүлсэн з</w:t>
      </w:r>
      <w:r w:rsidR="00184DC7">
        <w:rPr>
          <w:rFonts w:ascii="Arial" w:hAnsi="Arial" w:cs="Arial"/>
          <w:lang w:val="mn-MN"/>
        </w:rPr>
        <w:t>охицуулалтын</w:t>
      </w:r>
      <w:r w:rsidRPr="00C75DF9">
        <w:rPr>
          <w:rFonts w:ascii="Arial" w:hAnsi="Arial" w:cs="Arial"/>
          <w:lang w:val="mn-MN"/>
        </w:rPr>
        <w:t xml:space="preserve"> хүрээнд </w:t>
      </w:r>
      <w:r w:rsidR="00570FDB" w:rsidRPr="00184DC7">
        <w:rPr>
          <w:rFonts w:ascii="Arial" w:hAnsi="Arial" w:cs="Arial"/>
          <w:lang w:val="mn-MN"/>
        </w:rPr>
        <w:t>захиргааны</w:t>
      </w:r>
      <w:r w:rsidR="00570FDB">
        <w:rPr>
          <w:rFonts w:ascii="Arial" w:hAnsi="Arial" w:cs="Arial"/>
          <w:lang w:val="mn-MN"/>
        </w:rPr>
        <w:t xml:space="preserve"> </w:t>
      </w:r>
      <w:r w:rsidRPr="00C75DF9">
        <w:rPr>
          <w:rFonts w:ascii="Arial" w:hAnsi="Arial" w:cs="Arial"/>
          <w:lang w:val="mn-MN"/>
        </w:rPr>
        <w:t xml:space="preserve">хэм хэмжээний акт </w:t>
      </w:r>
      <w:r w:rsidR="00184DC7">
        <w:rPr>
          <w:rFonts w:ascii="Arial" w:hAnsi="Arial" w:cs="Arial"/>
          <w:lang w:val="mn-MN"/>
        </w:rPr>
        <w:t>батлахдаа</w:t>
      </w:r>
      <w:r w:rsidRPr="00C75DF9">
        <w:rPr>
          <w:rFonts w:ascii="Arial" w:hAnsi="Arial" w:cs="Arial"/>
          <w:lang w:val="mn-MN"/>
        </w:rPr>
        <w:t xml:space="preserve"> эрх шилжүүлсэн </w:t>
      </w:r>
      <w:r>
        <w:rPr>
          <w:rFonts w:ascii="Arial" w:hAnsi="Arial" w:cs="Arial"/>
          <w:lang w:val="mn-MN"/>
        </w:rPr>
        <w:t xml:space="preserve">хуулийн үзэл баримтлалын хүрээнд </w:t>
      </w:r>
      <w:r w:rsidRPr="00C75DF9">
        <w:rPr>
          <w:rFonts w:ascii="Arial" w:hAnsi="Arial" w:cs="Arial"/>
          <w:lang w:val="mn-MN"/>
        </w:rPr>
        <w:t>хуулиар олгосон эрх зүйн байдлыг дордуулахгүйгээр батална.</w:t>
      </w:r>
    </w:p>
    <w:p w14:paraId="4DC5A65A" w14:textId="3064F5A3" w:rsidR="00A74942" w:rsidRPr="00A32326" w:rsidRDefault="00A74942" w:rsidP="00A74942">
      <w:pPr>
        <w:pStyle w:val="NormalWeb"/>
        <w:spacing w:after="120" w:line="276" w:lineRule="auto"/>
        <w:ind w:firstLine="720"/>
        <w:jc w:val="both"/>
        <w:rPr>
          <w:rFonts w:ascii="Arial" w:hAnsi="Arial" w:cs="Arial"/>
        </w:rPr>
      </w:pPr>
      <w:r>
        <w:rPr>
          <w:rFonts w:ascii="Arial" w:hAnsi="Arial" w:cs="Arial"/>
        </w:rPr>
        <w:lastRenderedPageBreak/>
        <w:t>2</w:t>
      </w:r>
      <w:r w:rsidRPr="008B0049">
        <w:rPr>
          <w:rFonts w:ascii="Arial" w:hAnsi="Arial" w:cs="Arial"/>
        </w:rPr>
        <w:t>9</w:t>
      </w:r>
      <w:r w:rsidRPr="008B0049">
        <w:rPr>
          <w:rFonts w:ascii="Arial" w:hAnsi="Arial" w:cs="Arial"/>
          <w:vertAlign w:val="superscript"/>
        </w:rPr>
        <w:t>1</w:t>
      </w:r>
      <w:r w:rsidRPr="008B0049">
        <w:rPr>
          <w:rFonts w:ascii="Arial" w:hAnsi="Arial" w:cs="Arial"/>
        </w:rPr>
        <w:t>.</w:t>
      </w:r>
      <w:r>
        <w:rPr>
          <w:rFonts w:ascii="Arial" w:hAnsi="Arial" w:cs="Arial"/>
          <w:lang w:val="en-US"/>
        </w:rPr>
        <w:t>4</w:t>
      </w:r>
      <w:r>
        <w:rPr>
          <w:rFonts w:ascii="Arial" w:hAnsi="Arial" w:cs="Arial"/>
        </w:rPr>
        <w:t>.Захиргааны хэм хэмжээ</w:t>
      </w:r>
      <w:r w:rsidR="00570FDB">
        <w:rPr>
          <w:rFonts w:ascii="Arial" w:hAnsi="Arial" w:cs="Arial"/>
        </w:rPr>
        <w:t>ний акт</w:t>
      </w:r>
      <w:r>
        <w:rPr>
          <w:rFonts w:ascii="Arial" w:hAnsi="Arial" w:cs="Arial"/>
        </w:rPr>
        <w:t xml:space="preserve"> батлах эрх шилжүүлэн авсан этгээд нь хууль дээдлэх зарчим, эрх шилжүүлсэн хуулийн зорилгод нийцүүлэн, хууль тогтоогчоос олгосон эрхийг хэтрүүлэлгүйгээр захиргааны хэ</w:t>
      </w:r>
      <w:r>
        <w:rPr>
          <w:rFonts w:ascii="Arial" w:hAnsi="Arial" w:cs="Arial"/>
          <w:lang w:val="x-none"/>
        </w:rPr>
        <w:t xml:space="preserve">м </w:t>
      </w:r>
      <w:proofErr w:type="spellStart"/>
      <w:r>
        <w:rPr>
          <w:rFonts w:ascii="Arial" w:hAnsi="Arial" w:cs="Arial"/>
          <w:lang w:val="x-none"/>
        </w:rPr>
        <w:t>хэмжээ</w:t>
      </w:r>
      <w:proofErr w:type="spellEnd"/>
      <w:r>
        <w:rPr>
          <w:rFonts w:ascii="Arial" w:hAnsi="Arial" w:cs="Arial"/>
          <w:lang w:val="x-none"/>
        </w:rPr>
        <w:t xml:space="preserve"> </w:t>
      </w:r>
      <w:proofErr w:type="spellStart"/>
      <w:r>
        <w:rPr>
          <w:rFonts w:ascii="Arial" w:hAnsi="Arial" w:cs="Arial"/>
          <w:lang w:val="x-none"/>
        </w:rPr>
        <w:t>тогтоосон</w:t>
      </w:r>
      <w:proofErr w:type="spellEnd"/>
      <w:r>
        <w:rPr>
          <w:rFonts w:ascii="Arial" w:hAnsi="Arial" w:cs="Arial"/>
          <w:lang w:val="x-none"/>
        </w:rPr>
        <w:t xml:space="preserve"> </w:t>
      </w:r>
      <w:proofErr w:type="spellStart"/>
      <w:r>
        <w:rPr>
          <w:rFonts w:ascii="Arial" w:hAnsi="Arial" w:cs="Arial"/>
          <w:lang w:val="x-none"/>
        </w:rPr>
        <w:t>шийдвэрийг</w:t>
      </w:r>
      <w:proofErr w:type="spellEnd"/>
      <w:r>
        <w:rPr>
          <w:rFonts w:ascii="Arial" w:hAnsi="Arial" w:cs="Arial"/>
          <w:lang w:val="x-none"/>
        </w:rPr>
        <w:t xml:space="preserve"> </w:t>
      </w:r>
      <w:proofErr w:type="spellStart"/>
      <w:r>
        <w:rPr>
          <w:rFonts w:ascii="Arial" w:hAnsi="Arial" w:cs="Arial"/>
          <w:lang w:val="x-none"/>
        </w:rPr>
        <w:t>батална</w:t>
      </w:r>
      <w:proofErr w:type="spellEnd"/>
      <w:r>
        <w:rPr>
          <w:rFonts w:ascii="Arial" w:hAnsi="Arial" w:cs="Arial"/>
          <w:lang w:val="x-none"/>
        </w:rPr>
        <w:t xml:space="preserve">. </w:t>
      </w:r>
    </w:p>
    <w:p w14:paraId="328BA3F0" w14:textId="4F0331E2" w:rsidR="00A74942" w:rsidRDefault="00A74942" w:rsidP="00A74942">
      <w:pPr>
        <w:pStyle w:val="NormalWeb"/>
        <w:spacing w:after="120" w:line="276" w:lineRule="auto"/>
        <w:ind w:firstLine="720"/>
        <w:jc w:val="both"/>
        <w:rPr>
          <w:rFonts w:ascii="Arial" w:hAnsi="Arial" w:cs="Arial"/>
        </w:rPr>
      </w:pPr>
      <w:r>
        <w:rPr>
          <w:rFonts w:ascii="Arial" w:hAnsi="Arial" w:cs="Arial"/>
        </w:rPr>
        <w:t>29</w:t>
      </w:r>
      <w:r>
        <w:rPr>
          <w:rFonts w:ascii="Arial" w:hAnsi="Arial" w:cs="Arial"/>
          <w:vertAlign w:val="superscript"/>
        </w:rPr>
        <w:t>1</w:t>
      </w:r>
      <w:r w:rsidRPr="00A32326">
        <w:rPr>
          <w:rFonts w:ascii="Arial" w:hAnsi="Arial" w:cs="Arial"/>
        </w:rPr>
        <w:t>.</w:t>
      </w:r>
      <w:r>
        <w:rPr>
          <w:rFonts w:ascii="Arial" w:hAnsi="Arial" w:cs="Arial"/>
          <w:lang w:val="en-US"/>
        </w:rPr>
        <w:t>5</w:t>
      </w:r>
      <w:r w:rsidRPr="00A32326">
        <w:rPr>
          <w:rFonts w:ascii="Arial" w:hAnsi="Arial" w:cs="Arial"/>
        </w:rPr>
        <w:t>.</w:t>
      </w:r>
      <w:r>
        <w:rPr>
          <w:rFonts w:ascii="Arial" w:hAnsi="Arial" w:cs="Arial"/>
        </w:rPr>
        <w:t>Захиргааны хэм хэмжээ</w:t>
      </w:r>
      <w:r w:rsidR="00570FDB">
        <w:rPr>
          <w:rFonts w:ascii="Arial" w:hAnsi="Arial" w:cs="Arial"/>
        </w:rPr>
        <w:t xml:space="preserve">ний актад </w:t>
      </w:r>
      <w:r>
        <w:rPr>
          <w:rFonts w:ascii="Arial" w:hAnsi="Arial" w:cs="Arial"/>
        </w:rPr>
        <w:t>тавигдах бусад шаардлагыг Захиргааны ерөнхий хуулийн Зургаадугаар бүлэгт зааснаар зохицуулна.”</w:t>
      </w:r>
    </w:p>
    <w:p w14:paraId="1C848FA4" w14:textId="3FD092F8" w:rsidR="007A1205" w:rsidRPr="00A32326" w:rsidRDefault="001160DC" w:rsidP="00A05F2B">
      <w:pPr>
        <w:pStyle w:val="NormalWeb"/>
        <w:spacing w:after="120" w:line="276" w:lineRule="auto"/>
        <w:ind w:firstLine="720"/>
        <w:jc w:val="both"/>
        <w:rPr>
          <w:b/>
          <w:bCs/>
        </w:rPr>
      </w:pPr>
      <w:r w:rsidRPr="00A05F2B">
        <w:rPr>
          <w:rFonts w:ascii="Arial" w:hAnsi="Arial" w:cs="Arial"/>
          <w:b/>
          <w:bCs/>
        </w:rPr>
        <w:t>2 дугаар зүйл</w:t>
      </w:r>
      <w:r>
        <w:rPr>
          <w:rFonts w:ascii="Arial" w:hAnsi="Arial" w:cs="Arial"/>
        </w:rPr>
        <w:t>.</w:t>
      </w:r>
      <w:r w:rsidR="00A05F2B" w:rsidRPr="004C26C1">
        <w:rPr>
          <w:rFonts w:ascii="Arial" w:hAnsi="Arial" w:cs="Arial"/>
          <w:color w:val="000000" w:themeColor="text1"/>
          <w:lang w:val="mn-MN"/>
        </w:rPr>
        <w:t>Энэ хуулийг 2024 оны ... сарын ...</w:t>
      </w:r>
      <w:r w:rsidR="00A05F2B">
        <w:rPr>
          <w:rFonts w:ascii="Arial" w:hAnsi="Arial" w:cs="Arial"/>
          <w:color w:val="000000" w:themeColor="text1"/>
          <w:lang w:val="mn-MN"/>
        </w:rPr>
        <w:t>-</w:t>
      </w:r>
      <w:r w:rsidR="00A05F2B" w:rsidRPr="004C26C1">
        <w:rPr>
          <w:rFonts w:ascii="Arial" w:hAnsi="Arial" w:cs="Arial"/>
          <w:color w:val="000000" w:themeColor="text1"/>
          <w:lang w:val="mn-MN"/>
        </w:rPr>
        <w:t>ны өдрөөс эхлэн</w:t>
      </w:r>
      <w:r w:rsidR="00A05F2B">
        <w:rPr>
          <w:rFonts w:ascii="Arial" w:hAnsi="Arial" w:cs="Arial"/>
          <w:color w:val="000000" w:themeColor="text1"/>
          <w:lang w:val="mn-MN"/>
        </w:rPr>
        <w:t xml:space="preserve"> </w:t>
      </w:r>
      <w:r w:rsidR="00A05F2B" w:rsidRPr="004C26C1">
        <w:rPr>
          <w:rFonts w:ascii="Arial" w:hAnsi="Arial" w:cs="Arial"/>
          <w:color w:val="000000" w:themeColor="text1"/>
          <w:lang w:val="mn-MN"/>
        </w:rPr>
        <w:t>дагаж мөрдөнө.</w:t>
      </w:r>
    </w:p>
    <w:p w14:paraId="2487576E" w14:textId="77777777" w:rsidR="007A1205" w:rsidRDefault="007A1205" w:rsidP="007A1205">
      <w:pPr>
        <w:jc w:val="both"/>
        <w:rPr>
          <w:b/>
          <w:bCs/>
        </w:rPr>
      </w:pPr>
    </w:p>
    <w:p w14:paraId="7731CA0F" w14:textId="77777777" w:rsidR="002C2BBD" w:rsidRPr="00A32326" w:rsidRDefault="002C2BBD" w:rsidP="007A1205">
      <w:pPr>
        <w:jc w:val="both"/>
        <w:rPr>
          <w:b/>
          <w:bCs/>
        </w:rPr>
      </w:pPr>
    </w:p>
    <w:p w14:paraId="4C219D01" w14:textId="77777777" w:rsidR="007A1205" w:rsidRPr="00A32326" w:rsidRDefault="007A1205" w:rsidP="007A1205">
      <w:pPr>
        <w:jc w:val="both"/>
        <w:rPr>
          <w:b/>
          <w:bCs/>
        </w:rPr>
      </w:pPr>
    </w:p>
    <w:p w14:paraId="40911D6F" w14:textId="0BD7E9DA" w:rsidR="00623192" w:rsidRDefault="00A74942" w:rsidP="009E73BA">
      <w:pPr>
        <w:jc w:val="center"/>
        <w:rPr>
          <w:lang w:val="en-US"/>
        </w:rPr>
      </w:pPr>
      <w:proofErr w:type="spellStart"/>
      <w:r w:rsidRPr="00A32326">
        <w:rPr>
          <w:lang w:val="en-US"/>
        </w:rPr>
        <w:t>Г</w:t>
      </w:r>
      <w:r>
        <w:rPr>
          <w:lang w:val="en-US"/>
        </w:rPr>
        <w:t>арын</w:t>
      </w:r>
      <w:proofErr w:type="spellEnd"/>
      <w:r>
        <w:rPr>
          <w:lang w:val="en-US"/>
        </w:rPr>
        <w:t xml:space="preserve"> </w:t>
      </w:r>
      <w:proofErr w:type="spellStart"/>
      <w:r>
        <w:rPr>
          <w:lang w:val="en-US"/>
        </w:rPr>
        <w:t>үсэг</w:t>
      </w:r>
      <w:proofErr w:type="spellEnd"/>
    </w:p>
    <w:p w14:paraId="1A22FEA6" w14:textId="77777777" w:rsidR="00857CE7" w:rsidRDefault="00857CE7" w:rsidP="009E73BA">
      <w:pPr>
        <w:jc w:val="center"/>
        <w:rPr>
          <w:lang w:val="en-US"/>
        </w:rPr>
      </w:pPr>
    </w:p>
    <w:p w14:paraId="4B8FD92E" w14:textId="77777777" w:rsidR="00857CE7" w:rsidRDefault="00857CE7" w:rsidP="009E73BA">
      <w:pPr>
        <w:jc w:val="center"/>
        <w:rPr>
          <w:lang w:val="en-US"/>
        </w:rPr>
      </w:pPr>
    </w:p>
    <w:p w14:paraId="688BA05C" w14:textId="77777777" w:rsidR="00857CE7" w:rsidRDefault="00857CE7" w:rsidP="009E73BA">
      <w:pPr>
        <w:jc w:val="center"/>
        <w:rPr>
          <w:lang w:val="en-US"/>
        </w:rPr>
      </w:pPr>
    </w:p>
    <w:p w14:paraId="4F93E3C7" w14:textId="77777777" w:rsidR="00857CE7" w:rsidRDefault="00857CE7" w:rsidP="009E73BA">
      <w:pPr>
        <w:jc w:val="center"/>
        <w:rPr>
          <w:lang w:val="en-US"/>
        </w:rPr>
      </w:pPr>
    </w:p>
    <w:p w14:paraId="77963AE2" w14:textId="77777777" w:rsidR="00857CE7" w:rsidRDefault="00857CE7" w:rsidP="009E73BA">
      <w:pPr>
        <w:jc w:val="center"/>
        <w:rPr>
          <w:lang w:val="en-US"/>
        </w:rPr>
      </w:pPr>
    </w:p>
    <w:p w14:paraId="595DD807" w14:textId="77777777" w:rsidR="00857CE7" w:rsidRDefault="00857CE7" w:rsidP="009E73BA">
      <w:pPr>
        <w:jc w:val="center"/>
        <w:rPr>
          <w:lang w:val="en-US"/>
        </w:rPr>
      </w:pPr>
    </w:p>
    <w:p w14:paraId="00355BFD" w14:textId="77777777" w:rsidR="00857CE7" w:rsidRDefault="00857CE7" w:rsidP="009E73BA">
      <w:pPr>
        <w:jc w:val="center"/>
        <w:rPr>
          <w:lang w:val="en-US"/>
        </w:rPr>
      </w:pPr>
    </w:p>
    <w:p w14:paraId="1A16AB6A" w14:textId="77777777" w:rsidR="00857CE7" w:rsidRDefault="00857CE7" w:rsidP="009E73BA">
      <w:pPr>
        <w:jc w:val="center"/>
        <w:rPr>
          <w:lang w:val="en-US"/>
        </w:rPr>
      </w:pPr>
    </w:p>
    <w:p w14:paraId="72BAC551" w14:textId="77777777" w:rsidR="00857CE7" w:rsidRDefault="00857CE7" w:rsidP="009E73BA">
      <w:pPr>
        <w:jc w:val="center"/>
        <w:rPr>
          <w:lang w:val="en-US"/>
        </w:rPr>
      </w:pPr>
    </w:p>
    <w:p w14:paraId="0230AB66" w14:textId="77777777" w:rsidR="00857CE7" w:rsidRDefault="00857CE7" w:rsidP="009E73BA">
      <w:pPr>
        <w:jc w:val="center"/>
        <w:rPr>
          <w:lang w:val="en-US"/>
        </w:rPr>
      </w:pPr>
    </w:p>
    <w:p w14:paraId="202C0E32" w14:textId="77777777" w:rsidR="00857CE7" w:rsidRDefault="00857CE7" w:rsidP="009E73BA">
      <w:pPr>
        <w:jc w:val="center"/>
        <w:rPr>
          <w:lang w:val="en-US"/>
        </w:rPr>
      </w:pPr>
    </w:p>
    <w:p w14:paraId="55295919" w14:textId="77777777" w:rsidR="00857CE7" w:rsidRDefault="00857CE7" w:rsidP="009E73BA">
      <w:pPr>
        <w:jc w:val="center"/>
        <w:rPr>
          <w:lang w:val="en-US"/>
        </w:rPr>
      </w:pPr>
    </w:p>
    <w:p w14:paraId="2E4C091F" w14:textId="77777777" w:rsidR="00857CE7" w:rsidRDefault="00857CE7" w:rsidP="009E73BA">
      <w:pPr>
        <w:jc w:val="center"/>
        <w:rPr>
          <w:lang w:val="en-US"/>
        </w:rPr>
      </w:pPr>
    </w:p>
    <w:p w14:paraId="3606B976" w14:textId="77777777" w:rsidR="00857CE7" w:rsidRDefault="00857CE7" w:rsidP="009E73BA">
      <w:pPr>
        <w:jc w:val="center"/>
        <w:rPr>
          <w:lang w:val="en-US"/>
        </w:rPr>
      </w:pPr>
    </w:p>
    <w:p w14:paraId="3B05BD7B" w14:textId="77777777" w:rsidR="00857CE7" w:rsidRDefault="00857CE7" w:rsidP="009E73BA">
      <w:pPr>
        <w:jc w:val="center"/>
        <w:rPr>
          <w:lang w:val="en-US"/>
        </w:rPr>
      </w:pPr>
    </w:p>
    <w:p w14:paraId="6642FAD0" w14:textId="77777777" w:rsidR="00857CE7" w:rsidRDefault="00857CE7" w:rsidP="009E73BA">
      <w:pPr>
        <w:jc w:val="center"/>
        <w:rPr>
          <w:lang w:val="en-US"/>
        </w:rPr>
      </w:pPr>
    </w:p>
    <w:p w14:paraId="329CE351" w14:textId="77777777" w:rsidR="00857CE7" w:rsidRDefault="00857CE7" w:rsidP="009E73BA">
      <w:pPr>
        <w:jc w:val="center"/>
        <w:rPr>
          <w:lang w:val="en-US"/>
        </w:rPr>
      </w:pPr>
    </w:p>
    <w:p w14:paraId="47C96787" w14:textId="77777777" w:rsidR="00857CE7" w:rsidRDefault="00857CE7" w:rsidP="009E73BA">
      <w:pPr>
        <w:jc w:val="center"/>
        <w:rPr>
          <w:lang w:val="en-US"/>
        </w:rPr>
      </w:pPr>
    </w:p>
    <w:p w14:paraId="14957C5D" w14:textId="77777777" w:rsidR="00857CE7" w:rsidRDefault="00857CE7" w:rsidP="009E73BA">
      <w:pPr>
        <w:jc w:val="center"/>
        <w:rPr>
          <w:lang w:val="en-US"/>
        </w:rPr>
      </w:pPr>
    </w:p>
    <w:p w14:paraId="45D0B8DA" w14:textId="77777777" w:rsidR="00857CE7" w:rsidRDefault="00857CE7" w:rsidP="009E73BA">
      <w:pPr>
        <w:jc w:val="center"/>
        <w:rPr>
          <w:lang w:val="en-US"/>
        </w:rPr>
      </w:pPr>
    </w:p>
    <w:p w14:paraId="73505E75" w14:textId="77777777" w:rsidR="00857CE7" w:rsidRDefault="00857CE7" w:rsidP="009E73BA">
      <w:pPr>
        <w:jc w:val="center"/>
        <w:rPr>
          <w:lang w:val="en-US"/>
        </w:rPr>
      </w:pPr>
    </w:p>
    <w:p w14:paraId="6D44917B" w14:textId="77777777" w:rsidR="00857CE7" w:rsidRDefault="00857CE7" w:rsidP="009E73BA">
      <w:pPr>
        <w:jc w:val="center"/>
        <w:rPr>
          <w:lang w:val="en-US"/>
        </w:rPr>
      </w:pPr>
    </w:p>
    <w:p w14:paraId="7A8E19EF" w14:textId="77777777" w:rsidR="00857CE7" w:rsidRDefault="00857CE7" w:rsidP="009E73BA">
      <w:pPr>
        <w:jc w:val="center"/>
        <w:rPr>
          <w:lang w:val="en-US"/>
        </w:rPr>
      </w:pPr>
    </w:p>
    <w:p w14:paraId="3885E893" w14:textId="77777777" w:rsidR="00857CE7" w:rsidRDefault="00857CE7" w:rsidP="009E73BA">
      <w:pPr>
        <w:jc w:val="center"/>
        <w:rPr>
          <w:lang w:val="en-US"/>
        </w:rPr>
      </w:pPr>
    </w:p>
    <w:p w14:paraId="043827E6" w14:textId="77777777" w:rsidR="00857CE7" w:rsidRDefault="00857CE7" w:rsidP="009E73BA">
      <w:pPr>
        <w:jc w:val="center"/>
        <w:rPr>
          <w:lang w:val="en-US"/>
        </w:rPr>
      </w:pPr>
    </w:p>
    <w:p w14:paraId="795F4385" w14:textId="77777777" w:rsidR="00857CE7" w:rsidRDefault="00857CE7" w:rsidP="009E73BA">
      <w:pPr>
        <w:jc w:val="center"/>
        <w:rPr>
          <w:lang w:val="en-US"/>
        </w:rPr>
      </w:pPr>
    </w:p>
    <w:p w14:paraId="56AE4285" w14:textId="77777777" w:rsidR="00857CE7" w:rsidRDefault="00857CE7" w:rsidP="009E73BA">
      <w:pPr>
        <w:jc w:val="center"/>
        <w:rPr>
          <w:lang w:val="en-US"/>
        </w:rPr>
      </w:pPr>
    </w:p>
    <w:p w14:paraId="763AD63C" w14:textId="77777777" w:rsidR="00857CE7" w:rsidRDefault="00857CE7" w:rsidP="009E73BA">
      <w:pPr>
        <w:jc w:val="center"/>
        <w:rPr>
          <w:lang w:val="en-US"/>
        </w:rPr>
      </w:pPr>
    </w:p>
    <w:p w14:paraId="4A39A78B" w14:textId="77777777" w:rsidR="00857CE7" w:rsidRDefault="00857CE7" w:rsidP="009E73BA">
      <w:pPr>
        <w:jc w:val="center"/>
        <w:rPr>
          <w:lang w:val="en-US"/>
        </w:rPr>
      </w:pPr>
    </w:p>
    <w:p w14:paraId="20DD6121" w14:textId="77777777" w:rsidR="00857CE7" w:rsidRDefault="00857CE7" w:rsidP="009E73BA">
      <w:pPr>
        <w:jc w:val="center"/>
        <w:rPr>
          <w:lang w:val="en-US"/>
        </w:rPr>
      </w:pPr>
    </w:p>
    <w:p w14:paraId="67E3FC76" w14:textId="77777777" w:rsidR="00857CE7" w:rsidRDefault="00857CE7" w:rsidP="009E73BA">
      <w:pPr>
        <w:jc w:val="center"/>
        <w:rPr>
          <w:lang w:val="en-US"/>
        </w:rPr>
      </w:pPr>
    </w:p>
    <w:p w14:paraId="30593407" w14:textId="77777777" w:rsidR="00857CE7" w:rsidRDefault="00857CE7" w:rsidP="001160DC">
      <w:pPr>
        <w:rPr>
          <w:lang w:val="en-US"/>
        </w:rPr>
      </w:pPr>
    </w:p>
    <w:p w14:paraId="692DBF5E" w14:textId="77777777" w:rsidR="00857CE7" w:rsidRDefault="00857CE7" w:rsidP="009E73BA">
      <w:pPr>
        <w:jc w:val="center"/>
        <w:rPr>
          <w:lang w:val="en-US"/>
        </w:rPr>
      </w:pPr>
    </w:p>
    <w:p w14:paraId="1B135649" w14:textId="77777777" w:rsidR="002C2BBD" w:rsidRDefault="002C2BBD" w:rsidP="00CD7F05">
      <w:pPr>
        <w:rPr>
          <w:lang w:val="en-US"/>
        </w:rPr>
      </w:pPr>
    </w:p>
    <w:p w14:paraId="6A8BBBD3" w14:textId="2362DCE7" w:rsidR="00A05F2B" w:rsidRDefault="00A05F2B" w:rsidP="00350F93">
      <w:pPr>
        <w:spacing w:after="120"/>
        <w:jc w:val="center"/>
        <w:rPr>
          <w:lang w:val="en-US"/>
        </w:rPr>
      </w:pPr>
    </w:p>
    <w:p w14:paraId="22C13E38" w14:textId="6A7CBBF0" w:rsidR="00A74942" w:rsidRDefault="00A74942" w:rsidP="00350F93">
      <w:pPr>
        <w:spacing w:after="120"/>
        <w:jc w:val="center"/>
        <w:rPr>
          <w:lang w:val="en-US"/>
        </w:rPr>
      </w:pPr>
    </w:p>
    <w:p w14:paraId="4E42DEF9" w14:textId="77777777" w:rsidR="00A74942" w:rsidRDefault="00A74942" w:rsidP="00350F93">
      <w:pPr>
        <w:spacing w:after="120"/>
        <w:jc w:val="center"/>
        <w:rPr>
          <w:lang w:val="en-US"/>
        </w:rPr>
      </w:pPr>
    </w:p>
    <w:p w14:paraId="4FE1FFE4" w14:textId="3DF7188D" w:rsidR="00350F93" w:rsidRDefault="00A74942" w:rsidP="00350F93">
      <w:pPr>
        <w:spacing w:after="120"/>
        <w:jc w:val="center"/>
        <w:rPr>
          <w:b/>
          <w:bCs/>
          <w:lang w:val="en-US"/>
        </w:rPr>
      </w:pPr>
      <w:r w:rsidRPr="002536C2">
        <w:rPr>
          <w:b/>
          <w:bCs/>
          <w:lang w:val="en-US"/>
        </w:rPr>
        <w:lastRenderedPageBreak/>
        <w:t>ДЭЛГЭРЭНГҮЙ ТАНИЛЦУУЛГА</w:t>
      </w:r>
    </w:p>
    <w:p w14:paraId="6EB5E693" w14:textId="77777777" w:rsidR="00A05F2B" w:rsidRPr="00A05F2B" w:rsidRDefault="00A05F2B" w:rsidP="00350F93">
      <w:pPr>
        <w:spacing w:after="120"/>
        <w:jc w:val="center"/>
        <w:rPr>
          <w:b/>
          <w:bCs/>
          <w:lang w:val="en-US"/>
        </w:rPr>
      </w:pPr>
    </w:p>
    <w:p w14:paraId="2C22B1B6" w14:textId="77777777" w:rsidR="00350F93" w:rsidRDefault="00350F93" w:rsidP="00350F93">
      <w:pPr>
        <w:spacing w:after="120" w:line="276" w:lineRule="auto"/>
        <w:ind w:left="5670"/>
        <w:jc w:val="both"/>
        <w:rPr>
          <w:lang w:val="en-US"/>
        </w:rPr>
      </w:pPr>
      <w:proofErr w:type="spellStart"/>
      <w:r>
        <w:rPr>
          <w:lang w:val="en-US"/>
        </w:rPr>
        <w:t>Хууль</w:t>
      </w:r>
      <w:proofErr w:type="spellEnd"/>
      <w:r>
        <w:rPr>
          <w:lang w:val="en-US"/>
        </w:rPr>
        <w:t xml:space="preserve"> </w:t>
      </w:r>
      <w:proofErr w:type="spellStart"/>
      <w:r>
        <w:rPr>
          <w:lang w:val="en-US"/>
        </w:rPr>
        <w:t>тогтоомжийн</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хуульд</w:t>
      </w:r>
      <w:proofErr w:type="spellEnd"/>
      <w:r>
        <w:rPr>
          <w:lang w:val="en-US"/>
        </w:rPr>
        <w:t xml:space="preserve"> </w:t>
      </w:r>
      <w:proofErr w:type="spellStart"/>
      <w:r>
        <w:rPr>
          <w:lang w:val="en-US"/>
        </w:rPr>
        <w:t>нэмэлт</w:t>
      </w:r>
      <w:proofErr w:type="spellEnd"/>
      <w:r>
        <w:rPr>
          <w:lang w:val="en-US"/>
        </w:rPr>
        <w:t xml:space="preserve"> </w:t>
      </w:r>
      <w:proofErr w:type="spellStart"/>
      <w:r>
        <w:rPr>
          <w:lang w:val="en-US"/>
        </w:rPr>
        <w:t>оруулах</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хуулийн</w:t>
      </w:r>
      <w:proofErr w:type="spellEnd"/>
      <w:r>
        <w:rPr>
          <w:lang w:val="en-US"/>
        </w:rPr>
        <w:t xml:space="preserve"> </w:t>
      </w:r>
      <w:proofErr w:type="spellStart"/>
      <w:r>
        <w:rPr>
          <w:lang w:val="en-US"/>
        </w:rPr>
        <w:t>төслийн</w:t>
      </w:r>
      <w:proofErr w:type="spellEnd"/>
      <w:r>
        <w:rPr>
          <w:lang w:val="en-US"/>
        </w:rPr>
        <w:t xml:space="preserve"> </w:t>
      </w:r>
      <w:proofErr w:type="spellStart"/>
      <w:r>
        <w:rPr>
          <w:lang w:val="en-US"/>
        </w:rPr>
        <w:t>талаар</w:t>
      </w:r>
      <w:proofErr w:type="spellEnd"/>
    </w:p>
    <w:p w14:paraId="4A084B77" w14:textId="77777777" w:rsidR="00350F93" w:rsidRPr="00350F93" w:rsidRDefault="00350F93" w:rsidP="00350F93">
      <w:pPr>
        <w:spacing w:line="276" w:lineRule="auto"/>
        <w:ind w:firstLine="720"/>
        <w:jc w:val="both"/>
        <w:rPr>
          <w:color w:val="000000" w:themeColor="text1"/>
          <w:lang w:val="mn-MN"/>
        </w:rPr>
      </w:pPr>
      <w:r w:rsidRPr="00754F58">
        <w:rPr>
          <w:color w:val="000000" w:themeColor="text1"/>
          <w:lang w:val="mn-MN"/>
        </w:rPr>
        <w:t>Монгол Улсын Засгийн газрын 2023 оны 11 дүгээр сарын 29-ний өдрийн хуралдаанаас Засгийн газар, төрийн захиргааны төв байгууллага, төрийн захиргааны байгууллагад тус тус эрх олгогдсон заалтыг 2 дахин багасгах чиглэлийг баримтлан холбогдох хуулийн төсөл боловсруулж, танилцуулах чиг үүрэг бүхий ажлын хэсгийг Монгол Улсын Ерөнхий сайдын 2023 оны 191 дүгээр “Ажлын хэсэг байгуулах тухай” захирамжаар байгуулсан.</w:t>
      </w:r>
      <w:r>
        <w:rPr>
          <w:lang w:val="en-US"/>
        </w:rPr>
        <w:tab/>
        <w:t xml:space="preserve"> </w:t>
      </w:r>
      <w:proofErr w:type="spellStart"/>
      <w:r>
        <w:rPr>
          <w:lang w:val="en-US"/>
        </w:rPr>
        <w:t>Уг</w:t>
      </w:r>
      <w:proofErr w:type="spellEnd"/>
      <w:r>
        <w:rPr>
          <w:lang w:val="en-US"/>
        </w:rPr>
        <w:t xml:space="preserve"> </w:t>
      </w:r>
      <w:proofErr w:type="spellStart"/>
      <w:r>
        <w:rPr>
          <w:lang w:val="en-US"/>
        </w:rPr>
        <w:t>Ажлын</w:t>
      </w:r>
      <w:proofErr w:type="spellEnd"/>
      <w:r>
        <w:rPr>
          <w:lang w:val="en-US"/>
        </w:rPr>
        <w:t xml:space="preserve"> </w:t>
      </w:r>
      <w:proofErr w:type="spellStart"/>
      <w:r>
        <w:rPr>
          <w:lang w:val="en-US"/>
        </w:rPr>
        <w:t>хэсгийг</w:t>
      </w:r>
      <w:proofErr w:type="spellEnd"/>
      <w:r>
        <w:rPr>
          <w:lang w:val="en-US"/>
        </w:rPr>
        <w:t xml:space="preserve"> </w:t>
      </w:r>
      <w:proofErr w:type="spellStart"/>
      <w:r>
        <w:rPr>
          <w:lang w:val="en-US"/>
        </w:rPr>
        <w:t>Хууль</w:t>
      </w:r>
      <w:proofErr w:type="spellEnd"/>
      <w:r>
        <w:rPr>
          <w:lang w:val="en-US"/>
        </w:rPr>
        <w:t xml:space="preserve"> </w:t>
      </w:r>
      <w:proofErr w:type="spellStart"/>
      <w:r>
        <w:rPr>
          <w:lang w:val="en-US"/>
        </w:rPr>
        <w:t>зүй</w:t>
      </w:r>
      <w:proofErr w:type="spellEnd"/>
      <w:r>
        <w:rPr>
          <w:lang w:val="en-US"/>
        </w:rPr>
        <w:t xml:space="preserve">, </w:t>
      </w:r>
      <w:proofErr w:type="spellStart"/>
      <w:r>
        <w:rPr>
          <w:lang w:val="en-US"/>
        </w:rPr>
        <w:t>дотоод</w:t>
      </w:r>
      <w:proofErr w:type="spellEnd"/>
      <w:r>
        <w:rPr>
          <w:lang w:val="en-US"/>
        </w:rPr>
        <w:t xml:space="preserve"> </w:t>
      </w:r>
      <w:proofErr w:type="spellStart"/>
      <w:r>
        <w:rPr>
          <w:lang w:val="en-US"/>
        </w:rPr>
        <w:t>хэргийн</w:t>
      </w:r>
      <w:proofErr w:type="spellEnd"/>
      <w:r>
        <w:rPr>
          <w:lang w:val="en-US"/>
        </w:rPr>
        <w:t xml:space="preserve"> </w:t>
      </w:r>
      <w:proofErr w:type="spellStart"/>
      <w:r>
        <w:rPr>
          <w:lang w:val="en-US"/>
        </w:rPr>
        <w:t>сайд</w:t>
      </w:r>
      <w:proofErr w:type="spellEnd"/>
      <w:r>
        <w:rPr>
          <w:lang w:val="en-US"/>
        </w:rPr>
        <w:t xml:space="preserve"> </w:t>
      </w:r>
      <w:proofErr w:type="spellStart"/>
      <w:r>
        <w:rPr>
          <w:lang w:val="en-US"/>
        </w:rPr>
        <w:t>ахлан</w:t>
      </w:r>
      <w:proofErr w:type="spellEnd"/>
      <w:r>
        <w:rPr>
          <w:lang w:val="en-US"/>
        </w:rPr>
        <w:t xml:space="preserve"> </w:t>
      </w:r>
      <w:proofErr w:type="spellStart"/>
      <w:r>
        <w:rPr>
          <w:lang w:val="en-US"/>
        </w:rPr>
        <w:t>ажиллаж</w:t>
      </w:r>
      <w:proofErr w:type="spellEnd"/>
      <w:r>
        <w:rPr>
          <w:lang w:val="en-US"/>
        </w:rPr>
        <w:t xml:space="preserve"> </w:t>
      </w:r>
      <w:proofErr w:type="spellStart"/>
      <w:r>
        <w:rPr>
          <w:lang w:val="en-US"/>
        </w:rPr>
        <w:t>байгаа</w:t>
      </w:r>
      <w:proofErr w:type="spellEnd"/>
      <w:r>
        <w:rPr>
          <w:lang w:val="en-US"/>
        </w:rPr>
        <w:t xml:space="preserve"> </w:t>
      </w:r>
      <w:proofErr w:type="spellStart"/>
      <w:r>
        <w:rPr>
          <w:lang w:val="en-US"/>
        </w:rPr>
        <w:t>бөгөөд</w:t>
      </w:r>
      <w:proofErr w:type="spellEnd"/>
      <w:r>
        <w:rPr>
          <w:lang w:val="en-US"/>
        </w:rPr>
        <w:t xml:space="preserve"> </w:t>
      </w:r>
      <w:proofErr w:type="spellStart"/>
      <w:r>
        <w:rPr>
          <w:lang w:val="en-US"/>
        </w:rPr>
        <w:t>төрийн</w:t>
      </w:r>
      <w:proofErr w:type="spellEnd"/>
      <w:r>
        <w:rPr>
          <w:lang w:val="en-US"/>
        </w:rPr>
        <w:t xml:space="preserve"> </w:t>
      </w:r>
      <w:proofErr w:type="spellStart"/>
      <w:r>
        <w:rPr>
          <w:lang w:val="en-US"/>
        </w:rPr>
        <w:t>захиргааны</w:t>
      </w:r>
      <w:proofErr w:type="spellEnd"/>
      <w:r>
        <w:rPr>
          <w:lang w:val="en-US"/>
        </w:rPr>
        <w:t xml:space="preserve"> </w:t>
      </w:r>
      <w:proofErr w:type="spellStart"/>
      <w:r>
        <w:rPr>
          <w:lang w:val="en-US"/>
        </w:rPr>
        <w:t>төв</w:t>
      </w:r>
      <w:proofErr w:type="spellEnd"/>
      <w:r>
        <w:rPr>
          <w:lang w:val="en-US"/>
        </w:rPr>
        <w:t xml:space="preserve"> </w:t>
      </w:r>
      <w:proofErr w:type="spellStart"/>
      <w:r>
        <w:rPr>
          <w:lang w:val="en-US"/>
        </w:rPr>
        <w:t>байгууллага</w:t>
      </w:r>
      <w:proofErr w:type="spellEnd"/>
      <w:r>
        <w:rPr>
          <w:lang w:val="en-US"/>
        </w:rPr>
        <w:t xml:space="preserve"> </w:t>
      </w:r>
      <w:proofErr w:type="spellStart"/>
      <w:r>
        <w:rPr>
          <w:lang w:val="en-US"/>
        </w:rPr>
        <w:t>бүрт</w:t>
      </w:r>
      <w:proofErr w:type="spellEnd"/>
      <w:r>
        <w:rPr>
          <w:lang w:val="en-US"/>
        </w:rPr>
        <w:t xml:space="preserve"> </w:t>
      </w:r>
      <w:proofErr w:type="spellStart"/>
      <w:r>
        <w:rPr>
          <w:lang w:val="en-US"/>
        </w:rPr>
        <w:t>Дэд</w:t>
      </w:r>
      <w:proofErr w:type="spellEnd"/>
      <w:r>
        <w:rPr>
          <w:lang w:val="en-US"/>
        </w:rPr>
        <w:t xml:space="preserve"> </w:t>
      </w:r>
      <w:proofErr w:type="spellStart"/>
      <w:r>
        <w:rPr>
          <w:lang w:val="en-US"/>
        </w:rPr>
        <w:t>ажлын</w:t>
      </w:r>
      <w:proofErr w:type="spellEnd"/>
      <w:r>
        <w:rPr>
          <w:lang w:val="en-US"/>
        </w:rPr>
        <w:t xml:space="preserve"> </w:t>
      </w:r>
      <w:proofErr w:type="spellStart"/>
      <w:r>
        <w:rPr>
          <w:lang w:val="en-US"/>
        </w:rPr>
        <w:t>хэсэг</w:t>
      </w:r>
      <w:proofErr w:type="spellEnd"/>
      <w:r>
        <w:rPr>
          <w:lang w:val="en-US"/>
        </w:rPr>
        <w:t xml:space="preserve"> </w:t>
      </w:r>
      <w:proofErr w:type="spellStart"/>
      <w:r>
        <w:rPr>
          <w:lang w:val="en-US"/>
        </w:rPr>
        <w:t>ажиллаж</w:t>
      </w:r>
      <w:proofErr w:type="spellEnd"/>
      <w:r>
        <w:rPr>
          <w:lang w:val="en-US"/>
        </w:rPr>
        <w:t xml:space="preserve"> </w:t>
      </w:r>
      <w:proofErr w:type="spellStart"/>
      <w:r>
        <w:rPr>
          <w:lang w:val="en-US"/>
        </w:rPr>
        <w:t>байна</w:t>
      </w:r>
      <w:proofErr w:type="spellEnd"/>
      <w:r>
        <w:rPr>
          <w:lang w:val="en-US"/>
        </w:rPr>
        <w:t xml:space="preserve">. </w:t>
      </w:r>
      <w:proofErr w:type="spellStart"/>
      <w:r>
        <w:rPr>
          <w:lang w:val="en-US"/>
        </w:rPr>
        <w:t>Хууль</w:t>
      </w:r>
      <w:proofErr w:type="spellEnd"/>
      <w:r>
        <w:rPr>
          <w:lang w:val="en-US"/>
        </w:rPr>
        <w:t xml:space="preserve"> </w:t>
      </w:r>
      <w:proofErr w:type="spellStart"/>
      <w:r>
        <w:rPr>
          <w:lang w:val="en-US"/>
        </w:rPr>
        <w:t>зүй</w:t>
      </w:r>
      <w:proofErr w:type="spellEnd"/>
      <w:r>
        <w:rPr>
          <w:lang w:val="en-US"/>
        </w:rPr>
        <w:t xml:space="preserve">, </w:t>
      </w:r>
      <w:proofErr w:type="spellStart"/>
      <w:r>
        <w:rPr>
          <w:lang w:val="en-US"/>
        </w:rPr>
        <w:t>дотоод</w:t>
      </w:r>
      <w:proofErr w:type="spellEnd"/>
      <w:r>
        <w:rPr>
          <w:lang w:val="en-US"/>
        </w:rPr>
        <w:t xml:space="preserve"> </w:t>
      </w:r>
      <w:proofErr w:type="spellStart"/>
      <w:r>
        <w:rPr>
          <w:lang w:val="en-US"/>
        </w:rPr>
        <w:t>хэргийн</w:t>
      </w:r>
      <w:proofErr w:type="spellEnd"/>
      <w:r>
        <w:rPr>
          <w:lang w:val="en-US"/>
        </w:rPr>
        <w:t xml:space="preserve"> </w:t>
      </w:r>
      <w:proofErr w:type="spellStart"/>
      <w:r>
        <w:rPr>
          <w:lang w:val="en-US"/>
        </w:rPr>
        <w:t>яамны</w:t>
      </w:r>
      <w:proofErr w:type="spellEnd"/>
      <w:r>
        <w:rPr>
          <w:lang w:val="en-US"/>
        </w:rPr>
        <w:t xml:space="preserve"> </w:t>
      </w:r>
      <w:proofErr w:type="spellStart"/>
      <w:r>
        <w:rPr>
          <w:lang w:val="en-US"/>
        </w:rPr>
        <w:t>тухайд</w:t>
      </w:r>
      <w:proofErr w:type="spellEnd"/>
      <w:r>
        <w:rPr>
          <w:lang w:val="en-US"/>
        </w:rPr>
        <w:t xml:space="preserve"> </w:t>
      </w:r>
      <w:proofErr w:type="spellStart"/>
      <w:r>
        <w:rPr>
          <w:lang w:val="en-US"/>
        </w:rPr>
        <w:t>сайдын</w:t>
      </w:r>
      <w:proofErr w:type="spellEnd"/>
      <w:r>
        <w:rPr>
          <w:lang w:val="en-US"/>
        </w:rPr>
        <w:t xml:space="preserve"> 2024 </w:t>
      </w:r>
      <w:proofErr w:type="spellStart"/>
      <w:r>
        <w:rPr>
          <w:lang w:val="en-US"/>
        </w:rPr>
        <w:t>оны</w:t>
      </w:r>
      <w:proofErr w:type="spellEnd"/>
      <w:r>
        <w:rPr>
          <w:lang w:val="en-US"/>
        </w:rPr>
        <w:t xml:space="preserve"> А/03 </w:t>
      </w:r>
      <w:proofErr w:type="spellStart"/>
      <w:r>
        <w:rPr>
          <w:lang w:val="en-US"/>
        </w:rPr>
        <w:t>дугаар</w:t>
      </w:r>
      <w:proofErr w:type="spellEnd"/>
      <w:r>
        <w:rPr>
          <w:lang w:val="en-US"/>
        </w:rPr>
        <w:t xml:space="preserve"> </w:t>
      </w:r>
      <w:proofErr w:type="spellStart"/>
      <w:r>
        <w:rPr>
          <w:lang w:val="en-US"/>
        </w:rPr>
        <w:t>тушаалаар</w:t>
      </w:r>
      <w:proofErr w:type="spellEnd"/>
      <w:r>
        <w:rPr>
          <w:lang w:val="en-US"/>
        </w:rPr>
        <w:t xml:space="preserve"> </w:t>
      </w:r>
      <w:proofErr w:type="spellStart"/>
      <w:r>
        <w:rPr>
          <w:lang w:val="en-US"/>
        </w:rPr>
        <w:t>салбарын</w:t>
      </w:r>
      <w:proofErr w:type="spellEnd"/>
      <w:r>
        <w:rPr>
          <w:lang w:val="en-US"/>
        </w:rPr>
        <w:t xml:space="preserve"> </w:t>
      </w:r>
      <w:proofErr w:type="spellStart"/>
      <w:r>
        <w:rPr>
          <w:lang w:val="en-US"/>
        </w:rPr>
        <w:t>хэм</w:t>
      </w:r>
      <w:proofErr w:type="spellEnd"/>
      <w:r>
        <w:rPr>
          <w:lang w:val="en-US"/>
        </w:rPr>
        <w:t xml:space="preserve"> </w:t>
      </w:r>
      <w:proofErr w:type="spellStart"/>
      <w:r>
        <w:rPr>
          <w:lang w:val="en-US"/>
        </w:rPr>
        <w:t>хэмжээ</w:t>
      </w:r>
      <w:proofErr w:type="spellEnd"/>
      <w:r>
        <w:rPr>
          <w:lang w:val="en-US"/>
        </w:rPr>
        <w:t xml:space="preserve"> </w:t>
      </w:r>
      <w:proofErr w:type="spellStart"/>
      <w:r>
        <w:rPr>
          <w:lang w:val="en-US"/>
        </w:rPr>
        <w:t>тогтоосон</w:t>
      </w:r>
      <w:proofErr w:type="spellEnd"/>
      <w:r>
        <w:rPr>
          <w:lang w:val="en-US"/>
        </w:rPr>
        <w:t xml:space="preserve"> </w:t>
      </w:r>
      <w:proofErr w:type="spellStart"/>
      <w:r>
        <w:rPr>
          <w:lang w:val="en-US"/>
        </w:rPr>
        <w:t>актад</w:t>
      </w:r>
      <w:proofErr w:type="spellEnd"/>
      <w:r>
        <w:rPr>
          <w:lang w:val="en-US"/>
        </w:rPr>
        <w:t xml:space="preserve"> </w:t>
      </w:r>
      <w:proofErr w:type="spellStart"/>
      <w:r>
        <w:rPr>
          <w:lang w:val="en-US"/>
        </w:rPr>
        <w:t>дүн</w:t>
      </w:r>
      <w:proofErr w:type="spellEnd"/>
      <w:r>
        <w:rPr>
          <w:lang w:val="en-US"/>
        </w:rPr>
        <w:t xml:space="preserve"> </w:t>
      </w:r>
      <w:proofErr w:type="spellStart"/>
      <w:r>
        <w:rPr>
          <w:lang w:val="en-US"/>
        </w:rPr>
        <w:t>шинжилгээ</w:t>
      </w:r>
      <w:proofErr w:type="spellEnd"/>
      <w:r>
        <w:rPr>
          <w:lang w:val="en-US"/>
        </w:rPr>
        <w:t xml:space="preserve"> </w:t>
      </w:r>
      <w:proofErr w:type="spellStart"/>
      <w:r>
        <w:rPr>
          <w:lang w:val="en-US"/>
        </w:rPr>
        <w:t>хийх</w:t>
      </w:r>
      <w:proofErr w:type="spellEnd"/>
      <w:r>
        <w:rPr>
          <w:lang w:val="en-US"/>
        </w:rPr>
        <w:t xml:space="preserve">, </w:t>
      </w:r>
      <w:proofErr w:type="spellStart"/>
      <w:r>
        <w:rPr>
          <w:lang w:val="en-US"/>
        </w:rPr>
        <w:t>хуулиар</w:t>
      </w:r>
      <w:proofErr w:type="spellEnd"/>
      <w:r>
        <w:rPr>
          <w:lang w:val="en-US"/>
        </w:rPr>
        <w:t xml:space="preserve"> </w:t>
      </w:r>
      <w:proofErr w:type="spellStart"/>
      <w:r>
        <w:rPr>
          <w:lang w:val="en-US"/>
        </w:rPr>
        <w:t>зохицуулах</w:t>
      </w:r>
      <w:proofErr w:type="spellEnd"/>
      <w:r>
        <w:rPr>
          <w:lang w:val="en-US"/>
        </w:rPr>
        <w:t xml:space="preserve"> </w:t>
      </w:r>
      <w:proofErr w:type="spellStart"/>
      <w:r>
        <w:rPr>
          <w:lang w:val="en-US"/>
        </w:rPr>
        <w:t>шаардлагатай</w:t>
      </w:r>
      <w:proofErr w:type="spellEnd"/>
      <w:r>
        <w:rPr>
          <w:lang w:val="en-US"/>
        </w:rPr>
        <w:t xml:space="preserve"> </w:t>
      </w:r>
      <w:proofErr w:type="spellStart"/>
      <w:r>
        <w:rPr>
          <w:lang w:val="en-US"/>
        </w:rPr>
        <w:t>дүрэм</w:t>
      </w:r>
      <w:proofErr w:type="spellEnd"/>
      <w:r>
        <w:rPr>
          <w:lang w:val="en-US"/>
        </w:rPr>
        <w:t xml:space="preserve">, </w:t>
      </w:r>
      <w:proofErr w:type="spellStart"/>
      <w:r>
        <w:rPr>
          <w:lang w:val="en-US"/>
        </w:rPr>
        <w:t>журмын</w:t>
      </w:r>
      <w:proofErr w:type="spellEnd"/>
      <w:r>
        <w:rPr>
          <w:lang w:val="en-US"/>
        </w:rPr>
        <w:t xml:space="preserve"> </w:t>
      </w:r>
      <w:proofErr w:type="spellStart"/>
      <w:r>
        <w:rPr>
          <w:lang w:val="en-US"/>
        </w:rPr>
        <w:t>зохицуулалтыг</w:t>
      </w:r>
      <w:proofErr w:type="spellEnd"/>
      <w:r>
        <w:rPr>
          <w:lang w:val="en-US"/>
        </w:rPr>
        <w:t xml:space="preserve"> </w:t>
      </w:r>
      <w:proofErr w:type="spellStart"/>
      <w:r>
        <w:rPr>
          <w:lang w:val="en-US"/>
        </w:rPr>
        <w:t>хуульд</w:t>
      </w:r>
      <w:proofErr w:type="spellEnd"/>
      <w:r>
        <w:rPr>
          <w:lang w:val="en-US"/>
        </w:rPr>
        <w:t xml:space="preserve"> </w:t>
      </w:r>
      <w:proofErr w:type="spellStart"/>
      <w:r>
        <w:rPr>
          <w:lang w:val="en-US"/>
        </w:rPr>
        <w:t>тусгах</w:t>
      </w:r>
      <w:proofErr w:type="spellEnd"/>
      <w:r>
        <w:rPr>
          <w:lang w:val="en-US"/>
        </w:rPr>
        <w:t xml:space="preserve"> </w:t>
      </w:r>
      <w:proofErr w:type="spellStart"/>
      <w:r>
        <w:rPr>
          <w:lang w:val="en-US"/>
        </w:rPr>
        <w:t>хуулийн</w:t>
      </w:r>
      <w:proofErr w:type="spellEnd"/>
      <w:r>
        <w:rPr>
          <w:lang w:val="en-US"/>
        </w:rPr>
        <w:t xml:space="preserve"> </w:t>
      </w:r>
      <w:proofErr w:type="spellStart"/>
      <w:r>
        <w:rPr>
          <w:lang w:val="en-US"/>
        </w:rPr>
        <w:t>төслүүд</w:t>
      </w:r>
      <w:r w:rsidR="002C465A">
        <w:rPr>
          <w:lang w:val="en-US"/>
        </w:rPr>
        <w:t>ийг</w:t>
      </w:r>
      <w:proofErr w:type="spellEnd"/>
      <w:r w:rsidR="002C465A">
        <w:rPr>
          <w:lang w:val="en-US"/>
        </w:rPr>
        <w:t xml:space="preserve"> </w:t>
      </w:r>
      <w:proofErr w:type="spellStart"/>
      <w:r w:rsidR="002C465A">
        <w:rPr>
          <w:lang w:val="en-US"/>
        </w:rPr>
        <w:t>боловсруулах</w:t>
      </w:r>
      <w:proofErr w:type="spellEnd"/>
      <w:r w:rsidR="002C465A">
        <w:rPr>
          <w:lang w:val="en-US"/>
        </w:rPr>
        <w:t xml:space="preserve"> </w:t>
      </w:r>
      <w:proofErr w:type="spellStart"/>
      <w:r w:rsidR="002C465A">
        <w:rPr>
          <w:lang w:val="en-US"/>
        </w:rPr>
        <w:t>Ажлын</w:t>
      </w:r>
      <w:proofErr w:type="spellEnd"/>
      <w:r w:rsidR="002C465A">
        <w:rPr>
          <w:lang w:val="en-US"/>
        </w:rPr>
        <w:t xml:space="preserve"> </w:t>
      </w:r>
      <w:proofErr w:type="spellStart"/>
      <w:r w:rsidR="002C465A">
        <w:rPr>
          <w:lang w:val="en-US"/>
        </w:rPr>
        <w:t>хэсэг</w:t>
      </w:r>
      <w:proofErr w:type="spellEnd"/>
      <w:r w:rsidR="002C465A">
        <w:rPr>
          <w:lang w:val="en-US"/>
        </w:rPr>
        <w:t xml:space="preserve"> </w:t>
      </w:r>
      <w:proofErr w:type="spellStart"/>
      <w:r w:rsidR="002C465A">
        <w:rPr>
          <w:lang w:val="en-US"/>
        </w:rPr>
        <w:t>байгуулагдан</w:t>
      </w:r>
      <w:proofErr w:type="spellEnd"/>
      <w:r w:rsidR="002C465A">
        <w:rPr>
          <w:lang w:val="en-US"/>
        </w:rPr>
        <w:t xml:space="preserve"> </w:t>
      </w:r>
      <w:proofErr w:type="spellStart"/>
      <w:r w:rsidR="002C465A">
        <w:rPr>
          <w:lang w:val="en-US"/>
        </w:rPr>
        <w:t>ажилласан</w:t>
      </w:r>
      <w:proofErr w:type="spellEnd"/>
      <w:r w:rsidR="002C465A">
        <w:rPr>
          <w:lang w:val="en-US"/>
        </w:rPr>
        <w:t xml:space="preserve"> </w:t>
      </w:r>
      <w:proofErr w:type="spellStart"/>
      <w:r w:rsidR="002C465A">
        <w:rPr>
          <w:lang w:val="en-US"/>
        </w:rPr>
        <w:t>болно</w:t>
      </w:r>
      <w:proofErr w:type="spellEnd"/>
      <w:r w:rsidR="002C465A">
        <w:rPr>
          <w:lang w:val="en-US"/>
        </w:rPr>
        <w:t>.</w:t>
      </w:r>
    </w:p>
    <w:p w14:paraId="3B43DE7C" w14:textId="77777777" w:rsidR="00350F93" w:rsidRPr="00857CE7" w:rsidRDefault="002C465A" w:rsidP="00350F93">
      <w:pPr>
        <w:spacing w:line="276" w:lineRule="auto"/>
        <w:ind w:firstLine="720"/>
        <w:jc w:val="both"/>
        <w:rPr>
          <w:lang w:val="en-US"/>
        </w:rPr>
      </w:pPr>
      <w:proofErr w:type="spellStart"/>
      <w:r>
        <w:rPr>
          <w:lang w:val="en-US"/>
        </w:rPr>
        <w:t>Энэ</w:t>
      </w:r>
      <w:proofErr w:type="spellEnd"/>
      <w:r>
        <w:rPr>
          <w:lang w:val="en-US"/>
        </w:rPr>
        <w:t xml:space="preserve"> </w:t>
      </w:r>
      <w:proofErr w:type="spellStart"/>
      <w:r>
        <w:rPr>
          <w:lang w:val="en-US"/>
        </w:rPr>
        <w:t>хүрээнд</w:t>
      </w:r>
      <w:proofErr w:type="spellEnd"/>
      <w:r>
        <w:rPr>
          <w:lang w:val="en-US"/>
        </w:rPr>
        <w:t xml:space="preserve"> </w:t>
      </w:r>
      <w:proofErr w:type="spellStart"/>
      <w:r w:rsidR="00350F93" w:rsidRPr="00857CE7">
        <w:rPr>
          <w:lang w:val="en-US"/>
        </w:rPr>
        <w:t>Хууль</w:t>
      </w:r>
      <w:proofErr w:type="spellEnd"/>
      <w:r w:rsidR="00350F93" w:rsidRPr="00857CE7">
        <w:rPr>
          <w:lang w:val="en-US"/>
        </w:rPr>
        <w:t xml:space="preserve"> </w:t>
      </w:r>
      <w:proofErr w:type="spellStart"/>
      <w:r w:rsidR="00350F93" w:rsidRPr="00857CE7">
        <w:rPr>
          <w:lang w:val="en-US"/>
        </w:rPr>
        <w:t>зүй</w:t>
      </w:r>
      <w:proofErr w:type="spellEnd"/>
      <w:r w:rsidR="00350F93" w:rsidRPr="00857CE7">
        <w:rPr>
          <w:lang w:val="en-US"/>
        </w:rPr>
        <w:t xml:space="preserve">, </w:t>
      </w:r>
      <w:proofErr w:type="spellStart"/>
      <w:r w:rsidR="00350F93" w:rsidRPr="00857CE7">
        <w:rPr>
          <w:lang w:val="en-US"/>
        </w:rPr>
        <w:t>дотоод</w:t>
      </w:r>
      <w:proofErr w:type="spellEnd"/>
      <w:r w:rsidR="00350F93" w:rsidRPr="00857CE7">
        <w:rPr>
          <w:lang w:val="en-US"/>
        </w:rPr>
        <w:t xml:space="preserve"> </w:t>
      </w:r>
      <w:proofErr w:type="spellStart"/>
      <w:r w:rsidR="00350F93" w:rsidRPr="00857CE7">
        <w:rPr>
          <w:lang w:val="en-US"/>
        </w:rPr>
        <w:t>хэргийн</w:t>
      </w:r>
      <w:proofErr w:type="spellEnd"/>
      <w:r w:rsidR="00350F93" w:rsidRPr="00857CE7">
        <w:rPr>
          <w:lang w:val="en-US"/>
        </w:rPr>
        <w:t xml:space="preserve"> </w:t>
      </w:r>
      <w:proofErr w:type="spellStart"/>
      <w:r w:rsidR="00350F93" w:rsidRPr="00857CE7">
        <w:rPr>
          <w:lang w:val="en-US"/>
        </w:rPr>
        <w:t>яамнаас</w:t>
      </w:r>
      <w:proofErr w:type="spellEnd"/>
      <w:r w:rsidR="00350F93" w:rsidRPr="00857CE7">
        <w:rPr>
          <w:lang w:val="en-US"/>
        </w:rPr>
        <w:t xml:space="preserve"> “</w:t>
      </w:r>
      <w:proofErr w:type="spellStart"/>
      <w:r w:rsidR="00350F93" w:rsidRPr="00857CE7">
        <w:rPr>
          <w:lang w:val="en-US"/>
        </w:rPr>
        <w:t>Хууль</w:t>
      </w:r>
      <w:proofErr w:type="spellEnd"/>
      <w:r w:rsidR="00350F93" w:rsidRPr="00857CE7">
        <w:rPr>
          <w:lang w:val="en-US"/>
        </w:rPr>
        <w:t xml:space="preserve">, </w:t>
      </w:r>
      <w:proofErr w:type="spellStart"/>
      <w:r w:rsidR="00350F93" w:rsidRPr="00857CE7">
        <w:rPr>
          <w:lang w:val="en-US"/>
        </w:rPr>
        <w:t>захиргааны</w:t>
      </w:r>
      <w:proofErr w:type="spellEnd"/>
      <w:r w:rsidR="00350F93" w:rsidRPr="00857CE7">
        <w:rPr>
          <w:lang w:val="en-US"/>
        </w:rPr>
        <w:t xml:space="preserve"> </w:t>
      </w:r>
      <w:proofErr w:type="spellStart"/>
      <w:r w:rsidR="00350F93" w:rsidRPr="00857CE7">
        <w:rPr>
          <w:lang w:val="en-US"/>
        </w:rPr>
        <w:t>хэм</w:t>
      </w:r>
      <w:proofErr w:type="spellEnd"/>
      <w:r w:rsidR="00350F93" w:rsidRPr="00857CE7">
        <w:rPr>
          <w:lang w:val="en-US"/>
        </w:rPr>
        <w:t xml:space="preserve"> </w:t>
      </w:r>
      <w:proofErr w:type="spellStart"/>
      <w:r w:rsidR="00350F93" w:rsidRPr="00857CE7">
        <w:rPr>
          <w:lang w:val="en-US"/>
        </w:rPr>
        <w:t>хэмжээний</w:t>
      </w:r>
      <w:proofErr w:type="spellEnd"/>
      <w:r w:rsidR="00350F93" w:rsidRPr="00857CE7">
        <w:rPr>
          <w:lang w:val="en-US"/>
        </w:rPr>
        <w:t xml:space="preserve"> </w:t>
      </w:r>
      <w:proofErr w:type="spellStart"/>
      <w:r w:rsidR="00350F93" w:rsidRPr="00857CE7">
        <w:rPr>
          <w:lang w:val="en-US"/>
        </w:rPr>
        <w:t>актын</w:t>
      </w:r>
      <w:proofErr w:type="spellEnd"/>
      <w:r w:rsidR="00350F93" w:rsidRPr="00857CE7">
        <w:rPr>
          <w:lang w:val="en-US"/>
        </w:rPr>
        <w:t xml:space="preserve"> </w:t>
      </w:r>
      <w:proofErr w:type="spellStart"/>
      <w:r w:rsidR="00350F93" w:rsidRPr="00857CE7">
        <w:rPr>
          <w:lang w:val="en-US"/>
        </w:rPr>
        <w:t>харилцан</w:t>
      </w:r>
      <w:proofErr w:type="spellEnd"/>
      <w:r w:rsidR="00350F93" w:rsidRPr="00857CE7">
        <w:rPr>
          <w:lang w:val="en-US"/>
        </w:rPr>
        <w:t xml:space="preserve"> </w:t>
      </w:r>
      <w:proofErr w:type="spellStart"/>
      <w:r w:rsidR="00350F93" w:rsidRPr="00857CE7">
        <w:rPr>
          <w:lang w:val="en-US"/>
        </w:rPr>
        <w:t>хамаарал</w:t>
      </w:r>
      <w:proofErr w:type="spellEnd"/>
      <w:r w:rsidR="00350F93" w:rsidRPr="00857CE7">
        <w:rPr>
          <w:lang w:val="en-US"/>
        </w:rPr>
        <w:t xml:space="preserve">, </w:t>
      </w:r>
      <w:proofErr w:type="spellStart"/>
      <w:r w:rsidR="00350F93" w:rsidRPr="00857CE7">
        <w:rPr>
          <w:lang w:val="en-US"/>
        </w:rPr>
        <w:t>захиргааны</w:t>
      </w:r>
      <w:proofErr w:type="spellEnd"/>
      <w:r w:rsidR="00350F93" w:rsidRPr="00857CE7">
        <w:rPr>
          <w:lang w:val="en-US"/>
        </w:rPr>
        <w:t xml:space="preserve"> </w:t>
      </w:r>
      <w:proofErr w:type="spellStart"/>
      <w:r w:rsidR="00350F93" w:rsidRPr="00857CE7">
        <w:rPr>
          <w:lang w:val="en-US"/>
        </w:rPr>
        <w:t>хэм</w:t>
      </w:r>
      <w:proofErr w:type="spellEnd"/>
      <w:r w:rsidR="00350F93" w:rsidRPr="00857CE7">
        <w:rPr>
          <w:lang w:val="en-US"/>
        </w:rPr>
        <w:t xml:space="preserve"> </w:t>
      </w:r>
      <w:proofErr w:type="spellStart"/>
      <w:r w:rsidR="00350F93" w:rsidRPr="00857CE7">
        <w:rPr>
          <w:lang w:val="en-US"/>
        </w:rPr>
        <w:t>хэмжээний</w:t>
      </w:r>
      <w:proofErr w:type="spellEnd"/>
      <w:r w:rsidR="00350F93" w:rsidRPr="00857CE7">
        <w:rPr>
          <w:lang w:val="en-US"/>
        </w:rPr>
        <w:t xml:space="preserve"> </w:t>
      </w:r>
      <w:proofErr w:type="spellStart"/>
      <w:r w:rsidR="00350F93" w:rsidRPr="00857CE7">
        <w:rPr>
          <w:lang w:val="en-US"/>
        </w:rPr>
        <w:t>актаар</w:t>
      </w:r>
      <w:proofErr w:type="spellEnd"/>
      <w:r w:rsidR="00350F93" w:rsidRPr="00857CE7">
        <w:rPr>
          <w:lang w:val="en-US"/>
        </w:rPr>
        <w:t xml:space="preserve"> </w:t>
      </w:r>
      <w:proofErr w:type="spellStart"/>
      <w:r w:rsidR="00350F93" w:rsidRPr="00857CE7">
        <w:rPr>
          <w:lang w:val="en-US"/>
        </w:rPr>
        <w:t>зохицуулах</w:t>
      </w:r>
      <w:proofErr w:type="spellEnd"/>
      <w:r w:rsidR="00350F93" w:rsidRPr="00857CE7">
        <w:rPr>
          <w:lang w:val="en-US"/>
        </w:rPr>
        <w:t xml:space="preserve"> </w:t>
      </w:r>
      <w:proofErr w:type="spellStart"/>
      <w:r w:rsidR="00350F93" w:rsidRPr="00857CE7">
        <w:rPr>
          <w:lang w:val="en-US"/>
        </w:rPr>
        <w:t>харилцааны</w:t>
      </w:r>
      <w:proofErr w:type="spellEnd"/>
      <w:r w:rsidR="00350F93" w:rsidRPr="00857CE7">
        <w:rPr>
          <w:lang w:val="en-US"/>
        </w:rPr>
        <w:t xml:space="preserve"> </w:t>
      </w:r>
      <w:proofErr w:type="spellStart"/>
      <w:r w:rsidR="00350F93" w:rsidRPr="00857CE7">
        <w:rPr>
          <w:lang w:val="en-US"/>
        </w:rPr>
        <w:t>хүрээ</w:t>
      </w:r>
      <w:proofErr w:type="spellEnd"/>
      <w:r w:rsidR="00350F93" w:rsidRPr="00857CE7">
        <w:rPr>
          <w:lang w:val="en-US"/>
        </w:rPr>
        <w:t xml:space="preserve">, </w:t>
      </w:r>
      <w:proofErr w:type="spellStart"/>
      <w:r w:rsidR="00350F93" w:rsidRPr="00857CE7">
        <w:rPr>
          <w:lang w:val="en-US"/>
        </w:rPr>
        <w:t>хязгаар</w:t>
      </w:r>
      <w:proofErr w:type="spellEnd"/>
      <w:r w:rsidR="00350F93" w:rsidRPr="00857CE7">
        <w:rPr>
          <w:lang w:val="en-US"/>
        </w:rPr>
        <w:t>”-</w:t>
      </w:r>
      <w:proofErr w:type="spellStart"/>
      <w:r w:rsidR="00350F93" w:rsidRPr="00857CE7">
        <w:rPr>
          <w:lang w:val="en-US"/>
        </w:rPr>
        <w:t>ын</w:t>
      </w:r>
      <w:proofErr w:type="spellEnd"/>
      <w:r w:rsidR="00350F93" w:rsidRPr="00857CE7">
        <w:rPr>
          <w:lang w:val="en-US"/>
        </w:rPr>
        <w:t xml:space="preserve"> </w:t>
      </w:r>
      <w:proofErr w:type="spellStart"/>
      <w:r w:rsidR="00350F93" w:rsidRPr="00857CE7">
        <w:rPr>
          <w:lang w:val="en-US"/>
        </w:rPr>
        <w:t>талаарх</w:t>
      </w:r>
      <w:proofErr w:type="spellEnd"/>
      <w:r w:rsidR="00350F93" w:rsidRPr="00857CE7">
        <w:rPr>
          <w:lang w:val="en-US"/>
        </w:rPr>
        <w:t xml:space="preserve"> </w:t>
      </w:r>
      <w:proofErr w:type="spellStart"/>
      <w:r w:rsidR="00350F93" w:rsidRPr="00857CE7">
        <w:rPr>
          <w:lang w:val="en-US"/>
        </w:rPr>
        <w:t>онолын</w:t>
      </w:r>
      <w:proofErr w:type="spellEnd"/>
      <w:r w:rsidR="00350F93" w:rsidRPr="00857CE7">
        <w:rPr>
          <w:lang w:val="en-US"/>
        </w:rPr>
        <w:t xml:space="preserve"> </w:t>
      </w:r>
      <w:proofErr w:type="spellStart"/>
      <w:r w:rsidR="00350F93" w:rsidRPr="00857CE7">
        <w:rPr>
          <w:lang w:val="en-US"/>
        </w:rPr>
        <w:t>болон</w:t>
      </w:r>
      <w:proofErr w:type="spellEnd"/>
      <w:r w:rsidR="00350F93" w:rsidRPr="00857CE7">
        <w:rPr>
          <w:lang w:val="en-US"/>
        </w:rPr>
        <w:t xml:space="preserve"> </w:t>
      </w:r>
      <w:proofErr w:type="spellStart"/>
      <w:r w:rsidR="00350F93" w:rsidRPr="00857CE7">
        <w:rPr>
          <w:lang w:val="en-US"/>
        </w:rPr>
        <w:t>харьцуулсан</w:t>
      </w:r>
      <w:proofErr w:type="spellEnd"/>
      <w:r w:rsidR="00350F93" w:rsidRPr="00857CE7">
        <w:rPr>
          <w:lang w:val="en-US"/>
        </w:rPr>
        <w:t xml:space="preserve"> </w:t>
      </w:r>
      <w:proofErr w:type="spellStart"/>
      <w:r w:rsidR="00350F93" w:rsidRPr="00857CE7">
        <w:rPr>
          <w:lang w:val="en-US"/>
        </w:rPr>
        <w:t>судалгааг</w:t>
      </w:r>
      <w:proofErr w:type="spellEnd"/>
      <w:r w:rsidR="00350F93" w:rsidRPr="00857CE7">
        <w:rPr>
          <w:lang w:val="en-US"/>
        </w:rPr>
        <w:t xml:space="preserve"> </w:t>
      </w:r>
      <w:proofErr w:type="spellStart"/>
      <w:r w:rsidR="00350F93" w:rsidRPr="00857CE7">
        <w:rPr>
          <w:lang w:val="en-US"/>
        </w:rPr>
        <w:t>судалгааны</w:t>
      </w:r>
      <w:proofErr w:type="spellEnd"/>
      <w:r w:rsidR="00350F93" w:rsidRPr="00857CE7">
        <w:rPr>
          <w:lang w:val="en-US"/>
        </w:rPr>
        <w:t xml:space="preserve"> </w:t>
      </w:r>
      <w:proofErr w:type="spellStart"/>
      <w:r w:rsidR="00350F93" w:rsidRPr="00857CE7">
        <w:rPr>
          <w:lang w:val="en-US"/>
        </w:rPr>
        <w:t>багаар</w:t>
      </w:r>
      <w:proofErr w:type="spellEnd"/>
      <w:r w:rsidR="00350F93" w:rsidRPr="00857CE7">
        <w:rPr>
          <w:lang w:val="en-US"/>
        </w:rPr>
        <w:t xml:space="preserve"> </w:t>
      </w:r>
      <w:proofErr w:type="spellStart"/>
      <w:r w:rsidR="00350F93" w:rsidRPr="00857CE7">
        <w:rPr>
          <w:lang w:val="en-US"/>
        </w:rPr>
        <w:t>захиалгаар</w:t>
      </w:r>
      <w:proofErr w:type="spellEnd"/>
      <w:r w:rsidR="00350F93" w:rsidRPr="00857CE7">
        <w:rPr>
          <w:lang w:val="en-US"/>
        </w:rPr>
        <w:t xml:space="preserve"> </w:t>
      </w:r>
      <w:proofErr w:type="spellStart"/>
      <w:r w:rsidR="00350F93" w:rsidRPr="00857CE7">
        <w:rPr>
          <w:lang w:val="en-US"/>
        </w:rPr>
        <w:t>гүйцэтгүүлсэн</w:t>
      </w:r>
      <w:proofErr w:type="spellEnd"/>
      <w:r w:rsidR="00350F93" w:rsidRPr="00857CE7">
        <w:rPr>
          <w:lang w:val="en-US"/>
        </w:rPr>
        <w:t xml:space="preserve"> </w:t>
      </w:r>
      <w:proofErr w:type="spellStart"/>
      <w:r w:rsidR="00350F93" w:rsidRPr="00857CE7">
        <w:rPr>
          <w:lang w:val="en-US"/>
        </w:rPr>
        <w:t>болно</w:t>
      </w:r>
      <w:proofErr w:type="spellEnd"/>
      <w:r w:rsidR="00350F93" w:rsidRPr="00857CE7">
        <w:rPr>
          <w:lang w:val="en-US"/>
        </w:rPr>
        <w:t xml:space="preserve">. </w:t>
      </w:r>
    </w:p>
    <w:p w14:paraId="35BB151D" w14:textId="77777777" w:rsidR="00350F93" w:rsidRPr="00857CE7" w:rsidRDefault="00350F93" w:rsidP="00350F93">
      <w:pPr>
        <w:spacing w:line="276" w:lineRule="auto"/>
        <w:ind w:firstLine="720"/>
        <w:jc w:val="both"/>
        <w:rPr>
          <w:lang w:val="mn-MN"/>
        </w:rPr>
      </w:pPr>
      <w:r w:rsidRPr="00857CE7">
        <w:rPr>
          <w:lang w:val="mn-MN"/>
        </w:rPr>
        <w:t xml:space="preserve">Харьцуулан судлахаар сонгон авсан манай улстай эрх зүйн бүл нэг гэгдэх Герман, Унгар, Япон (түүнчлэн, </w:t>
      </w:r>
      <w:r w:rsidRPr="00857CE7">
        <w:rPr>
          <w:i/>
          <w:lang w:val="mn-MN"/>
        </w:rPr>
        <w:t>Францын (Европын холбоо) зохицуулалтыг харгалзан үзсэн</w:t>
      </w:r>
      <w:r w:rsidRPr="00857CE7">
        <w:rPr>
          <w:lang w:val="mn-MN"/>
        </w:rPr>
        <w:t>) улс болон АНУ, Англи улсын “</w:t>
      </w:r>
      <w:r w:rsidRPr="00857CE7">
        <w:rPr>
          <w:i/>
          <w:lang w:val="mn-MN"/>
        </w:rPr>
        <w:t>хууль, хэм хэмжээ тогтоосон акт хоорондын харьцаа, эрх шилжүүлэх нөхцөл, шалгуур</w:t>
      </w:r>
      <w:r w:rsidRPr="00857CE7">
        <w:rPr>
          <w:lang w:val="mn-MN"/>
        </w:rPr>
        <w:t>”-ын эрх зүйн хэрэглээ, түүнийх нь онолын үндсийг дараах байдлаар нэгтгэн, танилцуулж байна.</w:t>
      </w:r>
      <w:r w:rsidRPr="00857CE7">
        <w:t xml:space="preserve"> </w:t>
      </w:r>
      <w:r w:rsidRPr="00857CE7">
        <w:rPr>
          <w:i/>
          <w:lang w:val="mn-MN"/>
        </w:rPr>
        <w:t>Нэгтгэн дүгнэвэл</w:t>
      </w:r>
      <w:r w:rsidRPr="00857CE7">
        <w:rPr>
          <w:lang w:val="mn-MN"/>
        </w:rPr>
        <w:t xml:space="preserve">, харьцуулсан судалсан улсуудын хувьд </w:t>
      </w:r>
      <w:r w:rsidRPr="00857CE7">
        <w:t xml:space="preserve">1) </w:t>
      </w:r>
      <w:r w:rsidRPr="00857CE7">
        <w:rPr>
          <w:lang w:val="mn-MN"/>
        </w:rPr>
        <w:t xml:space="preserve">хэм хэмжээ тогтоох эрхийг захиргаанд шилжүүлэх нь зайлшгүй зөвшөөрөгдсөн, </w:t>
      </w:r>
      <w:r w:rsidRPr="00857CE7">
        <w:t xml:space="preserve">2) </w:t>
      </w:r>
      <w:r w:rsidRPr="00857CE7">
        <w:rPr>
          <w:lang w:val="mn-MN"/>
        </w:rPr>
        <w:t xml:space="preserve">хууль өөртөө эрх шилжүүлж буй зорилго, агуулга, цар хүрээ хязгаарыг заасан байх, </w:t>
      </w:r>
      <w:r w:rsidRPr="00857CE7">
        <w:t xml:space="preserve">3) </w:t>
      </w:r>
      <w:r w:rsidRPr="00857CE7">
        <w:rPr>
          <w:lang w:val="mn-MN"/>
        </w:rPr>
        <w:t>эрх шилжүүлсэн байдлыг парламентын (ардчилсан зарчмын үүднээс-урьдчилсан) болон шүүхийн (эрх зүйт ёсны үүднээс-удаах) хяналтын механизмыг ажилладаг байна.</w:t>
      </w:r>
    </w:p>
    <w:p w14:paraId="6525B9BF" w14:textId="77777777" w:rsidR="00350F93" w:rsidRPr="00857CE7" w:rsidRDefault="00350F93" w:rsidP="00350F93">
      <w:pPr>
        <w:spacing w:line="276" w:lineRule="auto"/>
        <w:ind w:firstLine="720"/>
        <w:jc w:val="both"/>
        <w:rPr>
          <w:lang w:val="mn-MN"/>
        </w:rPr>
      </w:pPr>
      <w:bookmarkStart w:id="0" w:name="_Hlk162547925"/>
      <w:r w:rsidRPr="00857CE7">
        <w:rPr>
          <w:i/>
          <w:lang w:val="mn-MN"/>
        </w:rPr>
        <w:t>1.Германы хувьд</w:t>
      </w:r>
      <w:r w:rsidRPr="00857CE7">
        <w:rPr>
          <w:lang w:val="mn-MN"/>
        </w:rPr>
        <w:t>, хэм хэмжээ тогтоох эрх захиргаанд шилжүүлэхийг Үндсэн хуулийн хүрээнд зөвшөөрөх бөгөөд гагцхүү хууль тогтоогч</w:t>
      </w:r>
      <w:r w:rsidRPr="00857CE7">
        <w:rPr>
          <w:rStyle w:val="FootnoteReference"/>
          <w:lang w:val="mn-MN"/>
        </w:rPr>
        <w:footnoteReference w:id="1"/>
      </w:r>
      <w:r w:rsidRPr="00857CE7">
        <w:rPr>
          <w:lang w:val="mn-MN"/>
        </w:rPr>
        <w:t xml:space="preserve"> нь </w:t>
      </w:r>
      <w:bookmarkStart w:id="1" w:name="_Hlk162511422"/>
      <w:r w:rsidRPr="00857CE7">
        <w:rPr>
          <w:lang w:val="mn-MN"/>
        </w:rPr>
        <w:t xml:space="preserve">шилжүүлж буй эрх хэмжээнийхээ “агуулга, зорилго болон цар хүрээг” харьцангуй тодорхой зааж </w:t>
      </w:r>
      <w:bookmarkEnd w:id="1"/>
      <w:r w:rsidRPr="00857CE7">
        <w:rPr>
          <w:lang w:val="mn-MN"/>
        </w:rPr>
        <w:t>өгөх ёстой.</w:t>
      </w:r>
      <w:r w:rsidRPr="00857CE7">
        <w:rPr>
          <w:rStyle w:val="FootnoteReference"/>
          <w:lang w:val="mn-MN"/>
        </w:rPr>
        <w:footnoteReference w:id="2"/>
      </w:r>
      <w:r w:rsidRPr="00857CE7">
        <w:rPr>
          <w:lang w:val="mn-MN"/>
        </w:rPr>
        <w:t xml:space="preserve"> Энэ нь хууль тогтоогч </w:t>
      </w:r>
      <w:r w:rsidRPr="00857CE7">
        <w:rPr>
          <w:i/>
          <w:lang w:val="mn-MN"/>
        </w:rPr>
        <w:t>суурь шинжтэй асуудлыг</w:t>
      </w:r>
      <w:r w:rsidRPr="00857CE7">
        <w:rPr>
          <w:lang w:val="mn-MN"/>
        </w:rPr>
        <w:t xml:space="preserve"> өөрөө шийдвэрлэх ёстой гэх “</w:t>
      </w:r>
      <w:r w:rsidRPr="00857CE7">
        <w:rPr>
          <w:i/>
        </w:rPr>
        <w:t>Wesentlichkeitstheorie</w:t>
      </w:r>
      <w:r w:rsidRPr="00857CE7">
        <w:rPr>
          <w:lang w:val="mn-MN"/>
        </w:rPr>
        <w:t>”</w:t>
      </w:r>
      <w:r w:rsidRPr="00857CE7">
        <w:rPr>
          <w:vertAlign w:val="superscript"/>
        </w:rPr>
        <w:footnoteReference w:id="3"/>
      </w:r>
      <w:r w:rsidRPr="00857CE7">
        <w:rPr>
          <w:lang w:val="mn-MN"/>
        </w:rPr>
        <w:t xml:space="preserve"> онолд үндэслэх агаад жишгийн эрх зүйн “</w:t>
      </w:r>
      <w:r w:rsidRPr="00857CE7">
        <w:rPr>
          <w:i/>
          <w:lang w:val="mn-MN"/>
        </w:rPr>
        <w:t>non-delegation</w:t>
      </w:r>
      <w:r w:rsidRPr="00857CE7">
        <w:rPr>
          <w:lang w:val="mn-MN"/>
        </w:rPr>
        <w:t>” доктринтой дүйх ойлголт юм. Энэ нь үндсэн хуулийн эрх зүй дэх ардчилсан ёсны болон эрх зүйт ёсны зарчмаас улбаатай бөгөөд юуг суурь асуудал (</w:t>
      </w:r>
      <w:r w:rsidRPr="00857CE7">
        <w:rPr>
          <w:i/>
        </w:rPr>
        <w:t>e</w:t>
      </w:r>
      <w:r w:rsidRPr="00857CE7">
        <w:rPr>
          <w:i/>
          <w:lang w:val="mn-MN"/>
        </w:rPr>
        <w:t>ssential matters</w:t>
      </w:r>
      <w:r w:rsidRPr="00857CE7">
        <w:rPr>
          <w:lang w:val="mn-MN"/>
        </w:rPr>
        <w:t xml:space="preserve">) гэж үзэх нь туйлын тодорхой биш боловч үндсэн эрх, эрх зүйт ёс, ялангуяа “эрх зүйн </w:t>
      </w:r>
      <w:r w:rsidRPr="00857CE7">
        <w:rPr>
          <w:lang w:val="mn-MN"/>
        </w:rPr>
        <w:lastRenderedPageBreak/>
        <w:t>тодорхой байдал” зэрэгт нөлөөлөх шинжтэй асуудлууд багтах</w:t>
      </w:r>
      <w:r w:rsidRPr="00857CE7">
        <w:rPr>
          <w:rStyle w:val="FootnoteReference"/>
          <w:lang w:val="mn-MN"/>
        </w:rPr>
        <w:footnoteReference w:id="4"/>
      </w:r>
      <w:r w:rsidRPr="00857CE7">
        <w:rPr>
          <w:lang w:val="mn-MN"/>
        </w:rPr>
        <w:t xml:space="preserve"> нь тодорхой байдаг аж.</w:t>
      </w:r>
      <w:r w:rsidRPr="00857CE7">
        <w:t xml:space="preserve"> </w:t>
      </w:r>
      <w:r w:rsidRPr="00857CE7">
        <w:rPr>
          <w:lang w:val="mn-MN"/>
        </w:rPr>
        <w:t xml:space="preserve">Хэрэв эрх олгож буй хууль нь өөрөө шилжүүлж буй эрх хэмжээнийхээ “агуулга, зорилго болон цар хүрээг” тодорхой заагаагүй бол </w:t>
      </w:r>
      <w:r w:rsidRPr="00857CE7">
        <w:rPr>
          <w:i/>
        </w:rPr>
        <w:t>void</w:t>
      </w:r>
      <w:r w:rsidRPr="00857CE7">
        <w:t xml:space="preserve"> </w:t>
      </w:r>
      <w:r w:rsidRPr="00857CE7">
        <w:rPr>
          <w:lang w:val="mn-MN"/>
        </w:rPr>
        <w:t>буюу хүчин төгөлдөр бус болно.</w:t>
      </w:r>
    </w:p>
    <w:p w14:paraId="7353C7C6" w14:textId="77777777" w:rsidR="00350F93" w:rsidRPr="00857CE7" w:rsidRDefault="00350F93" w:rsidP="002C465A">
      <w:pPr>
        <w:spacing w:line="276" w:lineRule="auto"/>
        <w:ind w:firstLine="720"/>
        <w:jc w:val="both"/>
        <w:rPr>
          <w:lang w:val="mn-MN"/>
        </w:rPr>
      </w:pPr>
      <w:r w:rsidRPr="00857CE7">
        <w:rPr>
          <w:lang w:val="mn-MN"/>
        </w:rPr>
        <w:t>Холбооны ҮнХШ-ээс хэд хэдэн томьёоллыг энд хэрэглэхээр уг заалтыг тайлбарлаж байжээ. Үүнд юуны өмнө “</w:t>
      </w:r>
      <w:r w:rsidRPr="00857CE7">
        <w:rPr>
          <w:i/>
          <w:lang w:val="mn-MN"/>
        </w:rPr>
        <w:t>хууль тогтоогч өөрөө шийдэх</w:t>
      </w:r>
      <w:r w:rsidRPr="00857CE7">
        <w:rPr>
          <w:lang w:val="mn-MN"/>
        </w:rPr>
        <w:t>” томьёолол нь яг ямар асуудлыг хэм хэмжээний актаар шийдвэрлүүлэхийг (</w:t>
      </w:r>
      <w:r w:rsidRPr="00857CE7">
        <w:rPr>
          <w:i/>
          <w:lang w:val="mn-MN"/>
        </w:rPr>
        <w:t>агуулгыг тодорхойлох</w:t>
      </w:r>
      <w:r w:rsidRPr="00857CE7">
        <w:rPr>
          <w:lang w:val="mn-MN"/>
        </w:rPr>
        <w:t>), уг актын хүрээ хязгаарыг (</w:t>
      </w:r>
      <w:r w:rsidRPr="00857CE7">
        <w:rPr>
          <w:i/>
          <w:lang w:val="mn-MN"/>
        </w:rPr>
        <w:t>цар хүрээг тодорхойлох</w:t>
      </w:r>
      <w:r w:rsidRPr="00857CE7">
        <w:rPr>
          <w:lang w:val="mn-MN"/>
        </w:rPr>
        <w:t xml:space="preserve">), мөн хэм хэмжээний актын </w:t>
      </w:r>
      <w:r w:rsidRPr="00857CE7">
        <w:rPr>
          <w:i/>
          <w:lang w:val="mn-MN"/>
        </w:rPr>
        <w:t>зорилгыг</w:t>
      </w:r>
      <w:r w:rsidRPr="00857CE7">
        <w:rPr>
          <w:lang w:val="mn-MN"/>
        </w:rPr>
        <w:t xml:space="preserve"> хууль тогтоогч өөрөө бүрэн тодорхойлж, хуульд тусгах ёстой гэсэн шаардлага тавихыг хэлнэ. ХҮнХ-ийн шүүх “зорилтот хөтөлбөрийн” хэлбэрээр үүнийг томьёолсон байх ба үүнд хууль тогтоогч хэм хэмжээний актаар хүрэх зорилтот хөтөлбөрийг хуульд өгөхийг ойлгоно. Өөр нэг томьёололд “урьдчилан харах” боломжийг дурдсан нь иргэд эрх олгосон заалт бүхий хуулийг уншаад ямар нөхцөлд, ямар хэлбэрээр энэхүү эрх хэмжээг хэрэгжүүлж болохыг төвөггүй ойлгох, эрх хэмжээ олгосон заалтаас хэм хэмжээний акт ямар агуулгатай болохыг таамаглах боломжтой байхыг гол болгожээ. </w:t>
      </w:r>
      <w:bookmarkEnd w:id="0"/>
    </w:p>
    <w:p w14:paraId="7023ECA4" w14:textId="77777777" w:rsidR="00350F93" w:rsidRPr="00857CE7" w:rsidRDefault="00350F93" w:rsidP="00350F93">
      <w:pPr>
        <w:spacing w:line="276" w:lineRule="auto"/>
        <w:ind w:firstLine="720"/>
        <w:jc w:val="both"/>
        <w:rPr>
          <w:lang w:val="mn-MN"/>
        </w:rPr>
      </w:pPr>
      <w:r w:rsidRPr="00857CE7">
        <w:rPr>
          <w:i/>
          <w:lang w:val="mn-MN"/>
        </w:rPr>
        <w:t>2. Японы хувьд</w:t>
      </w:r>
      <w:r w:rsidRPr="00857CE7">
        <w:rPr>
          <w:lang w:val="mn-MN"/>
        </w:rPr>
        <w:t>, Үндсэн хуулийн 41 дүгээр зүйлд парламент нь “цорын ганц” хууль тогтоох байгууллага хэмээн заасан байхын зэрэгцээ 73 дугаар зүйлийн 73.6-д “</w:t>
      </w:r>
      <w:r w:rsidRPr="00857CE7">
        <w:rPr>
          <w:i/>
          <w:lang w:val="mn-MN"/>
        </w:rPr>
        <w:t>Үндсэн хууль болон бусад хуулийн заалтыг хэрэгжүүлэх зорилгоор Засгийн газар тогтоол гаргаж болно. Гэхдээ хуулиар эрх шилжүүлснээс бусад тохиолдолд хариуцлага хүлээлгэх журмыг тусгаж болохгүй</w:t>
      </w:r>
      <w:r w:rsidRPr="00857CE7">
        <w:rPr>
          <w:lang w:val="mn-MN"/>
        </w:rPr>
        <w:t>” хэмээн зохицуулсан</w:t>
      </w:r>
      <w:r w:rsidRPr="00857CE7">
        <w:t xml:space="preserve"> </w:t>
      </w:r>
      <w:r w:rsidRPr="00857CE7">
        <w:rPr>
          <w:lang w:val="mn-MN"/>
        </w:rPr>
        <w:t xml:space="preserve">тул шүүхийн жишигт “... хууль нь хэм хэмжээний актад эрх шилжүүлэх тохиолдолд тус хуулийн зохицуулалтаас эрх шилжүүлж буй </w:t>
      </w:r>
      <w:r w:rsidRPr="00857CE7">
        <w:rPr>
          <w:i/>
          <w:lang w:val="mn-MN"/>
        </w:rPr>
        <w:t>зорилго, агуулга, түвшин зэрэг нь тодорхой байх</w:t>
      </w:r>
      <w:r w:rsidRPr="00857CE7">
        <w:rPr>
          <w:lang w:val="mn-MN"/>
        </w:rPr>
        <w:t xml:space="preserve"> шаардлага тавьдаг бөгөөд ерөнхий байдлаар (</w:t>
      </w:r>
      <w:proofErr w:type="spellStart"/>
      <w:r w:rsidRPr="00857CE7">
        <w:rPr>
          <w:rFonts w:eastAsia="MS Gothic"/>
          <w:lang w:val="mn-MN"/>
        </w:rPr>
        <w:t>概括的</w:t>
      </w:r>
      <w:proofErr w:type="spellEnd"/>
      <w:r w:rsidRPr="00857CE7">
        <w:rPr>
          <w:lang w:val="mn-MN"/>
        </w:rPr>
        <w:t>), цулгуй цаасаар</w:t>
      </w:r>
      <w:r w:rsidRPr="00857CE7">
        <w:rPr>
          <w:rFonts w:eastAsia="MS Gothic"/>
          <w:lang w:val="mn-MN"/>
        </w:rPr>
        <w:t>（</w:t>
      </w:r>
      <w:proofErr w:type="spellStart"/>
      <w:r w:rsidRPr="00857CE7">
        <w:rPr>
          <w:rFonts w:eastAsia="MS Gothic"/>
          <w:lang w:val="mn-MN"/>
        </w:rPr>
        <w:t>白地的</w:t>
      </w:r>
      <w:proofErr w:type="spellEnd"/>
      <w:r w:rsidRPr="00857CE7">
        <w:rPr>
          <w:rFonts w:eastAsia="MS Gothic"/>
          <w:lang w:val="mn-MN"/>
        </w:rPr>
        <w:t>）</w:t>
      </w:r>
      <w:r w:rsidRPr="00857CE7">
        <w:rPr>
          <w:lang w:val="mn-MN"/>
        </w:rPr>
        <w:t xml:space="preserve">эрх шилжүүлэхийг зөвшөөрөхгүй” гэх шалгуур тогтсон. </w:t>
      </w:r>
    </w:p>
    <w:p w14:paraId="2D3A3735" w14:textId="77777777" w:rsidR="00350F93" w:rsidRPr="00857CE7" w:rsidRDefault="00350F93" w:rsidP="00350F93">
      <w:pPr>
        <w:spacing w:line="276" w:lineRule="auto"/>
        <w:ind w:firstLine="720"/>
        <w:jc w:val="both"/>
        <w:rPr>
          <w:lang w:val="mn-MN"/>
        </w:rPr>
      </w:pPr>
      <w:r w:rsidRPr="00857CE7">
        <w:rPr>
          <w:lang w:val="mn-MN"/>
        </w:rPr>
        <w:t>Өөрөөр хэлбэл эрх шилжүүлж буй заалт нь хэт ерөнхий байж болохгүй ба ямарч шалгуургүй хоосон цаасаар эрх шилжүүлэх нь Үндсэн хуулийн зөрчилд тооцогддог аж. Түүнчлэн хэм хэмжээний актыг түүний агуулга болон хуулиар эрх шилжүүлсэн хэлбэрээс шалтгаалан, “хуулийг дагаж мөрдөх журам</w:t>
      </w:r>
      <w:r w:rsidRPr="00857CE7">
        <w:rPr>
          <w:rFonts w:eastAsia="MS Gothic"/>
          <w:lang w:val="mn-MN"/>
        </w:rPr>
        <w:t>（</w:t>
      </w:r>
      <w:proofErr w:type="spellStart"/>
      <w:r w:rsidRPr="00857CE7">
        <w:rPr>
          <w:rFonts w:eastAsia="MS Gothic"/>
          <w:lang w:val="mn-MN"/>
        </w:rPr>
        <w:t>執行命令</w:t>
      </w:r>
      <w:proofErr w:type="spellEnd"/>
      <w:r w:rsidRPr="00857CE7">
        <w:rPr>
          <w:rFonts w:eastAsia="MS Gothic"/>
          <w:lang w:val="mn-MN"/>
        </w:rPr>
        <w:t>）</w:t>
      </w:r>
      <w:r w:rsidRPr="00857CE7">
        <w:rPr>
          <w:lang w:val="mn-MN"/>
        </w:rPr>
        <w:t>” болон “хуулиар эрх шилжүүлсэн хэм хэмжээний акт</w:t>
      </w:r>
      <w:r w:rsidRPr="00857CE7">
        <w:rPr>
          <w:rFonts w:eastAsia="MS Gothic"/>
          <w:lang w:val="mn-MN"/>
        </w:rPr>
        <w:t>（</w:t>
      </w:r>
      <w:proofErr w:type="spellStart"/>
      <w:r w:rsidRPr="00857CE7">
        <w:rPr>
          <w:rFonts w:eastAsia="MS Gothic"/>
          <w:lang w:val="mn-MN"/>
        </w:rPr>
        <w:t>委任命令</w:t>
      </w:r>
      <w:proofErr w:type="spellEnd"/>
      <w:r w:rsidRPr="00857CE7">
        <w:rPr>
          <w:rFonts w:eastAsia="MS Gothic"/>
          <w:lang w:val="mn-MN"/>
        </w:rPr>
        <w:t>）</w:t>
      </w:r>
      <w:r w:rsidRPr="00857CE7">
        <w:rPr>
          <w:lang w:val="mn-MN"/>
        </w:rPr>
        <w:t>” гэж хоёр ангилдаг.</w:t>
      </w:r>
    </w:p>
    <w:p w14:paraId="2D64A7D3" w14:textId="77777777" w:rsidR="00350F93" w:rsidRPr="00857CE7" w:rsidRDefault="00350F93" w:rsidP="00350F93">
      <w:pPr>
        <w:spacing w:line="276" w:lineRule="auto"/>
        <w:ind w:firstLine="720"/>
        <w:jc w:val="both"/>
      </w:pPr>
      <w:r w:rsidRPr="00857CE7">
        <w:rPr>
          <w:i/>
          <w:lang w:val="mn-MN"/>
        </w:rPr>
        <w:t>3. Унгарын хувьд</w:t>
      </w:r>
      <w:r w:rsidRPr="00857CE7">
        <w:rPr>
          <w:lang w:val="mn-MN"/>
        </w:rPr>
        <w:t>, Үндсэн Хуулийн 15-р зүйлийн 3-р хэсэгт “</w:t>
      </w:r>
      <w:r w:rsidRPr="00857CE7">
        <w:rPr>
          <w:i/>
          <w:lang w:val="mn-MN"/>
        </w:rPr>
        <w:t>Засгийн газар үүргээ гүйцэтгэхдээ Үндэсний Ассамблейн актаар зохицуулагдаагүй, эсхүл хуулиар олгогдсон эрхийн хүрээнд тогтоол гаргана</w:t>
      </w:r>
      <w:r w:rsidRPr="00857CE7">
        <w:rPr>
          <w:lang w:val="mn-MN"/>
        </w:rPr>
        <w:t>” хэмээсэн байгаа нь хуулиар хэм хэмжээний акт тогтоох эрхийг шилжүүлэх боломжийг олгосон байна. Түүнчлэн, Хууль тогтоомжийн тухай хуулийн 4-р зүйлд “</w:t>
      </w:r>
      <w:r w:rsidRPr="00857CE7">
        <w:rPr>
          <w:i/>
          <w:lang w:val="mn-MN"/>
        </w:rPr>
        <w:t>хуулиар зохицуулах харилцаанд тухайн зохицуулалтыг хэрэгжүүлэх үндсэн байгууллагууд болон зохицуулалтын зорилго хүрэхэд шаардагдах чухал баталгааг тусгана</w:t>
      </w:r>
      <w:r w:rsidRPr="00857CE7">
        <w:rPr>
          <w:lang w:val="mn-MN"/>
        </w:rPr>
        <w:t>” гэжээ. Мөн хуулийн 5-р зүйлийн 2-р хэсэгт хуулиар хэм хэмжээний актыг тогтоох эрх шилжүүлэхэд тавигдах хязгаарлалтыг заасан байх бөгөөд үүнд: 1) эрх зүйн үндсэн чиг үүргийн гүйцэтгэдэг байгууллагууд хамаарах болон тэдгээрийн эрх, үүргийг зохицуулах тухай, 2) хуулийг бүхэлд нь хэрэгжүүлэх тухай, болон 3) эрх шилжүүлэх тухайн актад заагаагүй асуудлыг зохицуулах зэрэг нь боломжгүйг тусгажээ</w:t>
      </w:r>
      <w:r w:rsidRPr="00857CE7">
        <w:t>.</w:t>
      </w:r>
    </w:p>
    <w:p w14:paraId="09870CA4" w14:textId="77777777" w:rsidR="00350F93" w:rsidRPr="00857CE7" w:rsidRDefault="00350F93" w:rsidP="00350F93">
      <w:pPr>
        <w:spacing w:line="276" w:lineRule="auto"/>
        <w:ind w:firstLine="720"/>
        <w:jc w:val="both"/>
        <w:rPr>
          <w:lang w:val="mn-MN"/>
        </w:rPr>
      </w:pPr>
      <w:r w:rsidRPr="00857CE7">
        <w:rPr>
          <w:i/>
          <w:lang w:val="mn-MN"/>
        </w:rPr>
        <w:t>4. Англи, АНУ-ын хувьд</w:t>
      </w:r>
      <w:r w:rsidRPr="00857CE7">
        <w:rPr>
          <w:lang w:val="mn-MN"/>
        </w:rPr>
        <w:t xml:space="preserve">, эрх зүйн хэрэглээнд хууль тогтоогч хэм хэмжээ тогтоох эрхээ захиргааны байгууллагад шилжүүлэх нь түгээмэл зөвшөөрөгдсөн бөгөөд гагцхүү </w:t>
      </w:r>
      <w:r w:rsidRPr="00857CE7">
        <w:rPr>
          <w:lang w:val="mn-MN"/>
        </w:rPr>
        <w:lastRenderedPageBreak/>
        <w:t xml:space="preserve">энэхүү эрхийг </w:t>
      </w:r>
      <w:r w:rsidRPr="00857CE7">
        <w:t xml:space="preserve">a) </w:t>
      </w:r>
      <w:r w:rsidRPr="00857CE7">
        <w:rPr>
          <w:lang w:val="mn-MN"/>
        </w:rPr>
        <w:t xml:space="preserve">шилжүүлэх, шилжүүлсэн эрхийг </w:t>
      </w:r>
      <w:r w:rsidRPr="00857CE7">
        <w:t xml:space="preserve">b) </w:t>
      </w:r>
      <w:r w:rsidRPr="00857CE7">
        <w:rPr>
          <w:lang w:val="mn-MN"/>
        </w:rPr>
        <w:t>хэрэгжүүлэх гэсэн хоёр хэсэгт ардчилсан ёсны болон эрх зүйт ёсны зарчмын үүднээс үр нөлөөтэй хяналт тавих ёстой гэж үздэг байна.</w:t>
      </w:r>
      <w:r w:rsidRPr="00857CE7">
        <w:t xml:space="preserve"> </w:t>
      </w:r>
      <w:r w:rsidRPr="00857CE7">
        <w:rPr>
          <w:lang w:val="mn-MN"/>
        </w:rPr>
        <w:t>АНУ-д хэм хэмжээ тогтоох эрхийг шилжүүлэхэд</w:t>
      </w:r>
      <w:r w:rsidRPr="00857CE7">
        <w:t xml:space="preserve"> </w:t>
      </w:r>
      <w:r w:rsidRPr="00857CE7">
        <w:rPr>
          <w:lang w:val="mn-MN"/>
        </w:rPr>
        <w:t>ямар шаардлага хангасан байх талаарх (үндсэн хуулийн эрх зүйн) шалгуурыг тогтоосон. Уг шалгуур нь хууль тогтоогч шилжүүлж буй хэм хэмжээ тогтоох эрхийн “</w:t>
      </w:r>
      <w:r w:rsidRPr="00857CE7">
        <w:rPr>
          <w:i/>
          <w:lang w:val="mn-MN"/>
        </w:rPr>
        <w:t>цар хүрээ, хязгаар</w:t>
      </w:r>
      <w:r w:rsidRPr="00857CE7">
        <w:rPr>
          <w:lang w:val="mn-MN"/>
        </w:rPr>
        <w:t xml:space="preserve">”-ыг тодорхой бөгөөд ойлгогдохоор </w:t>
      </w:r>
      <w:r w:rsidRPr="00857CE7">
        <w:t>(</w:t>
      </w:r>
      <w:r w:rsidRPr="00857CE7">
        <w:rPr>
          <w:i/>
        </w:rPr>
        <w:t>“intelligible principle” standard</w:t>
      </w:r>
      <w:r w:rsidRPr="00857CE7">
        <w:t xml:space="preserve">) </w:t>
      </w:r>
      <w:r w:rsidRPr="00857CE7">
        <w:rPr>
          <w:lang w:val="mn-MN"/>
        </w:rPr>
        <w:t>заасан байх явдал аж. Хууль тогтоогчоос эрх шилжүүлэхдээ хэм хэмжээний актаар зохицуулалт хийх “хязгаар” нь тодорхойгүй, ямар зарчим, бодлогыг баримтлах нь тодорхойгүй, хэм хэмжээг тогтоох чиг, стандартыг заагаагүй бол “</w:t>
      </w:r>
      <w:r w:rsidRPr="00857CE7">
        <w:rPr>
          <w:i/>
          <w:lang w:val="mn-MN"/>
        </w:rPr>
        <w:t>эрх шилжүүлэх шалгуур</w:t>
      </w:r>
      <w:r w:rsidRPr="00857CE7">
        <w:rPr>
          <w:lang w:val="mn-MN"/>
        </w:rPr>
        <w:t>”-т нийцээгүй гэж үзнэ.</w:t>
      </w:r>
    </w:p>
    <w:p w14:paraId="1CFCB1E4" w14:textId="77777777" w:rsidR="00350F93" w:rsidRPr="00857CE7" w:rsidRDefault="00350F93" w:rsidP="00350F93">
      <w:pPr>
        <w:spacing w:line="276" w:lineRule="auto"/>
        <w:ind w:firstLine="720"/>
        <w:jc w:val="both"/>
      </w:pPr>
      <w:r w:rsidRPr="00857CE7">
        <w:rPr>
          <w:lang w:val="mn-MN"/>
        </w:rPr>
        <w:t xml:space="preserve">Урьдчилсан хяналт буюу </w:t>
      </w:r>
      <w:r w:rsidRPr="00857CE7">
        <w:rPr>
          <w:i/>
        </w:rPr>
        <w:t>ex ante</w:t>
      </w:r>
      <w:r w:rsidRPr="00857CE7">
        <w:t xml:space="preserve"> </w:t>
      </w:r>
      <w:r w:rsidRPr="00857CE7">
        <w:rPr>
          <w:lang w:val="mn-MN"/>
        </w:rPr>
        <w:t xml:space="preserve">хяналтыг Англи (мөн Европын холбооны парламент) өргөн хэрэглэдэг байна. Англид зарим хэм хэмжээний акт </w:t>
      </w:r>
      <w:r w:rsidRPr="00857CE7">
        <w:rPr>
          <w:i/>
          <w:lang w:val="mn-MN"/>
        </w:rPr>
        <w:t>заавал парламентад хүргэгдэж, зохих процесс хийгдсэн</w:t>
      </w:r>
      <w:r w:rsidRPr="00857CE7">
        <w:rPr>
          <w:lang w:val="mn-MN"/>
        </w:rPr>
        <w:t xml:space="preserve"> байх шаардлагатай бөгөөд </w:t>
      </w:r>
      <w:r w:rsidRPr="00857CE7">
        <w:rPr>
          <w:i/>
          <w:lang w:val="mn-MN"/>
        </w:rPr>
        <w:t>эрх шилжүүлж буй хуульд энэ шаардлагыг зааж</w:t>
      </w:r>
      <w:r w:rsidRPr="00857CE7">
        <w:rPr>
          <w:lang w:val="mn-MN"/>
        </w:rPr>
        <w:t xml:space="preserve"> өгдөг.</w:t>
      </w:r>
      <w:r w:rsidRPr="00857CE7">
        <w:t xml:space="preserve"> </w:t>
      </w:r>
      <w:r w:rsidRPr="00857CE7">
        <w:rPr>
          <w:lang w:val="mn-MN"/>
        </w:rPr>
        <w:t>Хэм хэмжээ тогтоох эрх шилжүүлсэн байдлыг хянах чиг үүрэг бүхий Парламентын хяналтын хороо</w:t>
      </w:r>
      <w:r w:rsidRPr="00857CE7">
        <w:t xml:space="preserve"> </w:t>
      </w:r>
      <w:r w:rsidRPr="00857CE7">
        <w:rPr>
          <w:lang w:val="mn-MN"/>
        </w:rPr>
        <w:t>ажиллах бөгөөд анхнаасаа “хэм хэмжээ тогтоох эрх шилжүүлсэн” байдалд чухал хяналт хэрэгжүүлдэг.</w:t>
      </w:r>
    </w:p>
    <w:p w14:paraId="25414827" w14:textId="77777777" w:rsidR="00350F93" w:rsidRPr="00857CE7" w:rsidRDefault="00350F93" w:rsidP="00350F93">
      <w:pPr>
        <w:spacing w:line="276" w:lineRule="auto"/>
        <w:ind w:firstLine="720"/>
        <w:jc w:val="both"/>
        <w:rPr>
          <w:lang w:val="mn-MN"/>
        </w:rPr>
      </w:pPr>
      <w:bookmarkStart w:id="2" w:name="_Hlk162515519"/>
      <w:r w:rsidRPr="00857CE7">
        <w:rPr>
          <w:lang w:val="mn-MN"/>
        </w:rPr>
        <w:t>5.</w:t>
      </w:r>
      <w:bookmarkStart w:id="3" w:name="_Hlk162547950"/>
      <w:r w:rsidRPr="00857CE7">
        <w:rPr>
          <w:lang w:val="mn-MN"/>
        </w:rPr>
        <w:t xml:space="preserve">Түүнчлэн, </w:t>
      </w:r>
      <w:r w:rsidRPr="00857CE7">
        <w:rPr>
          <w:i/>
          <w:lang w:val="mn-MN"/>
        </w:rPr>
        <w:t>Францын (Европын холбоо) зохицуулалтыг харгалзан үзэхэд</w:t>
      </w:r>
      <w:r w:rsidRPr="00857CE7">
        <w:rPr>
          <w:lang w:val="mn-MN"/>
        </w:rPr>
        <w:t xml:space="preserve"> </w:t>
      </w:r>
      <w:bookmarkEnd w:id="2"/>
      <w:r w:rsidRPr="00857CE7">
        <w:rPr>
          <w:lang w:val="mn-MN"/>
        </w:rPr>
        <w:t>дараах нөхцөл илэрсэн болно. Хууль, захиргааны хэм хэмжээний актаар зохицуулах “харилцааг” зааглан хуульчлах, ингэхдээ зөвхөн хуулиар зохицуулах ёстой харилцааг “эрх шилжүүлэх” тусгай шаардлагын дагуу захиргаанд шилжүүлдэг байна.</w:t>
      </w:r>
    </w:p>
    <w:p w14:paraId="5479CF37" w14:textId="77777777" w:rsidR="00350F93" w:rsidRPr="00857CE7" w:rsidRDefault="00350F93" w:rsidP="00350F93">
      <w:pPr>
        <w:spacing w:line="276" w:lineRule="auto"/>
        <w:ind w:firstLine="720"/>
        <w:jc w:val="both"/>
        <w:rPr>
          <w:lang w:val="mn-MN"/>
        </w:rPr>
      </w:pPr>
      <w:r w:rsidRPr="00857CE7">
        <w:rPr>
          <w:lang w:val="mn-MN"/>
        </w:rPr>
        <w:t>Францын Үндсэн хуулийн 34-р зүйлд “хуулиар зохицуулах харилцааг”</w:t>
      </w:r>
      <w:r w:rsidRPr="00857CE7">
        <w:rPr>
          <w:rStyle w:val="FootnoteReference"/>
          <w:lang w:val="mn-MN"/>
        </w:rPr>
        <w:footnoteReference w:id="5"/>
      </w:r>
      <w:r w:rsidRPr="00857CE7">
        <w:rPr>
          <w:lang w:val="mn-MN"/>
        </w:rPr>
        <w:t xml:space="preserve"> жагсаан заагаад үүнээс бусад нь “гүйцэтгэх эрх мэдлийн шийдвэрээр зохицуулах харилцаа” болно гэдгийг 37-р зүйлд ялган заажээ. Хэрэв сонгодог утгаар нь “хууль тогтоох эрх шилжүүлэх” гэдгээр авч үзвэл шилжүүлэх нь Францын </w:t>
      </w:r>
      <w:r w:rsidRPr="00857CE7">
        <w:rPr>
          <w:i/>
        </w:rPr>
        <w:t>ordonnances</w:t>
      </w:r>
      <w:r w:rsidRPr="00857CE7">
        <w:rPr>
          <w:rStyle w:val="FootnoteReference"/>
          <w:i/>
        </w:rPr>
        <w:footnoteReference w:id="6"/>
      </w:r>
      <w:r w:rsidRPr="00857CE7">
        <w:rPr>
          <w:lang w:val="mn-MN"/>
        </w:rPr>
        <w:t xml:space="preserve"> шиг байх ёстой. Энэ нь тус улсын ҮнХ-ийн 38-р зүйлд</w:t>
      </w:r>
      <w:r w:rsidRPr="00857CE7">
        <w:t xml:space="preserve"> </w:t>
      </w:r>
      <w:r w:rsidRPr="00857CE7">
        <w:rPr>
          <w:lang w:val="mn-MN"/>
        </w:rPr>
        <w:t>зааснаар хуулиар зохицуулах харилцааг Засгийн газраас Төрийн зөвлөл (</w:t>
      </w:r>
      <w:r w:rsidRPr="00857CE7">
        <w:rPr>
          <w:i/>
        </w:rPr>
        <w:t>Conseil d'État</w:t>
      </w:r>
      <w:r w:rsidRPr="00857CE7">
        <w:rPr>
          <w:lang w:val="mn-MN"/>
        </w:rPr>
        <w:t>)-тэй урьдчилан зөвөлдсөний үндсэн дээр боловсруулж, Ерөнхийлөгч гарын үсэг зурж, хэвлэгдснээр хүчинтэй үйлчлэх боловч, зөвхөн “эрх олгосон хууль” (</w:t>
      </w:r>
      <w:r w:rsidRPr="00857CE7">
        <w:rPr>
          <w:i/>
        </w:rPr>
        <w:t>lois d’habilitation</w:t>
      </w:r>
      <w:r w:rsidRPr="00857CE7">
        <w:rPr>
          <w:lang w:val="mn-MN"/>
        </w:rPr>
        <w:t>) байхаас гадна уг хуульд заасан хугацаанд багтаж баталсан тохиолдолд хуулийн адил хүчинтэй болно.</w:t>
      </w:r>
    </w:p>
    <w:p w14:paraId="600F6305" w14:textId="77777777" w:rsidR="00350F93" w:rsidRPr="00857CE7" w:rsidRDefault="00350F93" w:rsidP="00350F93">
      <w:pPr>
        <w:spacing w:line="276" w:lineRule="auto"/>
        <w:ind w:firstLine="720"/>
        <w:jc w:val="both"/>
      </w:pPr>
      <w:r w:rsidRPr="00857CE7">
        <w:rPr>
          <w:lang w:val="mn-MN"/>
        </w:rPr>
        <w:t>Францын гүйцэтгэх эрх мэдлийн байгууллагууд “хуулиар зохицуулахаар” Үн</w:t>
      </w:r>
      <w:r w:rsidR="00054E17">
        <w:rPr>
          <w:lang w:val="mn-MN"/>
        </w:rPr>
        <w:t>дсэн хууль</w:t>
      </w:r>
      <w:r w:rsidRPr="00857CE7">
        <w:rPr>
          <w:lang w:val="mn-MN"/>
        </w:rPr>
        <w:t>д тухайлан зааснаас бусад харилцааг</w:t>
      </w:r>
      <w:r w:rsidRPr="00857CE7">
        <w:t xml:space="preserve"> (</w:t>
      </w:r>
      <w:r w:rsidRPr="00857CE7">
        <w:rPr>
          <w:i/>
        </w:rPr>
        <w:t>Regulation</w:t>
      </w:r>
      <w:r w:rsidRPr="00857CE7">
        <w:t xml:space="preserve"> (</w:t>
      </w:r>
      <w:r w:rsidRPr="00857CE7">
        <w:rPr>
          <w:i/>
        </w:rPr>
        <w:t>règlements</w:t>
      </w:r>
      <w:r w:rsidRPr="00857CE7">
        <w:t>)</w:t>
      </w:r>
      <w:r w:rsidRPr="00857CE7">
        <w:rPr>
          <w:rStyle w:val="FootnoteReference"/>
        </w:rPr>
        <w:footnoteReference w:id="7"/>
      </w:r>
      <w:r w:rsidRPr="00857CE7">
        <w:t xml:space="preserve"> </w:t>
      </w:r>
      <w:r w:rsidRPr="00857CE7">
        <w:rPr>
          <w:lang w:val="mn-MN"/>
        </w:rPr>
        <w:t>зохицуулах эрхтэй.</w:t>
      </w:r>
      <w:r w:rsidRPr="00857CE7">
        <w:t xml:space="preserve"> </w:t>
      </w:r>
      <w:r w:rsidRPr="00857CE7">
        <w:rPr>
          <w:lang w:val="mn-MN"/>
        </w:rPr>
        <w:t>Хэдий зөвхөн хуулиар зохицуулах харилцааг жагсаалтын зарчмаар (</w:t>
      </w:r>
      <w:r w:rsidRPr="00857CE7">
        <w:rPr>
          <w:i/>
        </w:rPr>
        <w:t>legislative domain</w:t>
      </w:r>
      <w:r w:rsidRPr="00857CE7">
        <w:rPr>
          <w:lang w:val="mn-MN"/>
        </w:rPr>
        <w:t>) Үн</w:t>
      </w:r>
      <w:r w:rsidR="00054E17">
        <w:rPr>
          <w:lang w:val="mn-MN"/>
        </w:rPr>
        <w:t>дсэн хуульд</w:t>
      </w:r>
      <w:r w:rsidRPr="00857CE7">
        <w:rPr>
          <w:lang w:val="mn-MN"/>
        </w:rPr>
        <w:t xml:space="preserve"> заасан боловч бодит байдалд хууль тогтоогчийн эрх үүгээр хатуу хязгаарлагдах нь үгүй</w:t>
      </w:r>
      <w:r w:rsidRPr="00857CE7">
        <w:rPr>
          <w:rStyle w:val="FootnoteReference"/>
          <w:lang w:val="mn-MN"/>
        </w:rPr>
        <w:footnoteReference w:id="8"/>
      </w:r>
      <w:r w:rsidRPr="00857CE7">
        <w:rPr>
          <w:lang w:val="mn-MN"/>
        </w:rPr>
        <w:t xml:space="preserve"> аж. Засгийн газар өөрийнх нь зохицуулах харилцааг </w:t>
      </w:r>
      <w:r w:rsidRPr="00857CE7">
        <w:t>(</w:t>
      </w:r>
      <w:r w:rsidRPr="00857CE7">
        <w:rPr>
          <w:i/>
        </w:rPr>
        <w:t>regulatory domain</w:t>
      </w:r>
      <w:r w:rsidRPr="00857CE7">
        <w:t xml:space="preserve">) </w:t>
      </w:r>
      <w:r w:rsidRPr="00857CE7">
        <w:rPr>
          <w:lang w:val="mn-MN"/>
        </w:rPr>
        <w:t>хууль тогтоогч хөндсөн гэж үзвэл Үндсэн хуулийн зөвлөлд хандах эрхтэй байна.</w:t>
      </w:r>
    </w:p>
    <w:p w14:paraId="4956A230" w14:textId="77777777" w:rsidR="00350F93" w:rsidRPr="00857CE7" w:rsidRDefault="00350F93" w:rsidP="00350F93">
      <w:pPr>
        <w:spacing w:line="276" w:lineRule="auto"/>
        <w:ind w:firstLine="720"/>
        <w:jc w:val="both"/>
      </w:pPr>
      <w:r w:rsidRPr="00857CE7">
        <w:rPr>
          <w:lang w:val="mn-MN"/>
        </w:rPr>
        <w:lastRenderedPageBreak/>
        <w:t>Харин хэм хэмжээ тогтоох эрх шилжүүлэхгүй, зөвхөн парламентаас</w:t>
      </w:r>
      <w:r w:rsidRPr="00857CE7">
        <w:rPr>
          <w:rStyle w:val="FootnoteReference"/>
          <w:lang w:val="mn-MN"/>
        </w:rPr>
        <w:footnoteReference w:id="9"/>
      </w:r>
      <w:r w:rsidRPr="00857CE7">
        <w:rPr>
          <w:lang w:val="mn-MN"/>
        </w:rPr>
        <w:t xml:space="preserve"> тогтоосон хэм хэмжээг “хэрэгжүүлэх”</w:t>
      </w:r>
      <w:r w:rsidRPr="00857CE7">
        <w:rPr>
          <w:rStyle w:val="FootnoteReference"/>
          <w:lang w:val="mn-MN"/>
        </w:rPr>
        <w:t xml:space="preserve"> </w:t>
      </w:r>
      <w:r w:rsidRPr="00857CE7">
        <w:rPr>
          <w:rStyle w:val="FootnoteReference"/>
          <w:lang w:val="mn-MN"/>
        </w:rPr>
        <w:footnoteReference w:id="10"/>
      </w:r>
      <w:r w:rsidRPr="00857CE7">
        <w:rPr>
          <w:lang w:val="mn-MN"/>
        </w:rPr>
        <w:t>-д шаардлагатай зохицуулалт хийх эрх олгож буй гэж үзвэл Еропын Холбоо шиг “хэм хэмжээг хэрэгжүүлэх акт”-ыг ялган</w:t>
      </w:r>
      <w:r w:rsidRPr="00857CE7">
        <w:rPr>
          <w:rStyle w:val="FootnoteReference"/>
          <w:lang w:val="mn-MN"/>
        </w:rPr>
        <w:footnoteReference w:id="11"/>
      </w:r>
      <w:r w:rsidRPr="00857CE7">
        <w:rPr>
          <w:lang w:val="mn-MN"/>
        </w:rPr>
        <w:t xml:space="preserve"> тодорхойлж, цар хүрээг нь тогтоох хэрэгтэй байж болох юм. </w:t>
      </w:r>
      <w:r w:rsidRPr="00857CE7">
        <w:t xml:space="preserve">Европын Парламент хууль тогтоох эрх шилжүүлэхдээ, хоёр төрлийн хязгаарлалтыг авч үзэх шаардлагатай: нэгт, өөрийн бүрэн эрхийн хүрээнд багтах </w:t>
      </w:r>
      <w:r w:rsidRPr="00857CE7">
        <w:rPr>
          <w:lang w:val="mn-MN"/>
        </w:rPr>
        <w:t>харилцаа нь</w:t>
      </w:r>
      <w:r w:rsidRPr="00857CE7">
        <w:t xml:space="preserve"> “чухал эсвэл нэн чухал” шинж чанартай байх; болон гүйцэтгэх засаглал руу шилжүүлэх эрх нь “хэрэгжүүлэх” шинж чанартай байх зэрэг болно. </w:t>
      </w:r>
      <w:r w:rsidRPr="00857CE7">
        <w:rPr>
          <w:lang w:val="mn-MN"/>
        </w:rPr>
        <w:t>Гол ялгаа</w:t>
      </w:r>
      <w:r w:rsidRPr="00857CE7">
        <w:rPr>
          <w:rStyle w:val="FootnoteReference"/>
        </w:rPr>
        <w:footnoteReference w:id="12"/>
      </w:r>
      <w:r w:rsidRPr="00857CE7">
        <w:rPr>
          <w:lang w:val="mn-MN"/>
        </w:rPr>
        <w:t xml:space="preserve">  нь “хэм хэмжээг хэрэгжүүлэх акт” нь ямар нэг байдлаар хэм хэмжээ тогтоохгүй.</w:t>
      </w:r>
    </w:p>
    <w:bookmarkEnd w:id="3"/>
    <w:p w14:paraId="1B98F072" w14:textId="77777777" w:rsidR="00350F93" w:rsidRPr="00857CE7" w:rsidRDefault="00350F93" w:rsidP="00350F93">
      <w:pPr>
        <w:spacing w:line="276" w:lineRule="auto"/>
        <w:ind w:firstLine="720"/>
        <w:jc w:val="both"/>
        <w:rPr>
          <w:lang w:val="mn-MN"/>
        </w:rPr>
      </w:pPr>
      <w:r w:rsidRPr="00857CE7">
        <w:rPr>
          <w:lang w:val="mn-MN"/>
        </w:rPr>
        <w:t xml:space="preserve">Монгол Улсын хувьд Үндсэн хуулийн Хорьдугаар зүйлд “хууль тогтоох эрх мэдлийг гагцхүү Улсын Их хуралд хадгална”, Хорин тавдугаар зүйлд “Улсын Их Хурал ... дараахь асуудлыг өөрийн </w:t>
      </w:r>
      <w:r w:rsidRPr="00857CE7">
        <w:rPr>
          <w:i/>
          <w:lang w:val="mn-MN"/>
        </w:rPr>
        <w:t>онцгой бүрэн эрхэд хадгалж</w:t>
      </w:r>
      <w:r w:rsidRPr="00857CE7">
        <w:rPr>
          <w:lang w:val="mn-MN"/>
        </w:rPr>
        <w:t xml:space="preserve"> шийдвэрлэнэ: 1/хууль батлах, нэмэлт, өөрчлөлт оруулах;” гэж заасан. Үндсэн хуульд эрх шилжүүлэхтэй холбоотой тухайлсан зохицуулалт нь Жаран хоёрдугаар зүйлийн 3-н “</w:t>
      </w:r>
      <w:r w:rsidRPr="00857CE7">
        <w:rPr>
          <w:i/>
          <w:lang w:val="mn-MN"/>
        </w:rPr>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Pr="00857CE7">
        <w:rPr>
          <w:lang w:val="mn-MN"/>
        </w:rPr>
        <w:t>” гэсэн заалт юм.</w:t>
      </w:r>
    </w:p>
    <w:p w14:paraId="554CF332" w14:textId="77777777" w:rsidR="00350F93" w:rsidRPr="00857CE7" w:rsidRDefault="00350F93" w:rsidP="00350F93">
      <w:pPr>
        <w:spacing w:line="276" w:lineRule="auto"/>
        <w:ind w:firstLine="720"/>
        <w:jc w:val="both"/>
        <w:rPr>
          <w:lang w:val="mn-MN"/>
        </w:rPr>
      </w:pPr>
      <w:r w:rsidRPr="00857CE7">
        <w:rPr>
          <w:lang w:val="mn-MN"/>
        </w:rPr>
        <w:t xml:space="preserve">Үүнээс манай улсад “хууль тогтоох эрхийг шилжүүлэхгүй” гэдэг нь харьцангуй тодорхой. Харин тухайн асуудлыг гагцхүү хуулиар зохицуулахаар Монгол Улсын Үндсэн хуульд тодотгон заасан нь бий, тухайлбал улсын хилийг бататгах, төр, сүм хийдийн хоорондын харилцаа, стратегийн ач холбогдол бүхий ашигт малтмалын ордыг ашиглах, иргэний харьяалал хийгээд харьяат болох, хувь хүний нууцыг тогтоон хамгаалах, гадаадад явах, оршин суух эрхийг хязгаарлах нөхцөл, харьяатаас гарах үндэслэл, журам, Улсын Их Хурлын болон аймаг, нийслэлийн Төлөөлөгчдийн Хурлын сонгуулийн журам, жагсаал, цуглаан хийх журмыг тогтоох гэх мэт. </w:t>
      </w:r>
    </w:p>
    <w:p w14:paraId="041A9E55" w14:textId="77777777" w:rsidR="00350F93" w:rsidRPr="00857CE7" w:rsidRDefault="00350F93" w:rsidP="00350F93">
      <w:pPr>
        <w:spacing w:line="276" w:lineRule="auto"/>
        <w:ind w:firstLine="720"/>
        <w:jc w:val="both"/>
        <w:rPr>
          <w:lang w:val="mn-MN"/>
        </w:rPr>
      </w:pPr>
      <w:r w:rsidRPr="00857CE7">
        <w:rPr>
          <w:lang w:val="mn-MN"/>
        </w:rPr>
        <w:t xml:space="preserve">Улмаар Монгол Улсын Их Хурлын тухай хууль, </w:t>
      </w:r>
      <w:bookmarkStart w:id="4" w:name="_Hlk162533673"/>
      <w:r w:rsidRPr="00857CE7">
        <w:rPr>
          <w:lang w:val="mn-MN"/>
        </w:rPr>
        <w:t>Хууль тогтоомжийн тухай хууль</w:t>
      </w:r>
      <w:bookmarkEnd w:id="4"/>
      <w:r w:rsidRPr="00857CE7">
        <w:rPr>
          <w:rStyle w:val="FootnoteReference"/>
          <w:lang w:val="mn-MN"/>
        </w:rPr>
        <w:footnoteReference w:id="13"/>
      </w:r>
      <w:r w:rsidRPr="00857CE7">
        <w:rPr>
          <w:lang w:val="mn-MN"/>
        </w:rPr>
        <w:t xml:space="preserve">, Захиргааны ерөнхий хуулиар хууль батлах, нэмэлт, өөрчлөлт оруулах УИХ-ын онцгой бүрэн эрхийн хүрээнд </w:t>
      </w:r>
      <w:r w:rsidRPr="00857CE7">
        <w:rPr>
          <w:i/>
          <w:lang w:val="mn-MN"/>
        </w:rPr>
        <w:t>хуулиар эрх олгосон дагуу</w:t>
      </w:r>
      <w:r w:rsidRPr="00857CE7">
        <w:rPr>
          <w:lang w:val="mn-MN"/>
        </w:rPr>
        <w:t xml:space="preserve"> захиргааны хэм хэмжээ тогтоосон акт гаргах нөхцлийг тодорхойлж өгсөн. Эдгээрээс дүгнэвэл, хуулиас доогуур эрэмбийн хэм хэмжээ тогтоосон акт нь “хуульд нийцсэн байх, хуулиар тусгайлан эрх олгогдсон байх, хуулиар эрх олгосноос бусад тохиолдолд хуулиар хориглоогүй асуудлаар хориглосон зохицуулалт тогтоохгүй байх”, ялангуяа </w:t>
      </w:r>
      <w:bookmarkStart w:id="5" w:name="_Hlk162530426"/>
      <w:r w:rsidRPr="00857CE7">
        <w:rPr>
          <w:i/>
          <w:lang w:val="mn-MN"/>
        </w:rPr>
        <w:t>эрх олгосон тухайн хуулийн агуулга, зорилго, хүрээнд</w:t>
      </w:r>
      <w:bookmarkEnd w:id="5"/>
      <w:r w:rsidRPr="00857CE7">
        <w:rPr>
          <w:i/>
          <w:lang w:val="mn-MN"/>
        </w:rPr>
        <w:t xml:space="preserve"> нийцсэн байх</w:t>
      </w:r>
      <w:r w:rsidRPr="00857CE7">
        <w:rPr>
          <w:lang w:val="mn-MN"/>
        </w:rPr>
        <w:t xml:space="preserve"> шаардлага тавигддаг.</w:t>
      </w:r>
    </w:p>
    <w:p w14:paraId="0C38DC34" w14:textId="77777777" w:rsidR="00350F93" w:rsidRPr="00857CE7" w:rsidRDefault="00350F93" w:rsidP="00350F93">
      <w:pPr>
        <w:spacing w:line="276" w:lineRule="auto"/>
        <w:ind w:firstLine="720"/>
        <w:jc w:val="both"/>
        <w:rPr>
          <w:lang w:val="mn-MN"/>
        </w:rPr>
      </w:pPr>
      <w:r w:rsidRPr="00857CE7">
        <w:rPr>
          <w:lang w:val="mn-MN"/>
        </w:rPr>
        <w:t xml:space="preserve">Гэвч эрх олгож буй хууль өөрөө </w:t>
      </w:r>
      <w:bookmarkStart w:id="6" w:name="_Hlk162537168"/>
      <w:r w:rsidRPr="00857CE7">
        <w:rPr>
          <w:lang w:val="mn-MN"/>
        </w:rPr>
        <w:t>захиргааны хэм хэмжээ тогтоох актаар зохицуулах харилцааны “</w:t>
      </w:r>
      <w:r w:rsidRPr="00857CE7">
        <w:rPr>
          <w:i/>
          <w:lang w:val="mn-MN"/>
        </w:rPr>
        <w:t>агуулга, зорилго, хүрээг”</w:t>
      </w:r>
      <w:r w:rsidRPr="00857CE7">
        <w:rPr>
          <w:lang w:val="mn-MN"/>
        </w:rPr>
        <w:t xml:space="preserve"> тодорхойлж </w:t>
      </w:r>
      <w:bookmarkEnd w:id="6"/>
      <w:r w:rsidRPr="00857CE7">
        <w:rPr>
          <w:lang w:val="mn-MN"/>
        </w:rPr>
        <w:t xml:space="preserve">өгдөггүй, тийм шаардлага ч Хууль тогтоомжийн тухай хуулиар тодорхой тавигддаггүй. Тиймээс маргаан үүссэн үед шүүх харьцуулж хянах шалгуургүй байх нь бий. Улсын дээд шүүх </w:t>
      </w:r>
      <w:r w:rsidRPr="00857CE7">
        <w:rPr>
          <w:lang w:val="mn-MN"/>
        </w:rPr>
        <w:lastRenderedPageBreak/>
        <w:t>нэг хэрэгт</w:t>
      </w:r>
      <w:r w:rsidRPr="00857CE7">
        <w:rPr>
          <w:rStyle w:val="FootnoteReference"/>
          <w:lang w:val="mn-MN"/>
        </w:rPr>
        <w:footnoteReference w:id="14"/>
      </w:r>
      <w:r w:rsidRPr="00857CE7">
        <w:rPr>
          <w:lang w:val="mn-MN"/>
        </w:rPr>
        <w:t xml:space="preserve"> эрх шилжүүлсэн хуулийнхаа зорилгод нийцээгүй гэж шийдсэн тохиолдол байна. </w:t>
      </w:r>
    </w:p>
    <w:p w14:paraId="7C6468A4" w14:textId="77777777" w:rsidR="002C465A" w:rsidRDefault="002C465A" w:rsidP="00350F93">
      <w:pPr>
        <w:spacing w:line="276" w:lineRule="auto"/>
        <w:ind w:firstLine="720"/>
        <w:jc w:val="both"/>
        <w:rPr>
          <w:lang w:val="mn-MN"/>
        </w:rPr>
      </w:pPr>
      <w:r>
        <w:rPr>
          <w:lang w:val="mn-MN"/>
        </w:rPr>
        <w:t xml:space="preserve">Судалгааны дүнгээс харахад хэм хэмжээ батлах “эрх шилжүүлэх” тухай ойлголт нь эрх мэдэл хуваарилах онолоос үүдэлтэй бөгөөд улс орон бүр энэ талаар тодорхой зохицуулалтыг Үндсэн хууль, бусад хуульдаа тусгасан байна. Манай улсын тухайд Үндсэн хуулийн үзэл санааг бусад хуульд нарийвчлан дэлгэрүүлсэн зохицуулалт байхгүй буюу ямар асуудлыг хуулиар зохицуулах, ямар асуудлыг хэм хэмжээ тогтоосон актаар зохицуулах талар тусгайлсан зохицуулалт байхгүй байна. Тийм ч учраас өнөөдөр нийт нийгмийн харилцааг зохицуулж буй хэм хэмжээ дотор захиргааны байгууллагаас баталсан хэм хэмжээ дийлэнх хувийг эзэлсэн нь хүний эрхийн зөрчил, дур зоргыг нэмэгдүүлэх, нийгмийн харилцааг тогтворгүй болгоход нөлөөлсөн гэж үзэж болохоор байна. Дээрхээс үзэхэд Засгийн газраас гаргасан гүйцэтгэх эрх мэдлийн хүрээн дэх хэм хэмжээ тогтоосон шийдвэрийг хоёр дахин бууруулах бодлого нь онолын үндэслэлтэй бөгөөд ач холбогдолтой болох нь судалгаанаас харагдаж байна. </w:t>
      </w:r>
    </w:p>
    <w:p w14:paraId="330F4CCC" w14:textId="77777777" w:rsidR="00350F93" w:rsidRPr="00857CE7" w:rsidRDefault="00350F93" w:rsidP="00350F93">
      <w:pPr>
        <w:spacing w:line="276" w:lineRule="auto"/>
        <w:ind w:firstLine="720"/>
        <w:jc w:val="both"/>
      </w:pPr>
      <w:r w:rsidRPr="00857CE7">
        <w:rPr>
          <w:lang w:val="mn-MN"/>
        </w:rPr>
        <w:t xml:space="preserve">Иймд </w:t>
      </w:r>
      <w:r w:rsidR="002C465A">
        <w:rPr>
          <w:lang w:val="mn-MN"/>
        </w:rPr>
        <w:t xml:space="preserve">Хууль зүй, дотоод хэргийн яамнаас өөрийн салбарт хамаарах хууль тогтоомжид зайлшгүй хуулиар зохицуулах ёстой харилцаатай холбоотой зохицуулалтыг тусгасан хуулийн төслүүдийн зэрэгцээ </w:t>
      </w:r>
      <w:r w:rsidR="002C465A" w:rsidRPr="002C465A">
        <w:rPr>
          <w:color w:val="000000" w:themeColor="text1"/>
          <w:shd w:val="clear" w:color="auto" w:fill="FFFFFF"/>
        </w:rPr>
        <w:t>хууль, Улсын Их Хурлын бусад шийдвэ</w:t>
      </w:r>
      <w:r w:rsidR="002C465A">
        <w:rPr>
          <w:color w:val="000000" w:themeColor="text1"/>
          <w:shd w:val="clear" w:color="auto" w:fill="FFFFFF"/>
        </w:rPr>
        <w:t>р</w:t>
      </w:r>
      <w:r w:rsidR="002C465A" w:rsidRPr="002C465A">
        <w:rPr>
          <w:color w:val="000000" w:themeColor="text1"/>
          <w:shd w:val="clear" w:color="auto" w:fill="FFFFFF"/>
        </w:rPr>
        <w:t>ийг санаачлан боловсруулах, хууль тогтоомжийн төсөлд тавигдах шаардлагыг тодорхойлох</w:t>
      </w:r>
      <w:r w:rsidR="002C465A">
        <w:rPr>
          <w:color w:val="000000" w:themeColor="text1"/>
          <w:shd w:val="clear" w:color="auto" w:fill="FFFFFF"/>
        </w:rPr>
        <w:t>, хуулийн төсөл боловсруулахтай холбоотой харилцааг зохицуулдаг Хууль тогтоомжийн тухай хуульд</w:t>
      </w:r>
      <w:r w:rsidRPr="00857CE7">
        <w:rPr>
          <w:lang w:val="mn-MN"/>
        </w:rPr>
        <w:t xml:space="preserve"> “</w:t>
      </w:r>
      <w:r w:rsidR="002C465A">
        <w:rPr>
          <w:lang w:val="mn-MN"/>
        </w:rPr>
        <w:t>хэм хэмжээ батлах эр</w:t>
      </w:r>
      <w:r w:rsidRPr="00857CE7">
        <w:rPr>
          <w:lang w:val="mn-MN"/>
        </w:rPr>
        <w:t>х шилжүүлэх”</w:t>
      </w:r>
      <w:r w:rsidR="002C465A">
        <w:rPr>
          <w:lang w:val="mn-MN"/>
        </w:rPr>
        <w:t xml:space="preserve"> талаарх</w:t>
      </w:r>
      <w:r w:rsidRPr="00857CE7">
        <w:rPr>
          <w:lang w:val="mn-MN"/>
        </w:rPr>
        <w:t xml:space="preserve"> зохицуулалт </w:t>
      </w:r>
      <w:r w:rsidR="001160DC">
        <w:rPr>
          <w:lang w:val="mn-MN"/>
        </w:rPr>
        <w:t>шинээр оруулах,</w:t>
      </w:r>
      <w:r w:rsidRPr="00857CE7">
        <w:rPr>
          <w:lang w:val="mn-MN"/>
        </w:rPr>
        <w:t xml:space="preserve"> </w:t>
      </w:r>
      <w:r w:rsidR="001160DC">
        <w:rPr>
          <w:lang w:val="mn-MN"/>
        </w:rPr>
        <w:t xml:space="preserve">хуулийн төсөлд хэм хэмжээ батлах эрх шилжүүлсэн заалт тусгахад </w:t>
      </w:r>
      <w:r w:rsidRPr="00857CE7">
        <w:rPr>
          <w:lang w:val="mn-MN"/>
        </w:rPr>
        <w:t>т</w:t>
      </w:r>
      <w:r w:rsidR="001160DC">
        <w:rPr>
          <w:lang w:val="mn-MN"/>
        </w:rPr>
        <w:t>авигдах</w:t>
      </w:r>
      <w:r w:rsidRPr="00857CE7">
        <w:rPr>
          <w:lang w:val="mn-MN"/>
        </w:rPr>
        <w:t xml:space="preserve"> шаардлага</w:t>
      </w:r>
      <w:r w:rsidR="001160DC">
        <w:rPr>
          <w:lang w:val="mn-MN"/>
        </w:rPr>
        <w:t xml:space="preserve"> зэргийг эрх зүйн өндөр хөгжил бүхий улс орнуудын жишгийг харгарзан </w:t>
      </w:r>
      <w:r w:rsidRPr="00857CE7">
        <w:rPr>
          <w:lang w:val="mn-MN"/>
        </w:rPr>
        <w:t>Хууль тогтоомжийн тухай хуульд</w:t>
      </w:r>
      <w:r w:rsidR="001160DC">
        <w:rPr>
          <w:lang w:val="mn-MN"/>
        </w:rPr>
        <w:t xml:space="preserve"> нэмэлт оруулах замаар тусгахаар хуулийн төслийг боловсрууллаа. </w:t>
      </w:r>
      <w:r w:rsidRPr="00857CE7">
        <w:rPr>
          <w:lang w:val="mn-MN"/>
        </w:rPr>
        <w:t xml:space="preserve"> </w:t>
      </w:r>
    </w:p>
    <w:p w14:paraId="6D01F344" w14:textId="77777777" w:rsidR="00350F93" w:rsidRPr="00857CE7" w:rsidRDefault="00350F93" w:rsidP="00350F93">
      <w:pPr>
        <w:spacing w:line="276" w:lineRule="auto"/>
        <w:jc w:val="both"/>
        <w:rPr>
          <w:lang w:val="en-US"/>
        </w:rPr>
      </w:pPr>
    </w:p>
    <w:p w14:paraId="7EDE6AA4" w14:textId="77777777" w:rsidR="00350F93" w:rsidRPr="00857CE7" w:rsidRDefault="00350F93" w:rsidP="00350F93">
      <w:pPr>
        <w:spacing w:line="276" w:lineRule="auto"/>
        <w:jc w:val="center"/>
        <w:rPr>
          <w:lang w:val="en-US"/>
        </w:rPr>
      </w:pPr>
    </w:p>
    <w:p w14:paraId="35AE07FF" w14:textId="77777777" w:rsidR="00350F93" w:rsidRDefault="00350F93" w:rsidP="00350F93">
      <w:pPr>
        <w:jc w:val="center"/>
        <w:rPr>
          <w:lang w:val="en-US"/>
        </w:rPr>
      </w:pPr>
      <w:r>
        <w:rPr>
          <w:lang w:val="en-US"/>
        </w:rPr>
        <w:t xml:space="preserve"> </w:t>
      </w:r>
    </w:p>
    <w:p w14:paraId="70758332" w14:textId="77777777" w:rsidR="001160DC" w:rsidRDefault="001160DC" w:rsidP="00350F93">
      <w:pPr>
        <w:jc w:val="center"/>
        <w:rPr>
          <w:lang w:val="en-US"/>
        </w:rPr>
      </w:pPr>
    </w:p>
    <w:p w14:paraId="46DCAD3D" w14:textId="535B8592" w:rsidR="00350F93" w:rsidRPr="00857CE7" w:rsidRDefault="00350F93" w:rsidP="00350F93">
      <w:pPr>
        <w:jc w:val="center"/>
        <w:rPr>
          <w:b/>
          <w:bCs/>
          <w:lang w:val="en-US"/>
        </w:rPr>
      </w:pPr>
    </w:p>
    <w:p w14:paraId="1AEED308" w14:textId="77777777" w:rsidR="00350F93" w:rsidRDefault="00350F93" w:rsidP="00350F93">
      <w:pPr>
        <w:jc w:val="center"/>
        <w:rPr>
          <w:lang w:val="en-US"/>
        </w:rPr>
      </w:pPr>
    </w:p>
    <w:p w14:paraId="57229386" w14:textId="77777777" w:rsidR="00350F93" w:rsidRDefault="00350F93" w:rsidP="00350F93">
      <w:pPr>
        <w:jc w:val="center"/>
        <w:rPr>
          <w:lang w:val="en-US"/>
        </w:rPr>
      </w:pPr>
    </w:p>
    <w:p w14:paraId="64826FAB" w14:textId="77777777" w:rsidR="00350F93" w:rsidRDefault="00350F93" w:rsidP="00350F93">
      <w:pPr>
        <w:jc w:val="center"/>
        <w:rPr>
          <w:lang w:val="en-US"/>
        </w:rPr>
      </w:pPr>
    </w:p>
    <w:p w14:paraId="7B02D3DA" w14:textId="77777777" w:rsidR="00096619" w:rsidRPr="001D4471" w:rsidRDefault="00096619" w:rsidP="00096619">
      <w:pPr>
        <w:spacing w:line="276" w:lineRule="auto"/>
        <w:jc w:val="both"/>
        <w:rPr>
          <w:lang w:val="en-US"/>
        </w:rPr>
      </w:pPr>
    </w:p>
    <w:sectPr w:rsidR="00096619" w:rsidRPr="001D4471" w:rsidSect="000963B3">
      <w:pgSz w:w="11907" w:h="16840" w:code="9"/>
      <w:pgMar w:top="1134" w:right="851" w:bottom="1134" w:left="1418" w:header="567" w:footer="680" w:gutter="5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AF30F" w14:textId="77777777" w:rsidR="00570352" w:rsidRDefault="00570352" w:rsidP="00857CE7">
      <w:r>
        <w:separator/>
      </w:r>
    </w:p>
  </w:endnote>
  <w:endnote w:type="continuationSeparator" w:id="0">
    <w:p w14:paraId="5DD627BD" w14:textId="77777777" w:rsidR="00570352" w:rsidRDefault="00570352" w:rsidP="0085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8DD5" w14:textId="77777777" w:rsidR="00570352" w:rsidRDefault="00570352" w:rsidP="00857CE7">
      <w:r>
        <w:separator/>
      </w:r>
    </w:p>
  </w:footnote>
  <w:footnote w:type="continuationSeparator" w:id="0">
    <w:p w14:paraId="2DC877F3" w14:textId="77777777" w:rsidR="00570352" w:rsidRDefault="00570352" w:rsidP="00857CE7">
      <w:r>
        <w:continuationSeparator/>
      </w:r>
    </w:p>
  </w:footnote>
  <w:footnote w:id="1">
    <w:p w14:paraId="4C94A5E5" w14:textId="77777777" w:rsidR="00350F93" w:rsidRDefault="00350F93" w:rsidP="00350F93">
      <w:pPr>
        <w:pStyle w:val="FootnoteText"/>
        <w:jc w:val="both"/>
      </w:pPr>
      <w:r>
        <w:rPr>
          <w:rStyle w:val="FootnoteReference"/>
        </w:rPr>
        <w:footnoteRef/>
      </w:r>
      <w:r>
        <w:t xml:space="preserve"> </w:t>
      </w:r>
      <w:r w:rsidRPr="00346583">
        <w:t>Art 80 paragraph 1 sentence 2 Basic Law</w:t>
      </w:r>
      <w:r>
        <w:t>.</w:t>
      </w:r>
    </w:p>
  </w:footnote>
  <w:footnote w:id="2">
    <w:p w14:paraId="7DAD270B" w14:textId="77777777" w:rsidR="00350F93" w:rsidRPr="00314DBB"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{"citationID":"x9YuiXDd","properties":{"formattedCitation":"Hermann P\\uc0\\u252{}nder, \\uc0\\u8220{}German Administrative Procedure in a Comparative Perspective: Observations on the Path to a Transnational Ius Commune Proceduralis in Administrative Law,\\uc0\\u8221{} {\\i{}Int J Const Law} 11, no. 4 (October 1, 2013): 948.","plainCitation":"Hermann Pünder, “German Administrative Procedure in a Comparative Perspective: Observations on the Path to a Transnational Ius Commune Proceduralis in Administrative Law,” Int J Const Law 11, no. 4 (October 1, 2013): 948.","noteIndex":41},"citationItems":[{"id":5633,"uris":["http://zotero.org/users/2479348/items/BWS72FEM"],"itemData":{"id":5633,"type":"article-journal","multi":{"main":{},"_keys":{}},"abstract":"Abstract. According to the traditional comparative scholarship, Germany has a tendency to underestimate the importance of the administrative decision-making pro","container-title":"International Journal of Constitutional Law","DOI":"10.1093/icon/mot045","ISSN":"1474-2640","issue":"4","language":"en","page":"940-961","publisher":"Oxford Academic","source":"academic.oup.com","title":"German administrative procedure in a comparative perspective: Observations on the path to a transnational ius commune proceduralis in administrative law","title-short":"German administrative procedure in a comparative perspective","volume":"11","container-title-short":"Int J Const Law","author":[{"family":"Pünder","given":"Hermann","multi":{"_key":{}}}],"issued":{"date-parts":[["2013",10,1]]},"seeAlso":[]},"locator":"948","label":"page"}],"schema":"https://github.com/citation-style-language/schema/raw/master/csl-citation.json"} </w:instrText>
      </w:r>
      <w:r>
        <w:fldChar w:fldCharType="separate"/>
      </w:r>
      <w:r w:rsidRPr="00314DBB">
        <w:rPr>
          <w:rFonts w:cs="Arial"/>
          <w:szCs w:val="24"/>
        </w:rPr>
        <w:t xml:space="preserve">Hermann Pünder, “German Administrative Procedure in a Comparative Perspective: Observations on the Path to a Transnational Ius Commune Proceduralis in Administrative Law,” </w:t>
      </w:r>
      <w:r w:rsidRPr="00314DBB">
        <w:rPr>
          <w:rFonts w:cs="Arial"/>
          <w:i/>
          <w:iCs/>
          <w:szCs w:val="24"/>
        </w:rPr>
        <w:t>Int J Const Law</w:t>
      </w:r>
      <w:r w:rsidRPr="00314DBB">
        <w:rPr>
          <w:rFonts w:cs="Arial"/>
          <w:szCs w:val="24"/>
        </w:rPr>
        <w:t xml:space="preserve"> 11, no. 4 (October 1, 2013): 948.</w:t>
      </w:r>
      <w:r>
        <w:fldChar w:fldCharType="end"/>
      </w:r>
    </w:p>
  </w:footnote>
  <w:footnote w:id="3">
    <w:p w14:paraId="76BFBD90" w14:textId="77777777" w:rsidR="00350F93" w:rsidRDefault="00350F93" w:rsidP="00350F93">
      <w:pPr>
        <w:pStyle w:val="FootnoteText"/>
        <w:jc w:val="both"/>
      </w:pPr>
      <w:r>
        <w:rPr>
          <w:rStyle w:val="FootnoteReference"/>
        </w:rPr>
        <w:footnoteRef/>
      </w:r>
      <w:r>
        <w:t xml:space="preserve"> </w:t>
      </w:r>
      <w:r w:rsidRPr="00D1573A">
        <w:t>"Essential Question" Doctrine</w:t>
      </w:r>
      <w:r>
        <w:t>:</w:t>
      </w:r>
      <w:r w:rsidRPr="00D55740">
        <w:t xml:space="preserve"> "essential decisions" (like those affecting human rights or the existence of the state) require democratic legitimation by Parliament.</w:t>
      </w:r>
    </w:p>
  </w:footnote>
  <w:footnote w:id="4">
    <w:p w14:paraId="34D84529" w14:textId="77777777" w:rsidR="00350F93" w:rsidRDefault="00350F93" w:rsidP="00350F93">
      <w:pPr>
        <w:pStyle w:val="FootnoteText"/>
        <w:jc w:val="both"/>
      </w:pPr>
      <w:r>
        <w:rPr>
          <w:rStyle w:val="FootnoteReference"/>
        </w:rPr>
        <w:footnoteRef/>
      </w:r>
      <w:r>
        <w:t xml:space="preserve"> </w:t>
      </w:r>
      <w:r>
        <w:fldChar w:fldCharType="begin"/>
      </w:r>
      <w:r>
        <w:instrText xml:space="preserve"> ADDIN ZOTERO_ITEM CSL_CITATION {"citationID":"6344ytpZ","properties":{"formattedCitation":"2 Senat Bundesverfassungsgericht, \\uc0\\u8220{}Bundesverfassungsgericht - Decisions - Teacher Wearing a Headscarf,\\uc0\\u8221{} Gerichtsentscheidung (Bundesverfassungsgericht, September 24, 2003), www.bundesverfassungsgericht.de.","plainCitation":"2 Senat Bundesverfassungsgericht, “Bundesverfassungsgericht - Decisions - Teacher Wearing a Headscarf,” Gerichtsentscheidung (Bundesverfassungsgericht, September 24, 2003), www.bundesverfassungsgericht.de.","noteIndex":44},"citationItems":[{"id":5635,"uris":["http://zotero.org/users/2479348/items/FX8YCGCC"],"itemData":{"id":5635,"type":"webpage","multi":{"main":{},"_keys":{}},"genre":"Gerichtsentscheidung","language":"en","note":"archive_location: de\nauthority: Bundesverfassungsgericht\npublisher: Bundesverfassungsgericht","title":"Bundesverfassungsgericht - Decisions - Teacher wearing a headscarf","URL":"https://www.bundesverfassungsgericht.de/SharedDocs/Entscheidungen/EN/2003/09/rs20030924_2bvr143602en.html","author":[{"family":"Bundesverfassungsgericht","given":"2 Senat","multi":{"_key":{}}}],"accessed":{"date-parts":[["2024",3,26]]},"issued":{"date-parts":[["2003",9,24]]},"seeAlso":[]}}],"schema":"https://github.com/citation-style-language/schema/raw/master/csl-citation.json"} </w:instrText>
      </w:r>
      <w:r>
        <w:fldChar w:fldCharType="separate"/>
      </w:r>
      <w:r w:rsidRPr="007700E3">
        <w:rPr>
          <w:rFonts w:cs="Arial"/>
          <w:szCs w:val="24"/>
        </w:rPr>
        <w:t>2 Senat Bundesverfassungsgericht, “Bundesverfassungsgericht - Decisions - Teacher Wearing a Headscarf,” Gerichtsentscheidung (Bundesverfassungsgericht, September 24, 2003), www.bundesverfassungsgericht.de.</w:t>
      </w:r>
      <w:r>
        <w:fldChar w:fldCharType="end"/>
      </w:r>
    </w:p>
  </w:footnote>
  <w:footnote w:id="5">
    <w:p w14:paraId="67E1F582" w14:textId="77777777" w:rsidR="00350F93" w:rsidRPr="00A30A48"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{"citationID":"PO8nTIyD","properties":{"formattedCitation":"French Constitution (1958).","plainCitation":"French Constitution (1958).","noteIndex":41},"citationItems":[{"id":5622,"uris":["http://zotero.org/users/2479348/items/3EZR3VR5"],"itemData":{"id":5622,"type":"legislation","multi":{"main":{},"_keys":{}},"title":"French Constitution","URL":"https://www.conseil-constitutionnel.fr/en/constitution-of-4-october-1958","jurisdiction":"fr","accessed":{"date-parts":[["2024",3,25]]},"issued":{"date-parts":[["1958",10,4]]},"seeAlso":[]}}],"schema":"https://github.com/citation-style-language/schema/raw/master/csl-citation.json"} </w:instrText>
      </w:r>
      <w:r>
        <w:fldChar w:fldCharType="separate"/>
      </w:r>
      <w:r w:rsidRPr="00117AC2">
        <w:rPr>
          <w:rFonts w:cs="Arial"/>
        </w:rPr>
        <w:t>French Constitution (1958).</w:t>
      </w:r>
      <w:r>
        <w:fldChar w:fldCharType="end"/>
      </w:r>
      <w:r>
        <w:rPr>
          <w:lang w:val="mn-MN"/>
        </w:rPr>
        <w:t xml:space="preserve"> Ингэхдээ жагсаалтыг 3 төрөлд хуваасан байна. Үүнд хууль тогтоогч 1) бүрэн эрхлэх, 2) журмыг тогтоох, 3) ерөнхий зарчмыг нь тогтоох харилцаа гэж ангилжээ. </w:t>
      </w:r>
    </w:p>
  </w:footnote>
  <w:footnote w:id="6">
    <w:p w14:paraId="62945E3B" w14:textId="77777777" w:rsidR="00350F93" w:rsidRPr="002812BE" w:rsidRDefault="00350F93" w:rsidP="00350F93">
      <w:pPr>
        <w:pStyle w:val="FootnoteText"/>
        <w:jc w:val="both"/>
        <w:rPr>
          <w:lang w:val="mn-MN"/>
        </w:rPr>
      </w:pPr>
      <w:r>
        <w:rPr>
          <w:rStyle w:val="FootnoteReference"/>
        </w:rPr>
        <w:footnoteRef/>
      </w:r>
      <w:r>
        <w:t xml:space="preserve"> </w:t>
      </w:r>
      <w:r>
        <w:rPr>
          <w:lang w:val="mn-MN"/>
        </w:rPr>
        <w:t>Хууль тогтоох эрхий шилжүүлсэний дагуу гарч буй хэм хэмжээ бөгөөд хуульд заасан шаардлага, процесс хангасан бол хуультай (тодорхой хугацаанд) ижил хүчин чадалтай байна.</w:t>
      </w:r>
    </w:p>
  </w:footnote>
  <w:footnote w:id="7">
    <w:p w14:paraId="70EFEDC0" w14:textId="77777777" w:rsidR="00350F93" w:rsidRPr="00E959C6"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{"citationID":"491CqWTx","properties":{"formattedCitation":"Keeton, \\uc0\\u8220{}Delegated Legislation and Its Control in England,\\uc0\\u8221{} 51.","plainCitation":"Keeton, “Delegated Legislation and Its Control in England,” 51.","noteIndex":44},"citationItems":[{"id":5467,"uris":["http://zotero.org/users/2479348/items/7RMVA9CP"],"itemData":{"id":5467,"type":"article-journal","multi":{"main":{},"_keys":{}},"container-title":"South African Law Journal","issue":"1","language":"eng","page":"33-52","source":"HeinOnline","title":"Delegated Legislation and Its Control in England","volume":"69","container-title-short":"S. African L.J.","author":[{"family":"Keeton","given":"G. W.","multi":{"_key":{}}}],"issued":{"date-parts":[["1952"]]},"seeAlso":[]},"locator":"51","label":"page"}],"schema":"https://github.com/citation-style-language/schema/raw/master/csl-citation.json"} </w:instrText>
      </w:r>
      <w:r>
        <w:fldChar w:fldCharType="separate"/>
      </w:r>
      <w:r w:rsidRPr="00E959C6">
        <w:rPr>
          <w:rFonts w:cs="Arial"/>
          <w:szCs w:val="24"/>
        </w:rPr>
        <w:t>Keeton, “Delegated Legislation and Its Control in England,” 51.</w:t>
      </w:r>
      <w:r>
        <w:fldChar w:fldCharType="end"/>
      </w:r>
    </w:p>
  </w:footnote>
  <w:footnote w:id="8">
    <w:p w14:paraId="3F80C34E" w14:textId="77777777" w:rsidR="00350F93" w:rsidRPr="00EF39DA"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{"citationID":"igDAEsFz","properties":{"formattedCitation":"Catherine Elliott and Catherine Vernon, {\\i{}French Legal System} (Longman, 2000), 45.","plainCitation":"Catherine Elliott and Catherine Vernon, French Legal System (Longman, 2000), 45.","noteIndex":44},"citationItems":[{"id":5626,"uris":["http://zotero.org/users/2479348/items/P5CCAAB8"],"itemData":{"id":5626,"type":"book","multi":{"main":{},"_keys":{}},"abstract":"This book provides a topical and highly readable introduction in English to the French legal system. It gives a detailed analysis of the sources of French law, the structure of the courts and legal profession, and the key characteristics of the legal process. It also includes practical material on university and vocational law studies in France in order to prepare the student for this experience.  French Legal System provides a springboard for the study of more specific and substantive areas of French law. It has been inspired by the companion text French Legal System and Legal Language: An Introduction in French, by Elliott, Geirnaert and Houssais and builds upon the foundation knowledge and language skills provided in that text. The two books can be used together or separately, depending on the skills and knowledge to be developed.","ISBN":"978-0-582-32747-4","language":"en","note":"Google-Books-ID: sF0WAQAAIAAJ","number-of-pages":"294","publisher":"Longman","source":"Google Books","title":"French Legal System","author":[{"family":"Elliott","given":"Catherine","multi":{"_key":{}}},{"family":"Vernon","given":"Catherine","multi":{"_key":{}}}],"issued":{"date-parts":[["2000"]]},"seeAlso":[]},"locator":"45","label":"page"}],"schema":"https://github.com/citation-style-language/schema/raw/master/csl-citation.json"} </w:instrText>
      </w:r>
      <w:r>
        <w:fldChar w:fldCharType="separate"/>
      </w:r>
      <w:r w:rsidRPr="009A3605">
        <w:rPr>
          <w:rFonts w:cs="Arial"/>
          <w:szCs w:val="24"/>
        </w:rPr>
        <w:t xml:space="preserve">Catherine Elliott and Catherine Vernon, </w:t>
      </w:r>
      <w:r w:rsidRPr="009A3605">
        <w:rPr>
          <w:rFonts w:cs="Arial"/>
          <w:i/>
          <w:iCs/>
          <w:szCs w:val="24"/>
        </w:rPr>
        <w:t>French Legal System</w:t>
      </w:r>
      <w:r w:rsidRPr="009A3605">
        <w:rPr>
          <w:rFonts w:cs="Arial"/>
          <w:szCs w:val="24"/>
        </w:rPr>
        <w:t xml:space="preserve"> (Longman, 2000), 45.</w:t>
      </w:r>
      <w:r>
        <w:fldChar w:fldCharType="end"/>
      </w:r>
      <w:r>
        <w:rPr>
          <w:lang w:val="mn-MN"/>
        </w:rPr>
        <w:t xml:space="preserve"> Ялангуяа 1982 оны Үндсэн хуулийн зөвлөлийн шийдвэрээс хойш.</w:t>
      </w:r>
    </w:p>
  </w:footnote>
  <w:footnote w:id="9">
    <w:p w14:paraId="49D1582F" w14:textId="77777777" w:rsidR="00350F93" w:rsidRDefault="00350F93" w:rsidP="00350F93">
      <w:pPr>
        <w:pStyle w:val="FootnoteText"/>
        <w:jc w:val="both"/>
      </w:pPr>
      <w:r>
        <w:rPr>
          <w:rStyle w:val="FootnoteReference"/>
        </w:rPr>
        <w:footnoteRef/>
      </w:r>
      <w:r>
        <w:t xml:space="preserve"> </w:t>
      </w:r>
      <w:r w:rsidRPr="00980168">
        <w:t>European Parliament Resolution of 5 May 2010 on the power of legislative delegation 2010/2021(INI), recital B, and the respective Explanatory Statement (in Report on the power of legislative delegation, 2010/2021(INI), Committee on Legal Affairs, A7-0110/2010, 29.3.2010, at 8-9.</w:t>
      </w:r>
    </w:p>
  </w:footnote>
  <w:footnote w:id="10">
    <w:p w14:paraId="7F30DC89" w14:textId="77777777" w:rsidR="00350F93" w:rsidRPr="002812BE"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{"citationID":"Diz9vBc7","properties":{"formattedCitation":"\\uc0\\u8220{}Comitology - EUR-Lex,\\uc0\\u8221{} accessed March 18, 2024 https://eur-lex.europa.eu.","plainCitation":"“Comitology - EUR-Lex,” accessed March 18, 2024 https://eur-lex.europa.eu.","noteIndex":46},"citationItems":[{"id":5573,"uris":["http://zotero.org/users/2479348/items/ECGQIVLZ"],"itemData":{"id":5573,"type":"webpage","multi":{"main":{},"_keys":{}},"language":"en","note":"Doc ID: comitology\nDoc Sector: other\nDoc Title: Comitology\nDoc Type: other\nUsr_lan: en","title":"Comitology - EUR-Lex","URL":"https://eur-lex.europa.eu/EN/legal-content/glossary/comitology.html","accessed":{"date-parts":[["2024",3,18]]},"seeAlso":[]}}],"schema":"https://github.com/citation-style-language/schema/raw/master/csl-citation.json"} </w:instrText>
      </w:r>
      <w:r>
        <w:fldChar w:fldCharType="separate"/>
      </w:r>
      <w:r w:rsidRPr="00655559">
        <w:rPr>
          <w:rFonts w:cs="Arial"/>
          <w:szCs w:val="24"/>
        </w:rPr>
        <w:t>“Comitology - EUR-Lex,” accessed March 18, 2024 https://eur-lex.europa.eu.</w:t>
      </w:r>
      <w:r>
        <w:fldChar w:fldCharType="end"/>
      </w:r>
      <w:r>
        <w:rPr>
          <w:lang w:val="mn-MN"/>
        </w:rPr>
        <w:t xml:space="preserve"> </w:t>
      </w:r>
      <w:r w:rsidRPr="002812BE">
        <w:t>Implementing acts are intended to ensure uniform conditions of implementation of legally binding Union acts.</w:t>
      </w:r>
    </w:p>
  </w:footnote>
  <w:footnote w:id="11">
    <w:p w14:paraId="10896F54" w14:textId="77777777" w:rsidR="00350F93" w:rsidRDefault="00350F93" w:rsidP="00350F93">
      <w:pPr>
        <w:pStyle w:val="FootnoteText"/>
        <w:jc w:val="both"/>
      </w:pPr>
      <w:r>
        <w:rPr>
          <w:rStyle w:val="FootnoteReference"/>
        </w:rPr>
        <w:footnoteRef/>
      </w:r>
      <w:r>
        <w:t xml:space="preserve"> </w:t>
      </w:r>
      <w:r>
        <w:fldChar w:fldCharType="begin"/>
      </w:r>
      <w:r>
        <w:instrText xml:space="preserve"> ADDIN ZOTERO_ITEM CSL_CITATION {"citationID":"AyLEd9St","properties":{"formattedCitation":"Zamira Xhaferri, \\uc0\\u8220{}Delegated Acts, Implementing Acts, and Institutional Balance Implications Post-Lisbon,\\uc0\\u8221{} {\\i{}Maastricht J. Eur. &amp; Comp. L.} 20, no. 4 (2013): 557\\uc0\\u8211{}75.","plainCitation":"Zamira Xhaferri, “Delegated Acts, Implementing Acts, and Institutional Balance Implications Post-Lisbon,” Maastricht J. Eur. &amp; Comp. L. 20, no. 4 (2013): 557–75.","noteIndex":47},"citationItems":[{"id":5511,"uris":["http://zotero.org/users/2479348/items/K8RDLFQF"],"itemData":{"id":5511,"type":"article-journal","multi":{"main":{},"_keys":{}},"container-title":"Maastricht Journal of European and Comparative Law","issue":"4","language":"eng","page":"557-575","source":"HeinOnline","title":"Delegated Acts, Implementing Acts, and Institutional Balance Implications Post-Lisbon","volume":"20","container-title-short":"Maastricht J. Eur. &amp; Comp. L.","author":[{"family":"Xhaferri","given":"Zamira","multi":{"_key":{}}}],"issued":{"date-parts":[["2013"]]},"seeAlso":[]}}],"schema":"https://github.com/citation-style-language/schema/raw/master/csl-citation.json"} </w:instrText>
      </w:r>
      <w:r>
        <w:fldChar w:fldCharType="separate"/>
      </w:r>
      <w:r w:rsidRPr="00ED114F">
        <w:rPr>
          <w:rFonts w:cs="Arial"/>
          <w:szCs w:val="24"/>
        </w:rPr>
        <w:t xml:space="preserve">Zamira Xhaferri, “Delegated Acts, Implementing Acts, and Institutional Balance Implications Post-Lisbon,” </w:t>
      </w:r>
      <w:r w:rsidRPr="00ED114F">
        <w:rPr>
          <w:rFonts w:cs="Arial"/>
          <w:i/>
          <w:iCs/>
          <w:szCs w:val="24"/>
        </w:rPr>
        <w:t>Maastricht J. Eur. &amp; Comp. L.</w:t>
      </w:r>
      <w:r w:rsidRPr="00ED114F">
        <w:rPr>
          <w:rFonts w:cs="Arial"/>
          <w:szCs w:val="24"/>
        </w:rPr>
        <w:t xml:space="preserve"> 20, no. 4 (2013): 557–75.</w:t>
      </w:r>
      <w:r>
        <w:fldChar w:fldCharType="end"/>
      </w:r>
    </w:p>
  </w:footnote>
  <w:footnote w:id="12">
    <w:p w14:paraId="0380B13A" w14:textId="77777777" w:rsidR="00350F93" w:rsidRPr="00B40B6D" w:rsidRDefault="00350F93" w:rsidP="00350F93">
      <w:pPr>
        <w:pStyle w:val="FootnoteText"/>
        <w:jc w:val="both"/>
        <w:rPr>
          <w:lang w:val="mn-MN"/>
        </w:rPr>
      </w:pPr>
      <w:r>
        <w:rPr>
          <w:rStyle w:val="FootnoteReference"/>
        </w:rPr>
        <w:footnoteRef/>
      </w:r>
      <w:r>
        <w:t xml:space="preserve"> </w:t>
      </w:r>
      <w:r>
        <w:fldChar w:fldCharType="begin"/>
      </w:r>
      <w:r>
        <w:instrText xml:space="preserve"> ADDIN ZOTERO_ITEM CSL_CITATION {"citationID":"godCPrhL","properties":{"formattedCitation":"Joana Mendes, \\uc0\\u8220{}Delegated and Implementing Rule Making: Proceduralisation and Constitutional Design,\\uc0\\u8221{} {\\i{}Eur. L.J.} 19, no. 1 (2013): 27\\uc0\\u8211{}28.","plainCitation":"Joana Mendes, “Delegated and Implementing Rule Making: Proceduralisation and Constitutional Design,” Eur. L.J. 19, no. 1 (2013): 27–28.","noteIndex":48},"citationItems":[{"id":5519,"uris":["http://zotero.org/users/2479348/items/7LZLGGJV"],"itemData":{"id":5519,"type":"article-journal","multi":{"main":{},"_keys":{}},"container-title":"European Law Journal","issue":"1","language":"eng","page":"22-41","source":"HeinOnline","title":"Delegated and Implementing Rule Making: Proceduralisation and Constitutional Design","title-short":"Delegated and Implementing Rule Making","volume":"19","container-title-short":"Eur. L.J.","author":[{"family":"Mendes","given":"Joana","multi":{"_key":{}}}],"issued":{"date-parts":[["2013"]]},"seeAlso":[]},"locator":"27-28","label":"page"}],"schema":"https://github.com/citation-style-language/schema/raw/master/csl-citation.json"} </w:instrText>
      </w:r>
      <w:r>
        <w:fldChar w:fldCharType="separate"/>
      </w:r>
      <w:r w:rsidRPr="00B40B6D">
        <w:rPr>
          <w:rFonts w:cs="Arial"/>
          <w:szCs w:val="24"/>
        </w:rPr>
        <w:t xml:space="preserve">Joana Mendes, “Delegated and Implementing Rule Making: Proceduralisation and Constitutional Design,” </w:t>
      </w:r>
      <w:r w:rsidRPr="00B40B6D">
        <w:rPr>
          <w:rFonts w:cs="Arial"/>
          <w:i/>
          <w:iCs/>
          <w:szCs w:val="24"/>
        </w:rPr>
        <w:t>Eur. L.J.</w:t>
      </w:r>
      <w:r w:rsidRPr="00B40B6D">
        <w:rPr>
          <w:rFonts w:cs="Arial"/>
          <w:szCs w:val="24"/>
        </w:rPr>
        <w:t xml:space="preserve"> 19, no. 1 (2013): 27–28.</w:t>
      </w:r>
      <w:r>
        <w:fldChar w:fldCharType="end"/>
      </w:r>
    </w:p>
  </w:footnote>
  <w:footnote w:id="13">
    <w:p w14:paraId="7B1BAB06" w14:textId="77777777" w:rsidR="00350F93" w:rsidRPr="007628A7" w:rsidRDefault="00350F93" w:rsidP="00350F93">
      <w:pPr>
        <w:pStyle w:val="FootnoteText"/>
        <w:jc w:val="both"/>
        <w:rPr>
          <w:lang w:val="mn-MN"/>
        </w:rPr>
      </w:pPr>
      <w:r>
        <w:rPr>
          <w:rStyle w:val="FootnoteReference"/>
        </w:rPr>
        <w:footnoteRef/>
      </w:r>
      <w:r>
        <w:t xml:space="preserve"> </w:t>
      </w:r>
      <w:r>
        <w:rPr>
          <w:lang w:val="mn-MN"/>
        </w:rPr>
        <w:t>Уг хуулийн 48-р зүйлийг 2017 оны хуулиар хүчингүйд тооцсон.</w:t>
      </w:r>
    </w:p>
  </w:footnote>
  <w:footnote w:id="14">
    <w:p w14:paraId="6F7D04C8" w14:textId="77777777" w:rsidR="00350F93" w:rsidRPr="00DE6AB3" w:rsidRDefault="00350F93" w:rsidP="00350F93">
      <w:pPr>
        <w:pStyle w:val="FootnoteText"/>
        <w:jc w:val="both"/>
        <w:rPr>
          <w:lang w:val="mn-MN"/>
        </w:rPr>
      </w:pPr>
      <w:r>
        <w:rPr>
          <w:rStyle w:val="FootnoteReference"/>
        </w:rPr>
        <w:footnoteRef/>
      </w:r>
      <w:hyperlink r:id="rId1" w:history="1">
        <w:r w:rsidRPr="007A086F">
          <w:rPr>
            <w:rStyle w:val="Hyperlink"/>
          </w:rPr>
          <w:t>https://shuukh.mn/single_case/3131?daterange=2023-05-15%20-%202023-05-15&amp;id=3&amp;court_cat=3&amp;bb=1</w:t>
        </w:r>
      </w:hyperlink>
      <w:r>
        <w:rPr>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05"/>
    <w:rsid w:val="00054E17"/>
    <w:rsid w:val="000570E7"/>
    <w:rsid w:val="00092A4D"/>
    <w:rsid w:val="00095670"/>
    <w:rsid w:val="00095832"/>
    <w:rsid w:val="000963B3"/>
    <w:rsid w:val="00096619"/>
    <w:rsid w:val="00110CD4"/>
    <w:rsid w:val="001160DC"/>
    <w:rsid w:val="00180046"/>
    <w:rsid w:val="00184DC7"/>
    <w:rsid w:val="00190EFB"/>
    <w:rsid w:val="001D4471"/>
    <w:rsid w:val="001D56FB"/>
    <w:rsid w:val="0024116B"/>
    <w:rsid w:val="00250F26"/>
    <w:rsid w:val="002614E5"/>
    <w:rsid w:val="00262C13"/>
    <w:rsid w:val="00273D67"/>
    <w:rsid w:val="00287AE2"/>
    <w:rsid w:val="002C2BBD"/>
    <w:rsid w:val="002C465A"/>
    <w:rsid w:val="002E578B"/>
    <w:rsid w:val="002F5857"/>
    <w:rsid w:val="0031479D"/>
    <w:rsid w:val="00330821"/>
    <w:rsid w:val="00347B96"/>
    <w:rsid w:val="00350F93"/>
    <w:rsid w:val="003B0311"/>
    <w:rsid w:val="0043444F"/>
    <w:rsid w:val="00445980"/>
    <w:rsid w:val="0046142D"/>
    <w:rsid w:val="00481F07"/>
    <w:rsid w:val="004823A5"/>
    <w:rsid w:val="00533E54"/>
    <w:rsid w:val="00535FAA"/>
    <w:rsid w:val="00554FB7"/>
    <w:rsid w:val="00570352"/>
    <w:rsid w:val="00570FDB"/>
    <w:rsid w:val="00577A6A"/>
    <w:rsid w:val="005A2AD3"/>
    <w:rsid w:val="005A2B6F"/>
    <w:rsid w:val="005C5C00"/>
    <w:rsid w:val="00611BA7"/>
    <w:rsid w:val="00623192"/>
    <w:rsid w:val="00692CAF"/>
    <w:rsid w:val="006C5F7E"/>
    <w:rsid w:val="0075357F"/>
    <w:rsid w:val="00754434"/>
    <w:rsid w:val="007A1205"/>
    <w:rsid w:val="007D630E"/>
    <w:rsid w:val="007F71C7"/>
    <w:rsid w:val="008070D9"/>
    <w:rsid w:val="00815BE6"/>
    <w:rsid w:val="00832FBA"/>
    <w:rsid w:val="008434A5"/>
    <w:rsid w:val="00857CE7"/>
    <w:rsid w:val="008757DD"/>
    <w:rsid w:val="00890243"/>
    <w:rsid w:val="008B0049"/>
    <w:rsid w:val="008F4921"/>
    <w:rsid w:val="0090079A"/>
    <w:rsid w:val="00905D7B"/>
    <w:rsid w:val="009119CC"/>
    <w:rsid w:val="00917814"/>
    <w:rsid w:val="009423D3"/>
    <w:rsid w:val="00950918"/>
    <w:rsid w:val="00960BB6"/>
    <w:rsid w:val="00963372"/>
    <w:rsid w:val="00967BE4"/>
    <w:rsid w:val="009D6F1C"/>
    <w:rsid w:val="009E73BA"/>
    <w:rsid w:val="00A05F2B"/>
    <w:rsid w:val="00A32326"/>
    <w:rsid w:val="00A37FBB"/>
    <w:rsid w:val="00A74942"/>
    <w:rsid w:val="00AC685C"/>
    <w:rsid w:val="00AE591F"/>
    <w:rsid w:val="00B23794"/>
    <w:rsid w:val="00BB7094"/>
    <w:rsid w:val="00BD13AA"/>
    <w:rsid w:val="00C0077A"/>
    <w:rsid w:val="00C241FF"/>
    <w:rsid w:val="00C6384C"/>
    <w:rsid w:val="00C71341"/>
    <w:rsid w:val="00C75DF9"/>
    <w:rsid w:val="00C82C12"/>
    <w:rsid w:val="00CB5CEE"/>
    <w:rsid w:val="00CC3774"/>
    <w:rsid w:val="00CD7F05"/>
    <w:rsid w:val="00D05735"/>
    <w:rsid w:val="00D3383A"/>
    <w:rsid w:val="00D66492"/>
    <w:rsid w:val="00D67952"/>
    <w:rsid w:val="00DA05F3"/>
    <w:rsid w:val="00DA34DF"/>
    <w:rsid w:val="00DB6B02"/>
    <w:rsid w:val="00DC15C2"/>
    <w:rsid w:val="00E01060"/>
    <w:rsid w:val="00E708CB"/>
    <w:rsid w:val="00EB5681"/>
    <w:rsid w:val="00ED7CBF"/>
    <w:rsid w:val="00F1480A"/>
    <w:rsid w:val="00F172BF"/>
    <w:rsid w:val="00F62B2D"/>
    <w:rsid w:val="00F675CE"/>
    <w:rsid w:val="00FE0C8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B7FAEA8"/>
  <w15:chartTrackingRefBased/>
  <w15:docId w15:val="{78959570-8FEC-6F48-9B44-2CD56F7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32326"/>
    <w:pPr>
      <w:spacing w:after="150"/>
    </w:pPr>
    <w:rPr>
      <w:rFonts w:ascii="Times New Roman" w:eastAsiaTheme="minorEastAsia" w:hAnsi="Times New Roman" w:cs="Times New Roman"/>
      <w:kern w:val="0"/>
      <w14:ligatures w14:val="none"/>
    </w:rPr>
  </w:style>
  <w:style w:type="character" w:styleId="Emphasis">
    <w:name w:val="Emphasis"/>
    <w:basedOn w:val="DefaultParagraphFont"/>
    <w:uiPriority w:val="20"/>
    <w:qFormat/>
    <w:rsid w:val="00A32326"/>
    <w:rPr>
      <w:i/>
      <w:iCs/>
    </w:rPr>
  </w:style>
  <w:style w:type="character" w:styleId="Strong">
    <w:name w:val="Strong"/>
    <w:basedOn w:val="DefaultParagraphFont"/>
    <w:uiPriority w:val="22"/>
    <w:qFormat/>
    <w:rsid w:val="00A32326"/>
    <w:rPr>
      <w:b/>
      <w:bCs/>
    </w:rPr>
  </w:style>
  <w:style w:type="character" w:customStyle="1" w:styleId="highlight2">
    <w:name w:val="highlight2"/>
    <w:basedOn w:val="DefaultParagraphFont"/>
    <w:rsid w:val="00347B96"/>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qFormat/>
    <w:rsid w:val="00857CE7"/>
    <w:rPr>
      <w:rFonts w:asciiTheme="minorHAnsi" w:hAnsiTheme="minorHAnsi" w:cstheme="minorBidi"/>
      <w:kern w:val="0"/>
      <w:sz w:val="20"/>
      <w:szCs w:val="20"/>
      <w:lang w:val="en-US"/>
      <w14:ligatures w14:val="none"/>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857CE7"/>
    <w:rPr>
      <w:rFonts w:asciiTheme="minorHAnsi" w:hAnsiTheme="minorHAnsi" w:cstheme="minorBidi"/>
      <w:kern w:val="0"/>
      <w:sz w:val="20"/>
      <w:szCs w:val="20"/>
      <w:lang w:val="en-US"/>
      <w14:ligatures w14:val="none"/>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857CE7"/>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857CE7"/>
    <w:pPr>
      <w:spacing w:after="160" w:line="240" w:lineRule="exact"/>
      <w:ind w:left="714" w:hanging="357"/>
      <w:jc w:val="both"/>
    </w:pPr>
    <w:rPr>
      <w:vertAlign w:val="superscript"/>
    </w:rPr>
  </w:style>
  <w:style w:type="character" w:styleId="Hyperlink">
    <w:name w:val="Hyperlink"/>
    <w:basedOn w:val="DefaultParagraphFont"/>
    <w:uiPriority w:val="99"/>
    <w:unhideWhenUsed/>
    <w:rsid w:val="00857CE7"/>
    <w:rPr>
      <w:color w:val="0563C1" w:themeColor="hyperlink"/>
      <w:u w:val="single"/>
    </w:rPr>
  </w:style>
  <w:style w:type="character" w:customStyle="1" w:styleId="NormalWebChar">
    <w:name w:val="Normal (Web) Char"/>
    <w:link w:val="NormalWeb"/>
    <w:uiPriority w:val="99"/>
    <w:locked/>
    <w:rsid w:val="00A74942"/>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71922">
      <w:bodyDiv w:val="1"/>
      <w:marLeft w:val="0"/>
      <w:marRight w:val="0"/>
      <w:marTop w:val="0"/>
      <w:marBottom w:val="0"/>
      <w:divBdr>
        <w:top w:val="none" w:sz="0" w:space="0" w:color="auto"/>
        <w:left w:val="none" w:sz="0" w:space="0" w:color="auto"/>
        <w:bottom w:val="none" w:sz="0" w:space="0" w:color="auto"/>
        <w:right w:val="none" w:sz="0" w:space="0" w:color="auto"/>
      </w:divBdr>
      <w:divsChild>
        <w:div w:id="1985347908">
          <w:marLeft w:val="0"/>
          <w:marRight w:val="0"/>
          <w:marTop w:val="0"/>
          <w:marBottom w:val="75"/>
          <w:divBdr>
            <w:top w:val="none" w:sz="0" w:space="0" w:color="auto"/>
            <w:left w:val="none" w:sz="0" w:space="0" w:color="auto"/>
            <w:bottom w:val="none" w:sz="0" w:space="0" w:color="auto"/>
            <w:right w:val="none" w:sz="0" w:space="0" w:color="auto"/>
          </w:divBdr>
        </w:div>
        <w:div w:id="331877968">
          <w:marLeft w:val="0"/>
          <w:marRight w:val="0"/>
          <w:marTop w:val="0"/>
          <w:marBottom w:val="75"/>
          <w:divBdr>
            <w:top w:val="none" w:sz="0" w:space="0" w:color="auto"/>
            <w:left w:val="none" w:sz="0" w:space="0" w:color="auto"/>
            <w:bottom w:val="none" w:sz="0" w:space="0" w:color="auto"/>
            <w:right w:val="none" w:sz="0" w:space="0" w:color="auto"/>
          </w:divBdr>
        </w:div>
      </w:divsChild>
    </w:div>
    <w:div w:id="1396078693">
      <w:bodyDiv w:val="1"/>
      <w:marLeft w:val="0"/>
      <w:marRight w:val="0"/>
      <w:marTop w:val="0"/>
      <w:marBottom w:val="0"/>
      <w:divBdr>
        <w:top w:val="none" w:sz="0" w:space="0" w:color="auto"/>
        <w:left w:val="none" w:sz="0" w:space="0" w:color="auto"/>
        <w:bottom w:val="none" w:sz="0" w:space="0" w:color="auto"/>
        <w:right w:val="none" w:sz="0" w:space="0" w:color="auto"/>
      </w:divBdr>
      <w:divsChild>
        <w:div w:id="418213176">
          <w:marLeft w:val="0"/>
          <w:marRight w:val="0"/>
          <w:marTop w:val="0"/>
          <w:marBottom w:val="75"/>
          <w:divBdr>
            <w:top w:val="none" w:sz="0" w:space="0" w:color="auto"/>
            <w:left w:val="none" w:sz="0" w:space="0" w:color="auto"/>
            <w:bottom w:val="none" w:sz="0" w:space="0" w:color="auto"/>
            <w:right w:val="none" w:sz="0" w:space="0" w:color="auto"/>
          </w:divBdr>
        </w:div>
        <w:div w:id="795946613">
          <w:marLeft w:val="0"/>
          <w:marRight w:val="0"/>
          <w:marTop w:val="0"/>
          <w:marBottom w:val="75"/>
          <w:divBdr>
            <w:top w:val="none" w:sz="0" w:space="0" w:color="auto"/>
            <w:left w:val="none" w:sz="0" w:space="0" w:color="auto"/>
            <w:bottom w:val="none" w:sz="0" w:space="0" w:color="auto"/>
            <w:right w:val="none" w:sz="0" w:space="0" w:color="auto"/>
          </w:divBdr>
        </w:div>
      </w:divsChild>
    </w:div>
    <w:div w:id="1407410721">
      <w:bodyDiv w:val="1"/>
      <w:marLeft w:val="0"/>
      <w:marRight w:val="0"/>
      <w:marTop w:val="0"/>
      <w:marBottom w:val="0"/>
      <w:divBdr>
        <w:top w:val="none" w:sz="0" w:space="0" w:color="auto"/>
        <w:left w:val="none" w:sz="0" w:space="0" w:color="auto"/>
        <w:bottom w:val="none" w:sz="0" w:space="0" w:color="auto"/>
        <w:right w:val="none" w:sz="0" w:space="0" w:color="auto"/>
      </w:divBdr>
      <w:divsChild>
        <w:div w:id="834495577">
          <w:marLeft w:val="0"/>
          <w:marRight w:val="0"/>
          <w:marTop w:val="0"/>
          <w:marBottom w:val="75"/>
          <w:divBdr>
            <w:top w:val="none" w:sz="0" w:space="0" w:color="auto"/>
            <w:left w:val="none" w:sz="0" w:space="0" w:color="auto"/>
            <w:bottom w:val="none" w:sz="0" w:space="0" w:color="auto"/>
            <w:right w:val="none" w:sz="0" w:space="0" w:color="auto"/>
          </w:divBdr>
        </w:div>
        <w:div w:id="144403402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huukh.mn/single_case/3131?daterange=2023-05-15%20-%202023-05-15&amp;id=3&amp;court_cat=3&amp;b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2024-05-06T08:51:00Z</cp:lastPrinted>
  <dcterms:created xsi:type="dcterms:W3CDTF">2024-05-07T23:58:00Z</dcterms:created>
  <dcterms:modified xsi:type="dcterms:W3CDTF">2024-05-14T12:32:00Z</dcterms:modified>
</cp:coreProperties>
</file>