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3CAA4" w14:textId="3E46D7C8" w:rsidR="00117BFC" w:rsidRPr="00C7355E" w:rsidRDefault="00E5591F" w:rsidP="00E5591F">
      <w:pPr>
        <w:spacing w:after="0" w:line="240" w:lineRule="auto"/>
        <w:ind w:left="1134" w:right="855"/>
        <w:jc w:val="center"/>
        <w:rPr>
          <w:rFonts w:cs="Arial"/>
          <w:szCs w:val="24"/>
          <w:lang w:val="mn-MN"/>
        </w:rPr>
      </w:pPr>
      <w:r w:rsidRPr="00C7355E">
        <w:rPr>
          <w:rFonts w:cs="Arial"/>
          <w:szCs w:val="24"/>
          <w:lang w:val="mn-MN"/>
        </w:rPr>
        <w:t xml:space="preserve">МАЛЫН ГАРАЛТАЙ ТҮҮХИЙ ЭДИЙГ БОЛОВСРУУЛАХ ҮЙЛДВЭРЛЭЛИЙГ ДЭМЖИХ ЗАРИМ АРГА ХЭМЖЭЭНИЙ ТУХАЙ </w:t>
      </w:r>
      <w:r w:rsidR="009439B9" w:rsidRPr="00C7355E">
        <w:rPr>
          <w:rStyle w:val="Strong"/>
          <w:rFonts w:cs="Arial"/>
          <w:b w:val="0"/>
          <w:szCs w:val="24"/>
          <w:lang w:val="mn-MN"/>
        </w:rPr>
        <w:t xml:space="preserve">УЛСЫН ИХ ХУРЛЫН ТОГТООЛЫН ҮР НӨЛӨӨНИЙ ҮНЭЛГЭЭ </w:t>
      </w:r>
    </w:p>
    <w:p w14:paraId="2831D809" w14:textId="77777777" w:rsidR="00117BFC" w:rsidRPr="00C7355E" w:rsidRDefault="00117BFC" w:rsidP="000279F7">
      <w:pPr>
        <w:pStyle w:val="NormalWeb"/>
        <w:jc w:val="center"/>
        <w:rPr>
          <w:rFonts w:ascii="Arial" w:hAnsi="Arial" w:cs="Arial"/>
          <w:lang w:val="mn-MN"/>
        </w:rPr>
      </w:pPr>
      <w:r w:rsidRPr="00C7355E">
        <w:rPr>
          <w:rFonts w:ascii="Arial" w:hAnsi="Arial" w:cs="Arial"/>
          <w:lang w:val="mn-MN"/>
        </w:rPr>
        <w:t>НЭГ.ЕРӨНХИЙ ЗҮЙЛ</w:t>
      </w:r>
    </w:p>
    <w:p w14:paraId="1B399EAC" w14:textId="46514BF0" w:rsidR="00117BFC" w:rsidRPr="00C7355E" w:rsidRDefault="00E5591F" w:rsidP="009439B9">
      <w:pPr>
        <w:spacing w:after="0" w:line="240" w:lineRule="auto"/>
        <w:ind w:right="4" w:firstLine="720"/>
        <w:jc w:val="both"/>
        <w:rPr>
          <w:rFonts w:eastAsiaTheme="minorHAnsi" w:cs="Arial"/>
          <w:szCs w:val="24"/>
          <w:lang w:val="mn-MN"/>
        </w:rPr>
      </w:pPr>
      <w:r w:rsidRPr="00C7355E">
        <w:rPr>
          <w:rFonts w:eastAsia="Arial" w:cs="Arial"/>
          <w:lang w:val="mn-MN"/>
        </w:rPr>
        <w:t>Малын гаралтай түүхий эдийг боловсруулах үйлдвэрлэлийг дэмжих зарим арга хэмжээний тухай</w:t>
      </w:r>
      <w:r w:rsidRPr="00C7355E">
        <w:rPr>
          <w:rFonts w:cs="Arial"/>
          <w:szCs w:val="24"/>
          <w:lang w:val="mn-MN"/>
        </w:rPr>
        <w:t xml:space="preserve"> </w:t>
      </w:r>
      <w:r w:rsidR="00117BFC" w:rsidRPr="00C7355E">
        <w:rPr>
          <w:rFonts w:cs="Arial"/>
          <w:szCs w:val="24"/>
          <w:lang w:val="mn-MN"/>
        </w:rPr>
        <w:t>Улсын Их Хурлын тогтоол /цаашид “тогтоолын төсөл” гэх/-ын төслийн үр нөлөөг Засгийн газрын 2016 оны 59 дүгээр тогтоолын 3 дугаар хавсралтаар баталсан “Хууль тогтоомжийн төслийн үр нөлөөг үнэлэх аргачлал”-д /цаашид “аргачлал” гэх/ заасны дагуу үнэлсэн болно.</w:t>
      </w:r>
    </w:p>
    <w:p w14:paraId="0C88F851" w14:textId="77777777" w:rsidR="00117BFC" w:rsidRPr="00C7355E" w:rsidRDefault="00117BFC" w:rsidP="00117BFC">
      <w:pPr>
        <w:pStyle w:val="NormalWeb"/>
        <w:spacing w:before="0" w:beforeAutospacing="0" w:after="0" w:afterAutospacing="0"/>
        <w:jc w:val="both"/>
        <w:rPr>
          <w:rFonts w:ascii="Arial" w:hAnsi="Arial" w:cs="Arial"/>
          <w:lang w:val="mn-MN"/>
        </w:rPr>
      </w:pPr>
      <w:r w:rsidRPr="00C7355E">
        <w:rPr>
          <w:rFonts w:ascii="Arial" w:hAnsi="Arial" w:cs="Arial"/>
          <w:lang w:val="mn-MN"/>
        </w:rPr>
        <w:tab/>
        <w:t xml:space="preserve">Тогтоолын төслийг аргачлалд заасны дагуу </w:t>
      </w:r>
      <w:proofErr w:type="spellStart"/>
      <w:r w:rsidRPr="00C7355E">
        <w:rPr>
          <w:rFonts w:ascii="Arial" w:hAnsi="Arial" w:cs="Arial"/>
          <w:lang w:val="mn-MN"/>
        </w:rPr>
        <w:t>дараахь</w:t>
      </w:r>
      <w:proofErr w:type="spellEnd"/>
      <w:r w:rsidRPr="00C7355E">
        <w:rPr>
          <w:rFonts w:ascii="Arial" w:hAnsi="Arial" w:cs="Arial"/>
          <w:lang w:val="mn-MN"/>
        </w:rPr>
        <w:t xml:space="preserve"> үе шаттай хийлээ.</w:t>
      </w:r>
    </w:p>
    <w:p w14:paraId="7DAAE801" w14:textId="77777777" w:rsidR="00117BFC" w:rsidRPr="00C7355E" w:rsidRDefault="00117BFC" w:rsidP="00117BFC">
      <w:pPr>
        <w:numPr>
          <w:ilvl w:val="0"/>
          <w:numId w:val="1"/>
        </w:numPr>
        <w:spacing w:after="0" w:line="240" w:lineRule="auto"/>
        <w:contextualSpacing/>
        <w:jc w:val="both"/>
        <w:rPr>
          <w:rFonts w:eastAsia="Yu Mincho" w:cs="Arial"/>
          <w:noProof/>
          <w:szCs w:val="24"/>
          <w:lang w:val="mn-MN"/>
        </w:rPr>
      </w:pPr>
      <w:r w:rsidRPr="00C7355E">
        <w:rPr>
          <w:rFonts w:eastAsia="Yu Mincho" w:cs="Arial"/>
          <w:noProof/>
          <w:szCs w:val="24"/>
          <w:lang w:val="mn-MN"/>
        </w:rPr>
        <w:t>Ерөнхий зүйл</w:t>
      </w:r>
    </w:p>
    <w:p w14:paraId="2093717D" w14:textId="77777777" w:rsidR="00117BFC" w:rsidRPr="00C7355E" w:rsidRDefault="00117BFC" w:rsidP="00117BFC">
      <w:pPr>
        <w:numPr>
          <w:ilvl w:val="0"/>
          <w:numId w:val="1"/>
        </w:numPr>
        <w:spacing w:after="0" w:line="240" w:lineRule="auto"/>
        <w:contextualSpacing/>
        <w:jc w:val="both"/>
        <w:rPr>
          <w:rFonts w:eastAsia="Yu Mincho" w:cs="Arial"/>
          <w:noProof/>
          <w:szCs w:val="24"/>
          <w:lang w:val="mn-MN"/>
        </w:rPr>
      </w:pPr>
      <w:r w:rsidRPr="00C7355E">
        <w:rPr>
          <w:rFonts w:eastAsia="Yu Mincho" w:cs="Arial"/>
          <w:noProof/>
          <w:szCs w:val="24"/>
          <w:lang w:val="mn-MN"/>
        </w:rPr>
        <w:t>Шалгуур үзүүлэлтийг сонгох</w:t>
      </w:r>
    </w:p>
    <w:p w14:paraId="53759D74" w14:textId="77777777" w:rsidR="00117BFC" w:rsidRPr="00C7355E" w:rsidRDefault="00117BFC" w:rsidP="00117BFC">
      <w:pPr>
        <w:numPr>
          <w:ilvl w:val="0"/>
          <w:numId w:val="1"/>
        </w:numPr>
        <w:spacing w:after="0" w:line="240" w:lineRule="auto"/>
        <w:contextualSpacing/>
        <w:jc w:val="both"/>
        <w:rPr>
          <w:rFonts w:eastAsia="Yu Mincho" w:cs="Arial"/>
          <w:noProof/>
          <w:szCs w:val="24"/>
          <w:lang w:val="mn-MN"/>
        </w:rPr>
      </w:pPr>
      <w:r w:rsidRPr="00C7355E">
        <w:rPr>
          <w:rFonts w:eastAsia="Yu Mincho" w:cs="Arial"/>
          <w:noProof/>
          <w:szCs w:val="24"/>
          <w:lang w:val="mn-MN"/>
        </w:rPr>
        <w:t>Урьдчилан сонгосон шалгуур үзүүлэлтэд тохирох шалгах хэрэгслийн дагуу үр нөлөөг тооцох</w:t>
      </w:r>
    </w:p>
    <w:p w14:paraId="62264B32" w14:textId="77777777" w:rsidR="00117BFC" w:rsidRPr="00C7355E" w:rsidRDefault="00117BFC" w:rsidP="00117BFC">
      <w:pPr>
        <w:numPr>
          <w:ilvl w:val="0"/>
          <w:numId w:val="1"/>
        </w:numPr>
        <w:spacing w:after="0" w:line="240" w:lineRule="auto"/>
        <w:contextualSpacing/>
        <w:jc w:val="both"/>
        <w:rPr>
          <w:rFonts w:eastAsia="Yu Mincho" w:cs="Arial"/>
          <w:noProof/>
          <w:szCs w:val="24"/>
          <w:lang w:val="mn-MN"/>
        </w:rPr>
      </w:pPr>
      <w:r w:rsidRPr="00C7355E">
        <w:rPr>
          <w:rFonts w:eastAsia="Yu Mincho" w:cs="Arial"/>
          <w:noProof/>
          <w:szCs w:val="24"/>
          <w:lang w:val="mn-MN"/>
        </w:rPr>
        <w:t>Үр дүнг үнэлэх, зөвлөмж өгөх.</w:t>
      </w:r>
    </w:p>
    <w:p w14:paraId="721FB81E" w14:textId="77777777" w:rsidR="00117BFC" w:rsidRPr="00C7355E" w:rsidRDefault="00117BFC" w:rsidP="009439B9">
      <w:pPr>
        <w:spacing w:after="0" w:line="240" w:lineRule="auto"/>
        <w:contextualSpacing/>
        <w:jc w:val="both"/>
        <w:rPr>
          <w:rFonts w:eastAsia="Yu Mincho" w:cs="Arial"/>
          <w:noProof/>
          <w:szCs w:val="24"/>
          <w:lang w:val="mn-MN"/>
        </w:rPr>
      </w:pPr>
    </w:p>
    <w:p w14:paraId="45E759E0" w14:textId="77777777" w:rsidR="00117BFC" w:rsidRPr="00C7355E" w:rsidRDefault="00117BFC" w:rsidP="000279F7">
      <w:pPr>
        <w:spacing w:line="240" w:lineRule="auto"/>
        <w:jc w:val="center"/>
        <w:rPr>
          <w:rFonts w:eastAsia="Yu Mincho" w:cs="Arial"/>
          <w:noProof/>
          <w:szCs w:val="24"/>
          <w:lang w:val="mn-MN"/>
        </w:rPr>
      </w:pPr>
      <w:r w:rsidRPr="00C7355E">
        <w:rPr>
          <w:rFonts w:eastAsia="Yu Mincho" w:cs="Arial"/>
          <w:noProof/>
          <w:szCs w:val="24"/>
          <w:lang w:val="mn-MN"/>
        </w:rPr>
        <w:t>ХОЁР.ТОГТООЛЫН ТӨСЛИЙН ШАЛГУУР ҮЗҮҮЛЭЛТИЙГ СОНГОСОН БАЙДАЛ, ҮНДЭСЛЭЛ</w:t>
      </w:r>
    </w:p>
    <w:p w14:paraId="576FAD55"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Тус үнэлгээний ажлыг хийж гүйцэтгэхдээ тогтоолын төслийн зорилго, хамрах хүрээ, зохицуулах асуудалтай уялдуулан, аргачлалд дурдсан 6 шалгуур үзүүлэлтээс 4 шалгуур үзүүлэлтийг сонголоо. Үүнд:</w:t>
      </w:r>
    </w:p>
    <w:p w14:paraId="7259703D" w14:textId="77777777" w:rsidR="00117BFC" w:rsidRPr="00C7355E" w:rsidRDefault="00117BFC" w:rsidP="00117BFC">
      <w:pPr>
        <w:numPr>
          <w:ilvl w:val="0"/>
          <w:numId w:val="2"/>
        </w:numPr>
        <w:spacing w:line="240" w:lineRule="auto"/>
        <w:contextualSpacing/>
        <w:jc w:val="both"/>
        <w:rPr>
          <w:rFonts w:eastAsia="Yu Mincho" w:cs="Arial"/>
          <w:noProof/>
          <w:szCs w:val="24"/>
          <w:lang w:val="mn-MN"/>
        </w:rPr>
      </w:pPr>
      <w:r w:rsidRPr="00C7355E">
        <w:rPr>
          <w:rFonts w:eastAsia="Yu Mincho" w:cs="Arial"/>
          <w:noProof/>
          <w:szCs w:val="24"/>
          <w:lang w:val="mn-MN"/>
        </w:rPr>
        <w:t xml:space="preserve">Зорилгод хүрэх байдал </w:t>
      </w:r>
      <w:r w:rsidRPr="00C7355E">
        <w:rPr>
          <w:rFonts w:eastAsia="Yu Mincho" w:cs="Arial"/>
          <w:noProof/>
          <w:szCs w:val="24"/>
          <w:lang w:val="mn-MN"/>
        </w:rPr>
        <w:tab/>
      </w:r>
    </w:p>
    <w:p w14:paraId="6C33D69C" w14:textId="77777777" w:rsidR="00117BFC" w:rsidRPr="00C7355E" w:rsidRDefault="00117BFC" w:rsidP="00117BFC">
      <w:pPr>
        <w:numPr>
          <w:ilvl w:val="0"/>
          <w:numId w:val="2"/>
        </w:numPr>
        <w:spacing w:line="240" w:lineRule="auto"/>
        <w:contextualSpacing/>
        <w:jc w:val="both"/>
        <w:rPr>
          <w:rFonts w:eastAsia="Yu Mincho" w:cs="Arial"/>
          <w:noProof/>
          <w:szCs w:val="24"/>
          <w:lang w:val="mn-MN"/>
        </w:rPr>
      </w:pPr>
      <w:r w:rsidRPr="00C7355E">
        <w:rPr>
          <w:rFonts w:eastAsia="Yu Mincho" w:cs="Arial"/>
          <w:noProof/>
          <w:szCs w:val="24"/>
          <w:lang w:val="mn-MN"/>
        </w:rPr>
        <w:t>Практикт хэрэгжих боломж</w:t>
      </w:r>
    </w:p>
    <w:p w14:paraId="1BBD01A8" w14:textId="77777777" w:rsidR="00117BFC" w:rsidRPr="00C7355E" w:rsidRDefault="00117BFC" w:rsidP="00117BFC">
      <w:pPr>
        <w:numPr>
          <w:ilvl w:val="0"/>
          <w:numId w:val="2"/>
        </w:numPr>
        <w:spacing w:line="240" w:lineRule="auto"/>
        <w:contextualSpacing/>
        <w:jc w:val="both"/>
        <w:rPr>
          <w:rFonts w:eastAsia="Yu Mincho" w:cs="Arial"/>
          <w:noProof/>
          <w:szCs w:val="24"/>
          <w:lang w:val="mn-MN"/>
        </w:rPr>
      </w:pPr>
      <w:r w:rsidRPr="00C7355E">
        <w:rPr>
          <w:rFonts w:eastAsia="Yu Mincho" w:cs="Arial"/>
          <w:noProof/>
          <w:szCs w:val="24"/>
          <w:lang w:val="mn-MN"/>
        </w:rPr>
        <w:t xml:space="preserve">Гарах зардал </w:t>
      </w:r>
    </w:p>
    <w:p w14:paraId="3CF53B8F" w14:textId="77777777" w:rsidR="00117BFC" w:rsidRPr="00C7355E" w:rsidRDefault="00117BFC" w:rsidP="00117BFC">
      <w:pPr>
        <w:numPr>
          <w:ilvl w:val="0"/>
          <w:numId w:val="2"/>
        </w:numPr>
        <w:spacing w:line="240" w:lineRule="auto"/>
        <w:contextualSpacing/>
        <w:jc w:val="both"/>
        <w:rPr>
          <w:rFonts w:eastAsia="Yu Mincho" w:cs="Arial"/>
          <w:noProof/>
          <w:szCs w:val="24"/>
          <w:lang w:val="mn-MN"/>
        </w:rPr>
      </w:pPr>
      <w:r w:rsidRPr="00C7355E">
        <w:rPr>
          <w:rFonts w:eastAsia="Yu Mincho" w:cs="Arial"/>
          <w:noProof/>
          <w:szCs w:val="24"/>
          <w:lang w:val="mn-MN"/>
        </w:rPr>
        <w:t>Харилцан уялдаа зэрэг болно.</w:t>
      </w:r>
      <w:r w:rsidRPr="00C7355E">
        <w:rPr>
          <w:rFonts w:eastAsia="Yu Mincho" w:cs="Arial"/>
          <w:noProof/>
          <w:szCs w:val="24"/>
          <w:lang w:val="mn-MN"/>
        </w:rPr>
        <w:tab/>
      </w:r>
    </w:p>
    <w:p w14:paraId="26FAB943" w14:textId="77777777" w:rsidR="00117BFC" w:rsidRPr="00C7355E" w:rsidRDefault="00117BFC" w:rsidP="00117BFC">
      <w:pPr>
        <w:spacing w:line="240" w:lineRule="auto"/>
        <w:ind w:left="1440"/>
        <w:contextualSpacing/>
        <w:jc w:val="both"/>
        <w:rPr>
          <w:rFonts w:eastAsia="Yu Mincho" w:cs="Arial"/>
          <w:noProof/>
          <w:szCs w:val="24"/>
          <w:lang w:val="mn-MN"/>
        </w:rPr>
      </w:pPr>
      <w:r w:rsidRPr="00C7355E">
        <w:rPr>
          <w:rFonts w:eastAsia="Yu Mincho" w:cs="Arial"/>
          <w:noProof/>
          <w:szCs w:val="24"/>
          <w:lang w:val="mn-MN"/>
        </w:rPr>
        <w:tab/>
      </w:r>
    </w:p>
    <w:p w14:paraId="7BA210C9" w14:textId="77777777" w:rsidR="00117BFC" w:rsidRPr="00C7355E" w:rsidRDefault="00117BFC" w:rsidP="00117BFC">
      <w:pPr>
        <w:spacing w:before="240" w:line="240" w:lineRule="auto"/>
        <w:ind w:firstLine="720"/>
        <w:jc w:val="both"/>
        <w:rPr>
          <w:rFonts w:eastAsia="Yu Mincho" w:cs="Arial"/>
          <w:noProof/>
          <w:szCs w:val="24"/>
          <w:lang w:val="mn-MN"/>
        </w:rPr>
      </w:pPr>
      <w:r w:rsidRPr="00C7355E">
        <w:rPr>
          <w:rFonts w:eastAsia="Yu Mincho" w:cs="Arial"/>
          <w:noProof/>
          <w:szCs w:val="24"/>
          <w:lang w:val="mn-MN"/>
        </w:rPr>
        <w:t xml:space="preserve">“Зорилгод хүрэх байдал” гэсэн шалгуур үзүүлэлтийн хүрээнд тогтоолын төслийн зорилго нь үзэл баримтлалд тусгасан тогтоолын төслийг боловсруулах болсон үндэслэл, шаардлагад нийцэж буй байдал, тогтоолын төсөлд тусгагдсан зохицуулалтууд нь тогтоолын төслийн зорилгод хүрэх боломжтой эсэхийг үнэллээ. </w:t>
      </w:r>
    </w:p>
    <w:p w14:paraId="136AD9DF"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Энэхүү үнэлгээг хийхдээ тогтоолын төслийн үзэл баримтлалтай танилцаж, тогтоолын төсөл боловсруулах болсон үндэслэл, шаардлага, тогтоолын төслийн зорилго болон зорилгод хүрэхэд чиглэгдсэн, мөн түүнийг тодорхой илэрхийлж чадахуйц арга хэмжээ, зохицуулалтыг сонгож авсан болно.</w:t>
      </w:r>
    </w:p>
    <w:p w14:paraId="0534F464"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“Ойлгомжтой байдал” гэсэн шалгуур үзүүлэлтийн хүрээнд тогтоолын төсөл нь боловсруулалтын хувьд Хууль тогтоомжийн тухай хуулийн 30, 35, 36 дугаар зүйл болон Хууль тогтоомжийн төсөл боловсруулах аргачлалд заасан шаардлагыг хангасан эсэхийг, түүнчлэн хэрэглэх, хэрэгжүүлэх этгээдүүд тогтоолыг ойлгож хэрэглэх, хэрэгжүүлэх боломжтой байдлаар боловсруулагдсан эсэхийг шалгахын тулд тогтоолын төслийг бүхэлд нь сонгон авлаа.</w:t>
      </w:r>
    </w:p>
    <w:p w14:paraId="5B905287"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“Харилцан уялдаа” шалгуур үзүүлэлтийн хүрээнд тогтоолын төслийг бүхэлд нь Үндсэн хууль холбогдох бусад хуульд нийцсэн эсэхийг аргачлалд заасан асуултад хариулах байдлаар үнэлгээг хийхээр тооцов.</w:t>
      </w:r>
    </w:p>
    <w:p w14:paraId="4ABAF9B5" w14:textId="77777777" w:rsidR="00117BFC" w:rsidRPr="00C7355E" w:rsidRDefault="00117BFC" w:rsidP="000279F7">
      <w:pPr>
        <w:spacing w:line="240" w:lineRule="auto"/>
        <w:jc w:val="center"/>
        <w:rPr>
          <w:rFonts w:eastAsia="Yu Mincho" w:cs="Arial"/>
          <w:noProof/>
          <w:szCs w:val="24"/>
          <w:lang w:val="mn-MN"/>
        </w:rPr>
      </w:pPr>
      <w:r w:rsidRPr="00C7355E">
        <w:rPr>
          <w:rFonts w:eastAsia="Yu Mincho" w:cs="Arial"/>
          <w:noProof/>
          <w:szCs w:val="24"/>
          <w:lang w:val="mn-MN"/>
        </w:rPr>
        <w:lastRenderedPageBreak/>
        <w:t>ГУРАВ. УРЬДЧИЛАН СОНГОСОН ШАЛГУУР ҮЗҮҮЛЭЛТЭД ТОХИРОХ ШАЛГАХ ХЭРЭГСЛИЙН ДАГУУ ТОГТООЛЫН ТӨСЛИЙН ҮР НӨЛӨӨГ ҮНЭЛСЭН БАЙДАЛ</w:t>
      </w:r>
    </w:p>
    <w:p w14:paraId="020A677B"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3.1. “Зорилгод хүрэх байдал” шалгуур үзүүлэлтийн хүрээнд тогтоолын төслийн үзэл баримтлалд тусгасан тогтоолын төсөл боловсруулах болсон үндэслэл, хэрэгцээ шаардлагад тогтоолын төслийн зорилт, зохицуулалтууд нь нийцэж байгаа эсэхэд дүн шинжилгээ хийх үүднээс тогтоолын төслийн үзэл баримтлалтай танилцаж, үзэл баримтлал болон тогтоолын төслийн зорилт, түүнийг хангахад чиглэсэн зохицуулалтуудыг харьцуулах байдлаар дүн шинжилгээ хийлээ. Тогтоолын төслийн үзэл баримтлалд дурдсанаар:</w:t>
      </w:r>
    </w:p>
    <w:p w14:paraId="14BE7850" w14:textId="4E4F3C30" w:rsidR="009439B9" w:rsidRPr="00C7355E" w:rsidRDefault="00E5591F" w:rsidP="009439B9">
      <w:pPr>
        <w:pStyle w:val="NormalWeb"/>
        <w:spacing w:before="0" w:beforeAutospacing="0" w:after="240" w:afterAutospacing="0"/>
        <w:ind w:firstLine="405"/>
        <w:jc w:val="both"/>
        <w:rPr>
          <w:rStyle w:val="Strong"/>
          <w:rFonts w:ascii="Arial" w:eastAsia="Calibri" w:hAnsi="Arial" w:cs="Arial"/>
          <w:b w:val="0"/>
          <w:i/>
          <w:lang w:val="mn-MN"/>
        </w:rPr>
      </w:pPr>
      <w:r w:rsidRPr="00C7355E">
        <w:rPr>
          <w:rFonts w:ascii="Arial" w:hAnsi="Arial" w:cs="Arial"/>
          <w:lang w:val="mn-MN"/>
        </w:rPr>
        <w:t>Монгол Улсын Их Хурлын 2020 оны 52 дугаар тогтоолоор баталсан “Алсын хараа-2050” Монгол Улсын урт хугацааны хөгжлийн бодлогын 4.2-т “Эдийн засгийн тэргүүлэх салбаруудыг хөгжүүлж, экспортын баримжаатай эдийн засгийг бий болгоно” гэж, Монгол Улсын Их Хурлын 2021 оны 106 дугаар тогтоолоор баталсан “Шинэ сэргэлтийн бодлого”-ын 3.5-д “Хөдөө аж ахуйн гаралтай түүхий эд, бүтээгдэхүүний нөөцтэй уялдуулан боловсруулах үйлдвэрийн хүчин чадлыг нэмэгдүүлэх замаар хагас боловсруулсан бүтээгдэхүүний экспортын хувь хэмжээг бууруулан нэмүү өртөг шингэсэн эцсийн бүтээгдэхүүний экспортыг нэмэгдүүлнэ” гэж, Монгол Улсын Их Хурлын 2020 оны 23 дугаар тогтоолоор баталсан “Монгол Улсыг 2021-2025 онд хөгжүүлэх таван жилийн үндсэн чиглэл”-ийн 4.2.2-т “хөдөө аж ахуйн бүтээгдэхүүний боловсруулалтын түвшнийг нэмэгдүүлж, малын гаралтай бүтээгдэхүүний экспортыг нэмэгдүүлнэ” гэж, 4.5.1-д “судалгаа, шинжилгээ, шинэ санаа, оюуны бүтээл, брэндэд тулгуурласан, гадаад зах зээлд чиглэсэн үйлдвэрлэлийг хөгжүүлнэ” гэж, Монгол Улсын Их Хурлын 2020 оны 24 дүгээр тогтоолоор баталсан Монгол Улсын Засгийн газрын 2020-2024 оны үйл ажиллагааны хөтөлбөрийн 3.3.9-д “Мал аж ахуйн гаралтай бүтээгдэхүүнийг боловсруулах үйлдвэрлэлийг дэмжих замаар мах, ноос, ноолуур, арьс шир боловсруулах үйлдвэрийн бүтээмжийг нэмэгдүүлнэ” гэж, Монгол Улсын Их Хурлын 2021 оны 12 дугаар тогтоолоор баталсан Монгол Улсын хууль тогтоомжийг 2024 он хүртэл боловсронгуй болгох үндсэн чиглэлийн 1.15 дахь хэсгийн 139-д Хөнгөн үйлдвэрлэлийн тухай хуулийн төслийг боловсруулж, батлуулахаар тус тус заасан.</w:t>
      </w:r>
    </w:p>
    <w:p w14:paraId="6C37985B"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Хөнгөн үйлдвэрлэлийн салбарт хамаарах Хөрөнгө оруулалтын тухай, Үйлдвэрлэл, технологийн паркийн эрх зүйн байдлын тухай, Инновацын тухай, Жижиг дунд үйлдвэрлэл, үйлчилгээг дэмжих тухай, Хөдөө аж ахуйн биржийн тухай, Хөдөлмөр эрхлэлтийг дэмжих тухай зэрэг хууль үйлчилж байгаа хэдий ч хөнгөн үйлдвэрийн тулгамдсан асуудлыг төрийн бодлогоор дэмжих шалгуур, ангилал, арга хэлбэрийг дээрх хуулиудаар тусгайлан зохицуулаагүй байна.</w:t>
      </w:r>
    </w:p>
    <w:p w14:paraId="5105B6E9" w14:textId="459D39C1"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Аж үйлдвэрийн салбарын нийт үйлдвэрлэл 2022 онд 43.7 их наяд төгрөг болж, өмнөх оноос 8.6 (24.4 хувиар) их наяд төгрөгөөр, 2018 оноос 16.3 (59.7%) их наяд төгрөгөөр тус тус өссөн байна. Үүнд боловсруулах үйлдвэрлэлийн салбар 2.8 (25.6%) их наяд төгрөгөөр өссөн байна. </w:t>
      </w:r>
    </w:p>
    <w:p w14:paraId="6346EB40" w14:textId="43FD03B4"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Хөнгөн үйлдвэрлэлийн салбар 2023 онд нийтдээ 484.8 сая ам долларын экспорт хийсний 93 хувь буюу 451.2 сая ам долларыг нэхмэлийн буюу ноос, ноолуурын салбарын бүтээгдэхүүн эзэлж байна.</w:t>
      </w:r>
    </w:p>
    <w:p w14:paraId="32BBD197"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Манай улс дэлхийн ноолуурын нөөцийн 40 гаруй хувийг бэлтгэх нөөцтэй хэдий ч нэмүү өртөг бүтээх, өндөр ашиг шим хүртэх стратегийн бүтээгдэхүүнээсээ олох боломжит орлогоо алдсаар байна.</w:t>
      </w:r>
    </w:p>
    <w:p w14:paraId="6A645170"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lastRenderedPageBreak/>
        <w:t xml:space="preserve">Манай улс Дэлхийн худалдааны байгууллагын өмнө хүлээсэн үүргийн дагуу экспортод гаргах түүхий болон угаасан ноолуур экспортын татварыг шатлан халсан холбоотойгоор угаасан ноолуурын экспорт 1997 онтой харьцуулбал 6.6 дахин өссөн байна. </w:t>
      </w:r>
    </w:p>
    <w:p w14:paraId="25952FBF"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Монгол Улс, Бүгд Найрамдах Хятад Ард Улсын хооронд байгуулсан ноос, ноолуур экспортлох үеийн мал эмнэлэг, ариун цэвэр хорио цээрийн протоколын хүрээнд манай улсаас тус улсад түүхий бус угаасан ноос, ноолуур экспортлох болсноор манай улс жилд дунджаар 1.2 сая м3 цэвэр усыг ашиглаж, төдий хэмжээний бохир усыг байгаль орчинд гаргаж, дорвитой нэмүү өртөг шингээж чадахгүйгээр нийт түүхий эдийнхээ 70 гаруй хувийг зөвхөн угаагаад тус улсад экспортолсоор байна.</w:t>
      </w:r>
    </w:p>
    <w:p w14:paraId="6755881A"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Манай улс жилдээ 18 сая ширхэг арьс, шир бэлтгэх нөөцтэй хэдий ч өнөөгийн байдлаар арьс ширний нөөцийн 30 хүрэхгүй хувийг үндэсний боловсруулах үйлдвэрт нийлүүлэгдэж байна. Тухайлбал жилд 3.4 сая ширхэг арьс ширэнд хагас боловсруулалт, 1.2 сая ширхэг арьс ширэн гүн боловсруулалт, нийт 4.6 сая ширхэг нь боловсруулагдаж, 13.4 сая ширхэг арьс ширийг боловсруулж чадахгүй байна.</w:t>
      </w:r>
    </w:p>
    <w:p w14:paraId="575345DB"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Сүүлийн жилүүдэд үндэсний боловсруулах үйлдвэрүүдэд түүхий эд бэлтгэлд зориулан хөнгөлөлттэй зээл олгож байгаа боловч банкны шалгуур өндөр, барьцаа хөрөнгийн дутагдалтай байдал, эргэн төлөлтийн хугацаа бага зэргээс шалтгаалан хангалттай хэмжээний зээлээ авч чадахгүй байна. </w:t>
      </w:r>
    </w:p>
    <w:p w14:paraId="30ABB86D"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Нөгөөтээгүүр хөрөнгө оруулалтын чиглэлээр бага хүүтэй, урт хугацаатай, хөнгөлөлттэй зээл гарахгүй байгаагаас шалтгаалан дэвшилтэт технологи бүхий, шинэ тоног төхөөрөмжийг худалдан авч чадахгүйгээс хуучин тоног төхөөрөмж оруулж ирэх явдал түгээмэл байна. Үйлдвэрлэлийн бүтээмж бага, хүчин чадлын ашиглалт доогуур, өртөг зардал өндөр байдгаас ижил төрлийн импортын бүтээгдэхүүнтэй өрсөлдөж чадахгүй байна.  </w:t>
      </w:r>
    </w:p>
    <w:p w14:paraId="46CF0D95"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Энэ нь үйлдвэрлэл дорвитой хөгжихгүй байхад нөлөөлж байна.</w:t>
      </w:r>
    </w:p>
    <w:p w14:paraId="1048DAC2"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Манай улс чөлөөт зах зээлд шилжсэнээс хойш түүхий эд бэлтгэлийн тогтолцоо бүхэлдээ байхгүй болсон нь түүхий эд үнэгүйдэх, мал аж ахуй эрхлэгчдийн бэлтгэж буй түүхий эд нь үйлдвэрлэлийн шаардлага хангахгүй байдлыг үүсгэж байна. </w:t>
      </w:r>
    </w:p>
    <w:p w14:paraId="55FCFED8"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Үндэсний боловсруулах үйлдвэрүүдийг чанартай түүхий эдээр хангах зорилгоор хонь, тэмээний ноос, арьс, ширэн түүхий эд бэлтгэж, үндэсний үйлдвэрт тушаасан малчин, мал бүхий этгээдэд мөнгөн урамшуулал олгож эхлээд 10 гаруй жил болж байгаа хэдий ч түүхий эдийн чанар сайжирч, үнэ цэнэ нь өсөхгүй байгаад дүгнэлт хийж, урамшууллын бодлогыг зөв, оновчтой зүйлд чиглүүлэх шаардлагатай байна. </w:t>
      </w:r>
    </w:p>
    <w:p w14:paraId="65C9916A"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Хүнс, хөдөө аж ахуй, хөнгөн үйлдвэрийн судалгаа хөгжлийн төвийн 2021 оны судалгаанаас үзвэл бог малын арьсанд хачиг, хамууны гэмтэл үүнээс гадна шивээний гэмтэл, харин адууны ширэнд тамганы сорви их байсан байна.</w:t>
      </w:r>
    </w:p>
    <w:p w14:paraId="00DC6D66"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Иймд бог малыг бүрэн эрүүлжүүлэх, мал сүргийнхээ арьсанд механик гэмтэл үүсгэхгүй байх талаар малчдад сургалт хийх шаардлагатай байна.</w:t>
      </w:r>
    </w:p>
    <w:p w14:paraId="235D8606"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Түүнчлэн 2025 оноос хэрэгжиж эхлэх махны техникийн зохицуулалттай уялдуулан мал төхөөрөх үйлдвэрүүд, арьс шир боловсруулах үйлдвэрүүдийн хамтын ажиллагааг сайжруулах замаар арьс ширний нядалгааны үеийн гэмтлийг бууруулах боломжтой юм. </w:t>
      </w:r>
    </w:p>
    <w:p w14:paraId="55EB4ED9"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lastRenderedPageBreak/>
        <w:t xml:space="preserve">Мөн салбарын үйлдвэрлэлийг хөгжүүлэхэд үйлдвэрлэж буй бүтээгдэхүүн нь хэрэглэгчдийн шаардлагыг хангасан байх, нийлүүлэлт хийх зорилтот зах зээл нь тодорхой байх нь нэн чухал байдаг. Гэтэл ижил нэрийн барааны импорт болон худалдааны хяналтын тогтолцоо бэхжээгүй байгаагаас дотоодын зах зээл хамгаалагдахгүйд хүрч улмаар нэг талаас хэрэглэгчдийг төөрөгдүүлж, иргэд эдийн засгийн хувьд хохирч байгаа бол нөгөө талаас энэ байдал нь үйлдвэрлэгчдийн бүтээгдэхүүн хөгжүүлэлтэд ч саад болж байна. </w:t>
      </w:r>
    </w:p>
    <w:p w14:paraId="3F3CC8CA"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Иймээс үнэ цэнэ шингэсэн, өрсөлдөх чадвартай брэнд бүтээгдэхүүн, үйлдвэрлэлийн үйл явцыг олон улсын стандартын шаардлагад нийцүүлэн баталгаажуулахад төрөөс дэмжлэг үзүүлэх шаардлагатай байна.</w:t>
      </w:r>
    </w:p>
    <w:p w14:paraId="19EFC966"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Сүүлийн жилүүдэд гаднын томоохон худалдан авагчид түүхий эд бүтээгдэхүүнийг худалдан авахдаа чанар, түүнээс гадна байгаль орчинд ээлтэй байх, мал, амьтны тавлаг байдлыг хангасан байх гэдэг шаардлагыг ихээхэн тавьдаг болсон.</w:t>
      </w:r>
    </w:p>
    <w:p w14:paraId="1F0E03A1"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Эрс, тэс уур амьсгалтай, бэлчээрийн мал аж ахуйгаа хадгалан үлдсэн манай улсын хувьд өөрийн орны онцлог соёл, монгол малчдын байгаль орчин, мал ахуйгаа хайрлан хамгаалж, уламжлан ирсэн өвөрмөц арга ажиллагааг орчин цагийн органик үйлдвэрлэл, мал, амьтны эрх чөлөөний нийтлэг зарчимтай уялдуулан тэдний шаардлагад нийцсэн үнэ </w:t>
      </w:r>
      <w:proofErr w:type="spellStart"/>
      <w:r w:rsidRPr="00C7355E">
        <w:rPr>
          <w:rStyle w:val="Strong"/>
          <w:rFonts w:cs="Arial"/>
          <w:b w:val="0"/>
          <w:szCs w:val="24"/>
          <w:lang w:val="mn-MN"/>
        </w:rPr>
        <w:t>цэнэтэй</w:t>
      </w:r>
      <w:proofErr w:type="spellEnd"/>
      <w:r w:rsidRPr="00C7355E">
        <w:rPr>
          <w:rStyle w:val="Strong"/>
          <w:rFonts w:cs="Arial"/>
          <w:b w:val="0"/>
          <w:szCs w:val="24"/>
          <w:lang w:val="mn-MN"/>
        </w:rPr>
        <w:t xml:space="preserve">, нэмүү өртөг шингэсэн бүтээгдэхүүн үйлдвэрлэх, зах зээлээ тэлэх шаардлагатай байна.  </w:t>
      </w:r>
    </w:p>
    <w:p w14:paraId="77AE0C74"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Түүнчлэн хөнгөн үйлдвэрийн бүх салбарт мэргэшсэн инженер, техникийн ажилтнууд болон мэргэжилтэй ажилчин бэлтгэх тогтолцоо төлөвшөөгүй, ажиллах хүчний тогтвор суурьшил муу байна. </w:t>
      </w:r>
    </w:p>
    <w:p w14:paraId="6B20BD97"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Ноос, ноолуурын үйлдвэрүүдэд 2020 онд хийсэн аттестатчиллаар төгсөгчдийн тоог үйлдвэрлэлийн хүчин чадалд шаардагдах эрэлттэй харьцуулахад хангалтгүй байсан, үйлдвэрийн цех тасгийн үйл ажиллагааг удирдан зохион байгуулж буй мастерууд нь мэргэжлийн бус байгааг онцолсон байна.</w:t>
      </w:r>
    </w:p>
    <w:p w14:paraId="62164902"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Хүний нөөц дутагдалтай байгаа нь салбарын ажилтны цалингийн дундаж бусад салбар тухайлбал, уул уурхайн салбарт ажиллаж буй ажилтнуудтай харьцуулахад бага байгаатай холбоотой юм. Хүний нөөцийг сургах, тогтвор суурьшилтай ажиллахад түлхэц болох цалин хөлс, урамшууллын шинэлэг арга, аргачлалыг ашиглах, бүтээгдэхүүний чанартай уялдуулсан системийг нэвтрүүлэх, түгээн дэлгэрүүлэх, урамшуулах тогтолцоо дутмаг байна.</w:t>
      </w:r>
    </w:p>
    <w:p w14:paraId="0BFBB503"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Нөгөөтээгүүр шинээр батлагдсан зарим хууль тогтоомжийг дагаад хөнгөн үйлдвэрийн салбарын хөгжилд чухал нөлөө үзүүлж байсан хөнгөн үйлдвэрийн салбарын мэргэшсэн, зөвлөх, тэргүүлэх инженерүүдийг сурган баталгаажуулж, гэрчилгээжүүлэх зохицуулалт орхигдсон нь тус салбарын тулгамдсан асуудлыг улам нэмэгдүүлсээр байна. </w:t>
      </w:r>
    </w:p>
    <w:p w14:paraId="525BDB0D"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Эдгээр тулгамдаж буй асуудал нь өөр хоорондоо харилцан уялдаатай байх бөгөөд нэгийг нь шийдвэрлэснээр үр дүн гарах бус цогцоор шийдвэрлэх нь зүйтэй байна. </w:t>
      </w:r>
    </w:p>
    <w:p w14:paraId="409CB792" w14:textId="77777777" w:rsidR="00E5591F" w:rsidRPr="00C7355E" w:rsidRDefault="00E5591F" w:rsidP="00E5591F">
      <w:pPr>
        <w:snapToGrid w:val="0"/>
        <w:spacing w:after="120" w:line="240" w:lineRule="auto"/>
        <w:ind w:firstLine="720"/>
        <w:jc w:val="both"/>
        <w:rPr>
          <w:rStyle w:val="Strong"/>
          <w:rFonts w:cs="Arial"/>
          <w:b w:val="0"/>
          <w:szCs w:val="24"/>
          <w:lang w:val="mn-MN"/>
        </w:rPr>
      </w:pPr>
      <w:r w:rsidRPr="00C7355E">
        <w:rPr>
          <w:rStyle w:val="Strong"/>
          <w:rFonts w:cs="Arial"/>
          <w:b w:val="0"/>
          <w:szCs w:val="24"/>
          <w:lang w:val="mn-MN"/>
        </w:rPr>
        <w:t xml:space="preserve">Дээр дурдсан хууль зүйн болон практик шаардлагыг үндэслэн мал аж ахуйн гаралтай түүхий эд, бүтээгдэхүүнийг боловсруулах үйлдвэрлэлийг  хөгжүүлэх чиглэлээр тодорхой арга хэмжээг авч хэрэгжүүлэх зорилгоор “Малын гаралтай түүхий эдийн боловсруулах үйлдвэрлэлийг дэмжих зарим арга хэмжээний тухай” Монгол Улсын Их Хурлын тогтоолын төслийг боловсруулна. </w:t>
      </w:r>
    </w:p>
    <w:p w14:paraId="04A528CB" w14:textId="37351701" w:rsidR="00117BFC" w:rsidRPr="00C7355E" w:rsidRDefault="00117BFC" w:rsidP="00E5591F">
      <w:pPr>
        <w:snapToGrid w:val="0"/>
        <w:spacing w:after="0" w:line="240" w:lineRule="auto"/>
        <w:ind w:firstLine="567"/>
        <w:jc w:val="both"/>
        <w:rPr>
          <w:rFonts w:cs="Arial"/>
          <w:szCs w:val="24"/>
          <w:lang w:val="mn-MN"/>
        </w:rPr>
      </w:pPr>
      <w:r w:rsidRPr="00C7355E">
        <w:rPr>
          <w:rFonts w:eastAsia="Yu Mincho" w:cs="Arial"/>
          <w:noProof/>
          <w:szCs w:val="24"/>
          <w:lang w:val="mn-MN"/>
        </w:rPr>
        <w:lastRenderedPageBreak/>
        <w:t xml:space="preserve">Тогтоолын төслийн тогтоох хэсэгт 1 дэх заалтад </w:t>
      </w:r>
      <w:bookmarkStart w:id="0" w:name="_Hlk103253660"/>
      <w:r w:rsidR="00E5591F" w:rsidRPr="00C7355E">
        <w:rPr>
          <w:rFonts w:eastAsia="Yu Mincho" w:cs="Arial"/>
          <w:noProof/>
          <w:szCs w:val="24"/>
          <w:lang w:val="mn-MN"/>
        </w:rPr>
        <w:t xml:space="preserve">“Малын гаралтай түүхий эдийг боловсруулах үйлдвэрлэлийг дэмжих зарим арга хэмжээний тухай” Монгол Улсын Их Хурлын тогтоолыг хэрэгжүүлэх арга хэмжээний төлөвлөгөөг хавсралтаар </w:t>
      </w:r>
      <w:bookmarkEnd w:id="0"/>
      <w:r w:rsidR="00E5591F" w:rsidRPr="00C7355E">
        <w:rPr>
          <w:rFonts w:eastAsia="Yu Mincho" w:cs="Arial"/>
          <w:noProof/>
          <w:szCs w:val="24"/>
          <w:lang w:val="mn-MN"/>
        </w:rPr>
        <w:t>батлах</w:t>
      </w:r>
      <w:r w:rsidR="007837FB" w:rsidRPr="00C7355E">
        <w:rPr>
          <w:rFonts w:cs="Arial"/>
          <w:szCs w:val="24"/>
          <w:lang w:val="mn-MN"/>
        </w:rPr>
        <w:t xml:space="preserve"> ба 2 дах</w:t>
      </w:r>
      <w:r w:rsidR="00671D49" w:rsidRPr="00C7355E">
        <w:rPr>
          <w:rFonts w:cs="Arial"/>
          <w:szCs w:val="24"/>
          <w:lang w:val="mn-MN"/>
        </w:rPr>
        <w:t>ь</w:t>
      </w:r>
      <w:r w:rsidR="007837FB" w:rsidRPr="00C7355E">
        <w:rPr>
          <w:rFonts w:cs="Arial"/>
          <w:szCs w:val="24"/>
          <w:lang w:val="mn-MN"/>
        </w:rPr>
        <w:t xml:space="preserve"> </w:t>
      </w:r>
      <w:r w:rsidR="00C7355E" w:rsidRPr="00C7355E">
        <w:rPr>
          <w:rFonts w:cs="Arial"/>
          <w:szCs w:val="24"/>
          <w:lang w:val="mn-MN"/>
        </w:rPr>
        <w:t>заалтад</w:t>
      </w:r>
      <w:bookmarkStart w:id="1" w:name="_GoBack"/>
      <w:bookmarkEnd w:id="1"/>
      <w:r w:rsidR="007837FB" w:rsidRPr="00C7355E">
        <w:rPr>
          <w:rFonts w:cs="Arial"/>
          <w:szCs w:val="24"/>
          <w:lang w:val="mn-MN"/>
        </w:rPr>
        <w:t xml:space="preserve"> </w:t>
      </w:r>
      <w:r w:rsidR="00E5591F" w:rsidRPr="00C7355E">
        <w:rPr>
          <w:rFonts w:cs="Arial"/>
          <w:szCs w:val="24"/>
          <w:lang w:val="mn-MN"/>
        </w:rPr>
        <w:t xml:space="preserve">Малын гаралтай түүхий эдийг боловсруулах үйлдвэрлэлийг дэмжих “Цагаан алт” хөдөлгөөнийг өрнүүлж, дараах арга хэмжээг авахыг </w:t>
      </w:r>
      <w:r w:rsidRPr="00C7355E">
        <w:rPr>
          <w:rFonts w:cs="Arial"/>
          <w:szCs w:val="24"/>
          <w:lang w:val="mn-MN"/>
        </w:rPr>
        <w:t xml:space="preserve">Монгол Улсын Засгийн газарт даалгахыг заасан </w:t>
      </w:r>
      <w:r w:rsidR="00D71AB7" w:rsidRPr="00C7355E">
        <w:rPr>
          <w:rFonts w:cs="Arial"/>
          <w:szCs w:val="24"/>
          <w:lang w:val="mn-MN"/>
        </w:rPr>
        <w:t xml:space="preserve">ба </w:t>
      </w:r>
      <w:r w:rsidR="00D71AB7" w:rsidRPr="00C7355E">
        <w:rPr>
          <w:rFonts w:eastAsia="Yu Mincho" w:cs="Arial"/>
          <w:noProof/>
          <w:szCs w:val="24"/>
          <w:lang w:val="mn-MN"/>
        </w:rPr>
        <w:t>3</w:t>
      </w:r>
      <w:r w:rsidRPr="00C7355E">
        <w:rPr>
          <w:rFonts w:eastAsia="Yu Mincho" w:cs="Arial"/>
          <w:noProof/>
          <w:szCs w:val="24"/>
          <w:lang w:val="mn-MN"/>
        </w:rPr>
        <w:t xml:space="preserve"> дахь заалт</w:t>
      </w:r>
      <w:r w:rsidR="00540E0C" w:rsidRPr="00C7355E">
        <w:rPr>
          <w:rFonts w:eastAsia="Yu Mincho" w:cs="Arial"/>
          <w:noProof/>
          <w:szCs w:val="24"/>
          <w:lang w:val="mn-MN"/>
        </w:rPr>
        <w:t>аар</w:t>
      </w:r>
      <w:r w:rsidR="00671D49" w:rsidRPr="00C7355E">
        <w:rPr>
          <w:rFonts w:eastAsia="Yu Mincho" w:cs="Arial"/>
          <w:noProof/>
          <w:szCs w:val="24"/>
          <w:lang w:val="mn-MN"/>
        </w:rPr>
        <w:t xml:space="preserve"> </w:t>
      </w:r>
      <w:r w:rsidR="00671D49" w:rsidRPr="00C7355E">
        <w:rPr>
          <w:rFonts w:eastAsia="Arial" w:cs="Arial"/>
          <w:lang w:val="mn-MN"/>
        </w:rPr>
        <w:t>Хүнс, хөдөө аж ахуй, хөнгөн үйлдвэрийн салбарт гадаадын зээл, тусламжийн хөрөнгөөр хэрэгжиж буй төслүүдийн санхүүжилтийг "Цагаан алт" хөдөлгөөний хэрэгжүүлэх төлөвлөгөөнд тусгагдсан арга хэмжээтэй уялдуулан ажиллахыг Монгол Улсын Засгийн газарт үүрэг болгож, 4 дэх заалтаар</w:t>
      </w:r>
      <w:r w:rsidRPr="00C7355E">
        <w:rPr>
          <w:rFonts w:eastAsia="Yu Mincho" w:cs="Arial"/>
          <w:noProof/>
          <w:szCs w:val="24"/>
          <w:lang w:val="mn-MN"/>
        </w:rPr>
        <w:t xml:space="preserve"> </w:t>
      </w:r>
      <w:r w:rsidRPr="00C7355E">
        <w:rPr>
          <w:rFonts w:cs="Arial"/>
          <w:szCs w:val="24"/>
          <w:lang w:val="mn-MN"/>
        </w:rPr>
        <w:t xml:space="preserve">тогтоолын </w:t>
      </w:r>
      <w:r w:rsidR="00671D49" w:rsidRPr="00C7355E">
        <w:rPr>
          <w:rFonts w:cs="Arial"/>
          <w:szCs w:val="24"/>
          <w:lang w:val="mn-MN"/>
        </w:rPr>
        <w:t xml:space="preserve">хавсралтад заасан төсөл, арга хэмжээг жил бүрийн хөгжлийн төлөвлөгөө, улсын төсөвт тусган хэрэгжүүлж, хэрэгжилт, үр дүнг жил бүр Улсын Их Хуралд танилцуулахыг Монгол Улсын Засгийн газарт, хэрэгжилтэд хяналт тавьж ажиллахыг Монгол Улсын Их Хурлын Байгаль орчин, хүнс, хөдөө аж ахуйн байнгын хороо, Төсвийн байнгын хороо, Үйлдвэржилтийн бодлогын байнгын хороо, Эдийн засгийн байнгын хороонд тус тус </w:t>
      </w:r>
      <w:r w:rsidRPr="00C7355E">
        <w:rPr>
          <w:rFonts w:cs="Arial"/>
          <w:szCs w:val="24"/>
          <w:lang w:val="mn-MN"/>
        </w:rPr>
        <w:t>даалгасан нь тогтоолын төслийн үзэл баримтлалаар тавьсан зорилгыг биелүүлэх боломжтой гэж үзэж байна.</w:t>
      </w:r>
    </w:p>
    <w:p w14:paraId="4F1A9C5B"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 xml:space="preserve">3.2. “Ойлгомжтой байдал” гэсэн шалгуур үзүүлэлтийн хүрээнд тогтоолын төсөл нь боловсруулалтын хувьд Хууль тогтоомжийн тухай хуулийн 30, 35, 36 дугаар зүйл болон Хууль тогтоомжийн төсөл боловсруулах аргачлалд заасан шаардлагыг хангасан эсэхийг, түүнчлэн хэрэглэх, хэрэгжүүлэх этгээдүүд тогтоолыг ойлгож хэрэглэх, хэрэгжүүлэх боломжтой байдлаар боловсруулагдсан эсэхийг шалгахын тулд тогтоолын төслийг бүхэлд нь сонгон авлаа. </w:t>
      </w:r>
    </w:p>
    <w:p w14:paraId="4AED3A21"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Тогтоолын төслийн тусгасан байдал нь Хууль тогтоомжийн тухай хуулийн 35, 36 дугаар зүйлд нийцсэн байна.</w:t>
      </w:r>
    </w:p>
    <w:p w14:paraId="09DBF37C"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 xml:space="preserve">3.3. “Харилцан уялдаа” гэсэн шалгуур үзүүлэлтийн хүрээнд тогтоолын төслийг аргачлалд тусгасан тогтоолын төслийн үр нөлөөг үнэлэх стандарт асуултуудад хариулах замаар уялдаа холбоог тогтоохын тулд тогтоолын төслийг бүхэлд нь авч үзэхээр тооцлоо. </w:t>
      </w:r>
    </w:p>
    <w:p w14:paraId="56189A50"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Харилцан уялдаа гэсэн шалгуур үзүүлэлтийн хүрээнд тогтоолын төслийн талаар аргачлалын 4.10 дахь заалтад заасан шалгах асуултад хариулах байдлаар үнэлгээг хийлээ:</w:t>
      </w:r>
    </w:p>
    <w:p w14:paraId="08E4C6BB" w14:textId="77777777" w:rsidR="00117BFC" w:rsidRPr="00C7355E" w:rsidRDefault="00117BFC" w:rsidP="00117BFC">
      <w:pPr>
        <w:spacing w:line="240" w:lineRule="auto"/>
        <w:ind w:firstLine="720"/>
        <w:jc w:val="both"/>
        <w:rPr>
          <w:rFonts w:eastAsia="Yu Mincho" w:cs="Arial"/>
          <w:noProof/>
          <w:szCs w:val="24"/>
          <w:lang w:val="mn-M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566"/>
        <w:gridCol w:w="1440"/>
        <w:gridCol w:w="2880"/>
      </w:tblGrid>
      <w:tr w:rsidR="000279F7" w:rsidRPr="00C7355E" w14:paraId="1D200293"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4BA8BB57"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w:t>
            </w:r>
          </w:p>
        </w:tc>
        <w:tc>
          <w:tcPr>
            <w:tcW w:w="4566" w:type="dxa"/>
            <w:tcBorders>
              <w:top w:val="single" w:sz="4" w:space="0" w:color="auto"/>
              <w:left w:val="single" w:sz="4" w:space="0" w:color="auto"/>
              <w:bottom w:val="single" w:sz="4" w:space="0" w:color="auto"/>
              <w:right w:val="single" w:sz="4" w:space="0" w:color="auto"/>
            </w:tcBorders>
            <w:hideMark/>
          </w:tcPr>
          <w:p w14:paraId="2327D66B"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Асуулт</w:t>
            </w:r>
          </w:p>
        </w:tc>
        <w:tc>
          <w:tcPr>
            <w:tcW w:w="1440" w:type="dxa"/>
            <w:tcBorders>
              <w:top w:val="single" w:sz="4" w:space="0" w:color="auto"/>
              <w:left w:val="single" w:sz="4" w:space="0" w:color="auto"/>
              <w:bottom w:val="single" w:sz="4" w:space="0" w:color="auto"/>
              <w:right w:val="single" w:sz="4" w:space="0" w:color="auto"/>
            </w:tcBorders>
            <w:hideMark/>
          </w:tcPr>
          <w:p w14:paraId="4A598A3B"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Хариулт</w:t>
            </w:r>
          </w:p>
        </w:tc>
        <w:tc>
          <w:tcPr>
            <w:tcW w:w="2880" w:type="dxa"/>
            <w:tcBorders>
              <w:top w:val="single" w:sz="4" w:space="0" w:color="auto"/>
              <w:left w:val="single" w:sz="4" w:space="0" w:color="auto"/>
              <w:bottom w:val="single" w:sz="4" w:space="0" w:color="auto"/>
              <w:right w:val="single" w:sz="4" w:space="0" w:color="auto"/>
            </w:tcBorders>
            <w:hideMark/>
          </w:tcPr>
          <w:p w14:paraId="6818DE96"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Дүн шижилгээ</w:t>
            </w:r>
          </w:p>
        </w:tc>
      </w:tr>
      <w:tr w:rsidR="000279F7" w:rsidRPr="00C7355E" w14:paraId="14CA4B4C"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700F9253"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1</w:t>
            </w:r>
          </w:p>
        </w:tc>
        <w:tc>
          <w:tcPr>
            <w:tcW w:w="4566" w:type="dxa"/>
            <w:tcBorders>
              <w:top w:val="single" w:sz="4" w:space="0" w:color="auto"/>
              <w:left w:val="single" w:sz="4" w:space="0" w:color="auto"/>
              <w:bottom w:val="single" w:sz="4" w:space="0" w:color="auto"/>
              <w:right w:val="single" w:sz="4" w:space="0" w:color="auto"/>
            </w:tcBorders>
            <w:hideMark/>
          </w:tcPr>
          <w:p w14:paraId="206D5A96"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Хуулийн төслийн зохицуулалт тухайн хуулийн зорилттой нийцэж байгаа эсэх</w:t>
            </w:r>
          </w:p>
        </w:tc>
        <w:tc>
          <w:tcPr>
            <w:tcW w:w="1440" w:type="dxa"/>
            <w:tcBorders>
              <w:top w:val="single" w:sz="4" w:space="0" w:color="auto"/>
              <w:left w:val="single" w:sz="4" w:space="0" w:color="auto"/>
              <w:bottom w:val="single" w:sz="4" w:space="0" w:color="auto"/>
              <w:right w:val="single" w:sz="4" w:space="0" w:color="auto"/>
            </w:tcBorders>
            <w:hideMark/>
          </w:tcPr>
          <w:p w14:paraId="1E38FDA4"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Тийм </w:t>
            </w:r>
          </w:p>
        </w:tc>
        <w:tc>
          <w:tcPr>
            <w:tcW w:w="2880" w:type="dxa"/>
            <w:tcBorders>
              <w:top w:val="single" w:sz="4" w:space="0" w:color="auto"/>
              <w:left w:val="single" w:sz="4" w:space="0" w:color="auto"/>
              <w:bottom w:val="single" w:sz="4" w:space="0" w:color="auto"/>
              <w:right w:val="single" w:sz="4" w:space="0" w:color="auto"/>
            </w:tcBorders>
            <w:hideMark/>
          </w:tcPr>
          <w:p w14:paraId="0B674B8E"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Шаардлага хангасан</w:t>
            </w:r>
          </w:p>
        </w:tc>
      </w:tr>
      <w:tr w:rsidR="000279F7" w:rsidRPr="00C7355E" w14:paraId="31F7924D"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2FB76BBE"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2</w:t>
            </w:r>
          </w:p>
        </w:tc>
        <w:tc>
          <w:tcPr>
            <w:tcW w:w="4566" w:type="dxa"/>
            <w:tcBorders>
              <w:top w:val="single" w:sz="4" w:space="0" w:color="auto"/>
              <w:left w:val="single" w:sz="4" w:space="0" w:color="auto"/>
              <w:bottom w:val="single" w:sz="4" w:space="0" w:color="auto"/>
              <w:right w:val="single" w:sz="4" w:space="0" w:color="auto"/>
            </w:tcBorders>
            <w:hideMark/>
          </w:tcPr>
          <w:p w14:paraId="2AAD164A"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Хуулийн төслийн “Хууль тогтоомж” гэсэн хэсэгт заасан хуулиудын нэр тухайн харилцаанд хамаарах хууль мөн эсэх</w:t>
            </w:r>
          </w:p>
        </w:tc>
        <w:tc>
          <w:tcPr>
            <w:tcW w:w="1440" w:type="dxa"/>
            <w:tcBorders>
              <w:top w:val="single" w:sz="4" w:space="0" w:color="auto"/>
              <w:left w:val="single" w:sz="4" w:space="0" w:color="auto"/>
              <w:bottom w:val="single" w:sz="4" w:space="0" w:color="auto"/>
              <w:right w:val="single" w:sz="4" w:space="0" w:color="auto"/>
            </w:tcBorders>
            <w:hideMark/>
          </w:tcPr>
          <w:p w14:paraId="4D3CEC8C"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w:t>
            </w:r>
          </w:p>
        </w:tc>
        <w:tc>
          <w:tcPr>
            <w:tcW w:w="2880" w:type="dxa"/>
            <w:tcBorders>
              <w:top w:val="single" w:sz="4" w:space="0" w:color="auto"/>
              <w:left w:val="single" w:sz="4" w:space="0" w:color="auto"/>
              <w:bottom w:val="single" w:sz="4" w:space="0" w:color="auto"/>
              <w:right w:val="single" w:sz="4" w:space="0" w:color="auto"/>
            </w:tcBorders>
            <w:hideMark/>
          </w:tcPr>
          <w:p w14:paraId="354BA4A1"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Улсын Их Хурлын тогтоолын төсөлд асуултад дурдсан хэсэг байхгүй болно</w:t>
            </w:r>
          </w:p>
        </w:tc>
      </w:tr>
      <w:tr w:rsidR="000279F7" w:rsidRPr="00C7355E" w14:paraId="7DC6BB1B"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01B45756"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3</w:t>
            </w:r>
          </w:p>
        </w:tc>
        <w:tc>
          <w:tcPr>
            <w:tcW w:w="4566" w:type="dxa"/>
            <w:tcBorders>
              <w:top w:val="single" w:sz="4" w:space="0" w:color="auto"/>
              <w:left w:val="single" w:sz="4" w:space="0" w:color="auto"/>
              <w:bottom w:val="single" w:sz="4" w:space="0" w:color="auto"/>
              <w:right w:val="single" w:sz="4" w:space="0" w:color="auto"/>
            </w:tcBorders>
            <w:hideMark/>
          </w:tcPr>
          <w:p w14:paraId="7E873D07" w14:textId="77777777" w:rsidR="00117BFC" w:rsidRPr="00C7355E" w:rsidRDefault="00117BFC">
            <w:pPr>
              <w:spacing w:line="240" w:lineRule="auto"/>
              <w:rPr>
                <w:rFonts w:cs="Arial"/>
                <w:szCs w:val="24"/>
                <w:lang w:val="mn-MN"/>
              </w:rPr>
            </w:pPr>
            <w:r w:rsidRPr="00C7355E">
              <w:rPr>
                <w:rFonts w:cs="Arial"/>
                <w:szCs w:val="24"/>
                <w:lang w:val="mn-MN"/>
              </w:rPr>
              <w:t>Хуулийн төсөлд тодорхойлсон нэр томьёо тухайн хуулийн төслийн болон бусад хуулийн нэр томьёотой нийцэж байгаа эсэх</w:t>
            </w:r>
          </w:p>
        </w:tc>
        <w:tc>
          <w:tcPr>
            <w:tcW w:w="1440" w:type="dxa"/>
            <w:tcBorders>
              <w:top w:val="single" w:sz="4" w:space="0" w:color="auto"/>
              <w:left w:val="single" w:sz="4" w:space="0" w:color="auto"/>
              <w:bottom w:val="single" w:sz="4" w:space="0" w:color="auto"/>
              <w:right w:val="single" w:sz="4" w:space="0" w:color="auto"/>
            </w:tcBorders>
            <w:hideMark/>
          </w:tcPr>
          <w:p w14:paraId="253D3DFE"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w:t>
            </w:r>
          </w:p>
        </w:tc>
        <w:tc>
          <w:tcPr>
            <w:tcW w:w="2880" w:type="dxa"/>
            <w:tcBorders>
              <w:top w:val="single" w:sz="4" w:space="0" w:color="auto"/>
              <w:left w:val="single" w:sz="4" w:space="0" w:color="auto"/>
              <w:bottom w:val="single" w:sz="4" w:space="0" w:color="auto"/>
              <w:right w:val="single" w:sz="4" w:space="0" w:color="auto"/>
            </w:tcBorders>
            <w:hideMark/>
          </w:tcPr>
          <w:p w14:paraId="397FFAD6"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Улсын Их Хурлын тогтоолын төсөлд асуултад дурдсан хэсэг байхгүй болно</w:t>
            </w:r>
          </w:p>
        </w:tc>
      </w:tr>
      <w:tr w:rsidR="000279F7" w:rsidRPr="00C7355E" w14:paraId="1FF6943D"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4C04F311"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lastRenderedPageBreak/>
              <w:t>4</w:t>
            </w:r>
          </w:p>
        </w:tc>
        <w:tc>
          <w:tcPr>
            <w:tcW w:w="4566" w:type="dxa"/>
            <w:tcBorders>
              <w:top w:val="single" w:sz="4" w:space="0" w:color="auto"/>
              <w:left w:val="single" w:sz="4" w:space="0" w:color="auto"/>
              <w:bottom w:val="single" w:sz="4" w:space="0" w:color="auto"/>
              <w:right w:val="single" w:sz="4" w:space="0" w:color="auto"/>
            </w:tcBorders>
            <w:hideMark/>
          </w:tcPr>
          <w:p w14:paraId="74EDC18B" w14:textId="77777777" w:rsidR="00117BFC" w:rsidRPr="00C7355E" w:rsidRDefault="00117BFC">
            <w:pPr>
              <w:spacing w:line="240" w:lineRule="auto"/>
              <w:rPr>
                <w:rFonts w:cs="Arial"/>
                <w:szCs w:val="24"/>
                <w:lang w:val="mn-MN"/>
              </w:rPr>
            </w:pPr>
            <w:r w:rsidRPr="00C7355E">
              <w:rPr>
                <w:rFonts w:cs="Arial"/>
                <w:szCs w:val="24"/>
                <w:lang w:val="mn-MN"/>
              </w:rPr>
              <w:t>Хуулийн төслийн зүйл, заалт тухайн хуулийн төсөл болон бусад хуулийн заалттай нийцэж байгаа эсэх;</w:t>
            </w:r>
          </w:p>
        </w:tc>
        <w:tc>
          <w:tcPr>
            <w:tcW w:w="1440" w:type="dxa"/>
            <w:tcBorders>
              <w:top w:val="single" w:sz="4" w:space="0" w:color="auto"/>
              <w:left w:val="single" w:sz="4" w:space="0" w:color="auto"/>
              <w:bottom w:val="single" w:sz="4" w:space="0" w:color="auto"/>
              <w:right w:val="single" w:sz="4" w:space="0" w:color="auto"/>
            </w:tcBorders>
            <w:hideMark/>
          </w:tcPr>
          <w:p w14:paraId="6026E0B0"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Тийм </w:t>
            </w:r>
          </w:p>
        </w:tc>
        <w:tc>
          <w:tcPr>
            <w:tcW w:w="2880" w:type="dxa"/>
            <w:tcBorders>
              <w:top w:val="single" w:sz="4" w:space="0" w:color="auto"/>
              <w:left w:val="single" w:sz="4" w:space="0" w:color="auto"/>
              <w:bottom w:val="single" w:sz="4" w:space="0" w:color="auto"/>
              <w:right w:val="single" w:sz="4" w:space="0" w:color="auto"/>
            </w:tcBorders>
            <w:hideMark/>
          </w:tcPr>
          <w:p w14:paraId="4E86AF0E"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Нийцэж байна</w:t>
            </w:r>
          </w:p>
        </w:tc>
      </w:tr>
      <w:tr w:rsidR="000279F7" w:rsidRPr="00C7355E" w14:paraId="3751E88C"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51A1AE11"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5</w:t>
            </w:r>
          </w:p>
        </w:tc>
        <w:tc>
          <w:tcPr>
            <w:tcW w:w="4566" w:type="dxa"/>
            <w:tcBorders>
              <w:top w:val="single" w:sz="4" w:space="0" w:color="auto"/>
              <w:left w:val="single" w:sz="4" w:space="0" w:color="auto"/>
              <w:bottom w:val="single" w:sz="4" w:space="0" w:color="auto"/>
              <w:right w:val="single" w:sz="4" w:space="0" w:color="auto"/>
            </w:tcBorders>
            <w:hideMark/>
          </w:tcPr>
          <w:p w14:paraId="429FAE13" w14:textId="77777777" w:rsidR="00117BFC" w:rsidRPr="00C7355E" w:rsidRDefault="00117BFC">
            <w:pPr>
              <w:spacing w:line="240" w:lineRule="auto"/>
              <w:rPr>
                <w:rFonts w:cs="Arial"/>
                <w:szCs w:val="24"/>
                <w:lang w:val="mn-MN"/>
              </w:rPr>
            </w:pPr>
            <w:r w:rsidRPr="00C7355E">
              <w:rPr>
                <w:rFonts w:cs="Arial"/>
                <w:szCs w:val="24"/>
                <w:lang w:val="mn-MN"/>
              </w:rPr>
              <w:t>Хуулийн төслийн зүйл, заалт тухайн хуулийн төслийн болон бусад хуулийн заалттай давхардсан эсэх;</w:t>
            </w:r>
          </w:p>
        </w:tc>
        <w:tc>
          <w:tcPr>
            <w:tcW w:w="1440" w:type="dxa"/>
            <w:tcBorders>
              <w:top w:val="single" w:sz="4" w:space="0" w:color="auto"/>
              <w:left w:val="single" w:sz="4" w:space="0" w:color="auto"/>
              <w:bottom w:val="single" w:sz="4" w:space="0" w:color="auto"/>
              <w:right w:val="single" w:sz="4" w:space="0" w:color="auto"/>
            </w:tcBorders>
            <w:hideMark/>
          </w:tcPr>
          <w:p w14:paraId="02E5D7F6"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Үгүй </w:t>
            </w:r>
          </w:p>
        </w:tc>
        <w:tc>
          <w:tcPr>
            <w:tcW w:w="2880" w:type="dxa"/>
            <w:tcBorders>
              <w:top w:val="single" w:sz="4" w:space="0" w:color="auto"/>
              <w:left w:val="single" w:sz="4" w:space="0" w:color="auto"/>
              <w:bottom w:val="single" w:sz="4" w:space="0" w:color="auto"/>
              <w:right w:val="single" w:sz="4" w:space="0" w:color="auto"/>
            </w:tcBorders>
            <w:hideMark/>
          </w:tcPr>
          <w:p w14:paraId="469AAFAA"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Давхардсан зохицуулалт байхгүй</w:t>
            </w:r>
          </w:p>
        </w:tc>
      </w:tr>
      <w:tr w:rsidR="000279F7" w:rsidRPr="00C7355E" w14:paraId="1BCCBE5F"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5C5320E5"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6</w:t>
            </w:r>
          </w:p>
        </w:tc>
        <w:tc>
          <w:tcPr>
            <w:tcW w:w="4566" w:type="dxa"/>
            <w:tcBorders>
              <w:top w:val="single" w:sz="4" w:space="0" w:color="auto"/>
              <w:left w:val="single" w:sz="4" w:space="0" w:color="auto"/>
              <w:bottom w:val="single" w:sz="4" w:space="0" w:color="auto"/>
              <w:right w:val="single" w:sz="4" w:space="0" w:color="auto"/>
            </w:tcBorders>
            <w:hideMark/>
          </w:tcPr>
          <w:p w14:paraId="7C21C974" w14:textId="77777777" w:rsidR="00117BFC" w:rsidRPr="00C7355E" w:rsidRDefault="00117BFC">
            <w:pPr>
              <w:spacing w:line="240" w:lineRule="auto"/>
              <w:rPr>
                <w:rFonts w:cs="Arial"/>
                <w:szCs w:val="24"/>
                <w:lang w:val="mn-MN"/>
              </w:rPr>
            </w:pPr>
            <w:r w:rsidRPr="00C7355E">
              <w:rPr>
                <w:rFonts w:cs="Arial"/>
                <w:szCs w:val="24"/>
                <w:lang w:val="mn-MN"/>
              </w:rPr>
              <w:t>Хуулийн төслийг хэрэгжүүлэх этгээдийг тодорхой тусгасан эсэх;</w:t>
            </w:r>
          </w:p>
        </w:tc>
        <w:tc>
          <w:tcPr>
            <w:tcW w:w="1440" w:type="dxa"/>
            <w:tcBorders>
              <w:top w:val="single" w:sz="4" w:space="0" w:color="auto"/>
              <w:left w:val="single" w:sz="4" w:space="0" w:color="auto"/>
              <w:bottom w:val="single" w:sz="4" w:space="0" w:color="auto"/>
              <w:right w:val="single" w:sz="4" w:space="0" w:color="auto"/>
            </w:tcBorders>
            <w:hideMark/>
          </w:tcPr>
          <w:p w14:paraId="373A664B"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Үгүй</w:t>
            </w:r>
          </w:p>
        </w:tc>
        <w:tc>
          <w:tcPr>
            <w:tcW w:w="2880" w:type="dxa"/>
            <w:tcBorders>
              <w:top w:val="single" w:sz="4" w:space="0" w:color="auto"/>
              <w:left w:val="single" w:sz="4" w:space="0" w:color="auto"/>
              <w:bottom w:val="single" w:sz="4" w:space="0" w:color="auto"/>
              <w:right w:val="single" w:sz="4" w:space="0" w:color="auto"/>
            </w:tcBorders>
            <w:hideMark/>
          </w:tcPr>
          <w:p w14:paraId="56732E86"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Тогтоолын төслийг хэрэгжүүлэх чиг үүрэг нь Засгийн газарт байна.</w:t>
            </w:r>
          </w:p>
        </w:tc>
      </w:tr>
      <w:tr w:rsidR="000279F7" w:rsidRPr="00C7355E" w14:paraId="0BD81ADC"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18B00760"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7</w:t>
            </w:r>
          </w:p>
        </w:tc>
        <w:tc>
          <w:tcPr>
            <w:tcW w:w="4566" w:type="dxa"/>
            <w:tcBorders>
              <w:top w:val="single" w:sz="4" w:space="0" w:color="auto"/>
              <w:left w:val="single" w:sz="4" w:space="0" w:color="auto"/>
              <w:bottom w:val="single" w:sz="4" w:space="0" w:color="auto"/>
              <w:right w:val="single" w:sz="4" w:space="0" w:color="auto"/>
            </w:tcBorders>
            <w:hideMark/>
          </w:tcPr>
          <w:p w14:paraId="34179E94" w14:textId="77777777" w:rsidR="00117BFC" w:rsidRPr="00C7355E" w:rsidRDefault="00117BFC">
            <w:pPr>
              <w:spacing w:line="240" w:lineRule="auto"/>
              <w:rPr>
                <w:rFonts w:cs="Arial"/>
                <w:szCs w:val="24"/>
                <w:lang w:val="mn-MN"/>
              </w:rPr>
            </w:pPr>
            <w:r w:rsidRPr="00C7355E">
              <w:rPr>
                <w:rFonts w:cs="Arial"/>
                <w:szCs w:val="24"/>
                <w:lang w:val="mn-MN"/>
              </w:rPr>
              <w:t>Хуулийн төсөлд шаардлагатай зохицуулалтыг орхигдуулсан эсэх;</w:t>
            </w:r>
          </w:p>
        </w:tc>
        <w:tc>
          <w:tcPr>
            <w:tcW w:w="1440" w:type="dxa"/>
            <w:tcBorders>
              <w:top w:val="single" w:sz="4" w:space="0" w:color="auto"/>
              <w:left w:val="single" w:sz="4" w:space="0" w:color="auto"/>
              <w:bottom w:val="single" w:sz="4" w:space="0" w:color="auto"/>
              <w:right w:val="single" w:sz="4" w:space="0" w:color="auto"/>
            </w:tcBorders>
            <w:hideMark/>
          </w:tcPr>
          <w:p w14:paraId="092B7028"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Үгүй</w:t>
            </w:r>
          </w:p>
        </w:tc>
        <w:tc>
          <w:tcPr>
            <w:tcW w:w="2880" w:type="dxa"/>
            <w:tcBorders>
              <w:top w:val="single" w:sz="4" w:space="0" w:color="auto"/>
              <w:left w:val="single" w:sz="4" w:space="0" w:color="auto"/>
              <w:bottom w:val="single" w:sz="4" w:space="0" w:color="auto"/>
              <w:right w:val="single" w:sz="4" w:space="0" w:color="auto"/>
            </w:tcBorders>
            <w:hideMark/>
          </w:tcPr>
          <w:p w14:paraId="627A6095"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Тогтоолын төсөлд ийм зохицуулалт байхгүй</w:t>
            </w:r>
          </w:p>
        </w:tc>
      </w:tr>
      <w:tr w:rsidR="000279F7" w:rsidRPr="00C7355E" w14:paraId="082E6FC9"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7C8B1E85"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8</w:t>
            </w:r>
          </w:p>
        </w:tc>
        <w:tc>
          <w:tcPr>
            <w:tcW w:w="4566" w:type="dxa"/>
            <w:tcBorders>
              <w:top w:val="single" w:sz="4" w:space="0" w:color="auto"/>
              <w:left w:val="single" w:sz="4" w:space="0" w:color="auto"/>
              <w:bottom w:val="single" w:sz="4" w:space="0" w:color="auto"/>
              <w:right w:val="single" w:sz="4" w:space="0" w:color="auto"/>
            </w:tcBorders>
            <w:hideMark/>
          </w:tcPr>
          <w:p w14:paraId="001EC1CA" w14:textId="77777777" w:rsidR="00117BFC" w:rsidRPr="00C7355E" w:rsidRDefault="00117BFC">
            <w:pPr>
              <w:spacing w:line="240" w:lineRule="auto"/>
              <w:rPr>
                <w:rFonts w:cs="Arial"/>
                <w:szCs w:val="24"/>
                <w:lang w:val="mn-MN"/>
              </w:rPr>
            </w:pPr>
            <w:r w:rsidRPr="00C7355E">
              <w:rPr>
                <w:rFonts w:cs="Arial"/>
                <w:szCs w:val="24"/>
                <w:lang w:val="mn-MN"/>
              </w:rPr>
              <w:t>Хуулийн төсөлд төрийн байгууллагын гүйцэтгэх чиг үүргийг давхардуулан тусгасан эсэх;</w:t>
            </w:r>
          </w:p>
        </w:tc>
        <w:tc>
          <w:tcPr>
            <w:tcW w:w="1440" w:type="dxa"/>
            <w:tcBorders>
              <w:top w:val="single" w:sz="4" w:space="0" w:color="auto"/>
              <w:left w:val="single" w:sz="4" w:space="0" w:color="auto"/>
              <w:bottom w:val="single" w:sz="4" w:space="0" w:color="auto"/>
              <w:right w:val="single" w:sz="4" w:space="0" w:color="auto"/>
            </w:tcBorders>
            <w:hideMark/>
          </w:tcPr>
          <w:p w14:paraId="36FD2465"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Үгүй </w:t>
            </w:r>
          </w:p>
        </w:tc>
        <w:tc>
          <w:tcPr>
            <w:tcW w:w="2880" w:type="dxa"/>
            <w:tcBorders>
              <w:top w:val="single" w:sz="4" w:space="0" w:color="auto"/>
              <w:left w:val="single" w:sz="4" w:space="0" w:color="auto"/>
              <w:bottom w:val="single" w:sz="4" w:space="0" w:color="auto"/>
              <w:right w:val="single" w:sz="4" w:space="0" w:color="auto"/>
            </w:tcBorders>
            <w:hideMark/>
          </w:tcPr>
          <w:p w14:paraId="286A1182"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Тогтоолын төсөлд ийм зохицуулалт байхгүй</w:t>
            </w:r>
          </w:p>
        </w:tc>
      </w:tr>
      <w:tr w:rsidR="000279F7" w:rsidRPr="00C7355E" w14:paraId="3D4B7F76"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78833766"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9</w:t>
            </w:r>
          </w:p>
        </w:tc>
        <w:tc>
          <w:tcPr>
            <w:tcW w:w="4566" w:type="dxa"/>
            <w:tcBorders>
              <w:top w:val="single" w:sz="4" w:space="0" w:color="auto"/>
              <w:left w:val="single" w:sz="4" w:space="0" w:color="auto"/>
              <w:bottom w:val="single" w:sz="4" w:space="0" w:color="auto"/>
              <w:right w:val="single" w:sz="4" w:space="0" w:color="auto"/>
            </w:tcBorders>
            <w:hideMark/>
          </w:tcPr>
          <w:p w14:paraId="5CF14BE6" w14:textId="77777777" w:rsidR="00117BFC" w:rsidRPr="00C7355E" w:rsidRDefault="00117BFC">
            <w:pPr>
              <w:spacing w:line="240" w:lineRule="auto"/>
              <w:rPr>
                <w:rFonts w:cs="Arial"/>
                <w:szCs w:val="24"/>
                <w:lang w:val="mn-MN"/>
              </w:rPr>
            </w:pPr>
            <w:r w:rsidRPr="00C7355E">
              <w:rPr>
                <w:rFonts w:cs="Arial"/>
                <w:szCs w:val="24"/>
                <w:lang w:val="mn-MN"/>
              </w:rPr>
              <w:t>Төрийн байгууллагын чиг үүргийг төрийн бус байгууллага, мэргэжлийн холбоодоор гүйцэтгүүлэх боломжтой эсэх;</w:t>
            </w:r>
          </w:p>
        </w:tc>
        <w:tc>
          <w:tcPr>
            <w:tcW w:w="1440" w:type="dxa"/>
            <w:tcBorders>
              <w:top w:val="single" w:sz="4" w:space="0" w:color="auto"/>
              <w:left w:val="single" w:sz="4" w:space="0" w:color="auto"/>
              <w:bottom w:val="single" w:sz="4" w:space="0" w:color="auto"/>
              <w:right w:val="single" w:sz="4" w:space="0" w:color="auto"/>
            </w:tcBorders>
            <w:hideMark/>
          </w:tcPr>
          <w:p w14:paraId="2FF99C89"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Үгүй</w:t>
            </w:r>
          </w:p>
        </w:tc>
        <w:tc>
          <w:tcPr>
            <w:tcW w:w="2880" w:type="dxa"/>
            <w:tcBorders>
              <w:top w:val="single" w:sz="4" w:space="0" w:color="auto"/>
              <w:left w:val="single" w:sz="4" w:space="0" w:color="auto"/>
              <w:bottom w:val="single" w:sz="4" w:space="0" w:color="auto"/>
              <w:right w:val="single" w:sz="4" w:space="0" w:color="auto"/>
            </w:tcBorders>
            <w:hideMark/>
          </w:tcPr>
          <w:p w14:paraId="15F6EF6A"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Аюулгүй байдалтай холбоотой учир төрийн бус байгууллага, мэргэжлийн холбоодоор гүйцэтгүүлэх боломжгүй</w:t>
            </w:r>
          </w:p>
        </w:tc>
      </w:tr>
      <w:tr w:rsidR="000279F7" w:rsidRPr="00C7355E" w14:paraId="2C639E3C"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1465B66D"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10</w:t>
            </w:r>
          </w:p>
        </w:tc>
        <w:tc>
          <w:tcPr>
            <w:tcW w:w="4566" w:type="dxa"/>
            <w:tcBorders>
              <w:top w:val="single" w:sz="4" w:space="0" w:color="auto"/>
              <w:left w:val="single" w:sz="4" w:space="0" w:color="auto"/>
              <w:bottom w:val="single" w:sz="4" w:space="0" w:color="auto"/>
              <w:right w:val="single" w:sz="4" w:space="0" w:color="auto"/>
            </w:tcBorders>
            <w:hideMark/>
          </w:tcPr>
          <w:p w14:paraId="1D141DEF" w14:textId="77777777" w:rsidR="00117BFC" w:rsidRPr="00C7355E" w:rsidRDefault="00117BFC">
            <w:pPr>
              <w:spacing w:line="240" w:lineRule="auto"/>
              <w:rPr>
                <w:rFonts w:cs="Arial"/>
                <w:szCs w:val="24"/>
                <w:lang w:val="mn-MN"/>
              </w:rPr>
            </w:pPr>
            <w:r w:rsidRPr="00C7355E">
              <w:rPr>
                <w:rFonts w:cs="Arial"/>
                <w:szCs w:val="24"/>
                <w:lang w:val="mn-MN"/>
              </w:rPr>
              <w:t>Татварын хуулиас бусад хуулийн төсөлд албан татвар, төлбөр, хураамж тогтоосон эсэх;</w:t>
            </w:r>
          </w:p>
        </w:tc>
        <w:tc>
          <w:tcPr>
            <w:tcW w:w="1440" w:type="dxa"/>
            <w:tcBorders>
              <w:top w:val="single" w:sz="4" w:space="0" w:color="auto"/>
              <w:left w:val="single" w:sz="4" w:space="0" w:color="auto"/>
              <w:bottom w:val="single" w:sz="4" w:space="0" w:color="auto"/>
              <w:right w:val="single" w:sz="4" w:space="0" w:color="auto"/>
            </w:tcBorders>
            <w:hideMark/>
          </w:tcPr>
          <w:p w14:paraId="27CD255B"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Үгүй </w:t>
            </w:r>
          </w:p>
        </w:tc>
        <w:tc>
          <w:tcPr>
            <w:tcW w:w="2880" w:type="dxa"/>
            <w:tcBorders>
              <w:top w:val="single" w:sz="4" w:space="0" w:color="auto"/>
              <w:left w:val="single" w:sz="4" w:space="0" w:color="auto"/>
              <w:bottom w:val="single" w:sz="4" w:space="0" w:color="auto"/>
              <w:right w:val="single" w:sz="4" w:space="0" w:color="auto"/>
            </w:tcBorders>
            <w:hideMark/>
          </w:tcPr>
          <w:p w14:paraId="041ECB23"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Тогтоолын төсөлд ийм зохицуулалт байхгүй</w:t>
            </w:r>
          </w:p>
        </w:tc>
      </w:tr>
      <w:tr w:rsidR="000279F7" w:rsidRPr="00C7355E" w14:paraId="7F07BBE8"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04BA3732"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11</w:t>
            </w:r>
          </w:p>
        </w:tc>
        <w:tc>
          <w:tcPr>
            <w:tcW w:w="4566" w:type="dxa"/>
            <w:tcBorders>
              <w:top w:val="single" w:sz="4" w:space="0" w:color="auto"/>
              <w:left w:val="single" w:sz="4" w:space="0" w:color="auto"/>
              <w:bottom w:val="single" w:sz="4" w:space="0" w:color="auto"/>
              <w:right w:val="single" w:sz="4" w:space="0" w:color="auto"/>
            </w:tcBorders>
            <w:hideMark/>
          </w:tcPr>
          <w:p w14:paraId="76E43301" w14:textId="77777777" w:rsidR="00117BFC" w:rsidRPr="00C7355E" w:rsidRDefault="00117BFC">
            <w:pPr>
              <w:spacing w:line="240" w:lineRule="auto"/>
              <w:rPr>
                <w:rFonts w:cs="Arial"/>
                <w:szCs w:val="24"/>
                <w:lang w:val="mn-MN"/>
              </w:rPr>
            </w:pPr>
            <w:r w:rsidRPr="00C7355E">
              <w:rPr>
                <w:rFonts w:cs="Arial"/>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440" w:type="dxa"/>
            <w:tcBorders>
              <w:top w:val="single" w:sz="4" w:space="0" w:color="auto"/>
              <w:left w:val="single" w:sz="4" w:space="0" w:color="auto"/>
              <w:bottom w:val="single" w:sz="4" w:space="0" w:color="auto"/>
              <w:right w:val="single" w:sz="4" w:space="0" w:color="auto"/>
            </w:tcBorders>
            <w:hideMark/>
          </w:tcPr>
          <w:p w14:paraId="2B85B642"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Үгүй </w:t>
            </w:r>
          </w:p>
        </w:tc>
        <w:tc>
          <w:tcPr>
            <w:tcW w:w="2880" w:type="dxa"/>
            <w:tcBorders>
              <w:top w:val="single" w:sz="4" w:space="0" w:color="auto"/>
              <w:left w:val="single" w:sz="4" w:space="0" w:color="auto"/>
              <w:bottom w:val="single" w:sz="4" w:space="0" w:color="auto"/>
              <w:right w:val="single" w:sz="4" w:space="0" w:color="auto"/>
            </w:tcBorders>
            <w:hideMark/>
          </w:tcPr>
          <w:p w14:paraId="43ADD66C"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Тогтоолын төсөлд ийм зохицуулалт байхгүй</w:t>
            </w:r>
          </w:p>
        </w:tc>
      </w:tr>
      <w:tr w:rsidR="000279F7" w:rsidRPr="00C7355E" w14:paraId="2F7294D0"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66C0A8D7"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12</w:t>
            </w:r>
          </w:p>
        </w:tc>
        <w:tc>
          <w:tcPr>
            <w:tcW w:w="4566" w:type="dxa"/>
            <w:tcBorders>
              <w:top w:val="single" w:sz="4" w:space="0" w:color="auto"/>
              <w:left w:val="single" w:sz="4" w:space="0" w:color="auto"/>
              <w:bottom w:val="single" w:sz="4" w:space="0" w:color="auto"/>
              <w:right w:val="single" w:sz="4" w:space="0" w:color="auto"/>
            </w:tcBorders>
            <w:hideMark/>
          </w:tcPr>
          <w:p w14:paraId="081A4029" w14:textId="77777777" w:rsidR="00117BFC" w:rsidRPr="00C7355E" w:rsidRDefault="00117BFC">
            <w:pPr>
              <w:spacing w:line="240" w:lineRule="auto"/>
              <w:rPr>
                <w:rFonts w:cs="Arial"/>
                <w:szCs w:val="24"/>
                <w:lang w:val="mn-MN"/>
              </w:rPr>
            </w:pPr>
            <w:r w:rsidRPr="00C7355E">
              <w:rPr>
                <w:rFonts w:cs="Arial"/>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440" w:type="dxa"/>
            <w:tcBorders>
              <w:top w:val="single" w:sz="4" w:space="0" w:color="auto"/>
              <w:left w:val="single" w:sz="4" w:space="0" w:color="auto"/>
              <w:bottom w:val="single" w:sz="4" w:space="0" w:color="auto"/>
              <w:right w:val="single" w:sz="4" w:space="0" w:color="auto"/>
            </w:tcBorders>
            <w:hideMark/>
          </w:tcPr>
          <w:p w14:paraId="721C28A1"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Үгүй </w:t>
            </w:r>
          </w:p>
        </w:tc>
        <w:tc>
          <w:tcPr>
            <w:tcW w:w="2880" w:type="dxa"/>
            <w:tcBorders>
              <w:top w:val="single" w:sz="4" w:space="0" w:color="auto"/>
              <w:left w:val="single" w:sz="4" w:space="0" w:color="auto"/>
              <w:bottom w:val="single" w:sz="4" w:space="0" w:color="auto"/>
              <w:right w:val="single" w:sz="4" w:space="0" w:color="auto"/>
            </w:tcBorders>
            <w:hideMark/>
          </w:tcPr>
          <w:p w14:paraId="3D4F8A1F"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Хяналтаар ямар нэгэн зөрчил илрээгүй</w:t>
            </w:r>
          </w:p>
        </w:tc>
      </w:tr>
      <w:tr w:rsidR="000279F7" w:rsidRPr="00C7355E" w14:paraId="30F3556B"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59C3C953"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13</w:t>
            </w:r>
          </w:p>
        </w:tc>
        <w:tc>
          <w:tcPr>
            <w:tcW w:w="4566" w:type="dxa"/>
            <w:tcBorders>
              <w:top w:val="single" w:sz="4" w:space="0" w:color="auto"/>
              <w:left w:val="single" w:sz="4" w:space="0" w:color="auto"/>
              <w:bottom w:val="single" w:sz="4" w:space="0" w:color="auto"/>
              <w:right w:val="single" w:sz="4" w:space="0" w:color="auto"/>
            </w:tcBorders>
            <w:hideMark/>
          </w:tcPr>
          <w:p w14:paraId="470F6638" w14:textId="41A6C8AB" w:rsidR="00117BFC" w:rsidRPr="00C7355E" w:rsidRDefault="00117BFC">
            <w:pPr>
              <w:spacing w:line="240" w:lineRule="auto"/>
              <w:rPr>
                <w:rFonts w:cs="Arial"/>
                <w:szCs w:val="24"/>
                <w:lang w:val="mn-MN"/>
              </w:rPr>
            </w:pPr>
            <w:r w:rsidRPr="00C7355E">
              <w:rPr>
                <w:rFonts w:cs="Arial"/>
                <w:szCs w:val="24"/>
                <w:lang w:val="mn-MN"/>
              </w:rPr>
              <w:t xml:space="preserve">Хуулийн төслийн зүйл, заалт </w:t>
            </w:r>
            <w:r w:rsidR="00970ED1" w:rsidRPr="00C7355E">
              <w:rPr>
                <w:rFonts w:cs="Arial"/>
                <w:szCs w:val="24"/>
                <w:lang w:val="mn-MN"/>
              </w:rPr>
              <w:t>жендерийн</w:t>
            </w:r>
            <w:r w:rsidRPr="00C7355E">
              <w:rPr>
                <w:rFonts w:cs="Arial"/>
                <w:szCs w:val="24"/>
                <w:lang w:val="mn-MN"/>
              </w:rPr>
              <w:t xml:space="preserve"> эрх тэгш байдлыг хангасан эсэх;</w:t>
            </w:r>
          </w:p>
        </w:tc>
        <w:tc>
          <w:tcPr>
            <w:tcW w:w="1440" w:type="dxa"/>
            <w:tcBorders>
              <w:top w:val="single" w:sz="4" w:space="0" w:color="auto"/>
              <w:left w:val="single" w:sz="4" w:space="0" w:color="auto"/>
              <w:bottom w:val="single" w:sz="4" w:space="0" w:color="auto"/>
              <w:right w:val="single" w:sz="4" w:space="0" w:color="auto"/>
            </w:tcBorders>
            <w:hideMark/>
          </w:tcPr>
          <w:p w14:paraId="34D14FDB"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w:t>
            </w:r>
          </w:p>
        </w:tc>
        <w:tc>
          <w:tcPr>
            <w:tcW w:w="2880" w:type="dxa"/>
            <w:tcBorders>
              <w:top w:val="single" w:sz="4" w:space="0" w:color="auto"/>
              <w:left w:val="single" w:sz="4" w:space="0" w:color="auto"/>
              <w:bottom w:val="single" w:sz="4" w:space="0" w:color="auto"/>
              <w:right w:val="single" w:sz="4" w:space="0" w:color="auto"/>
            </w:tcBorders>
            <w:hideMark/>
          </w:tcPr>
          <w:p w14:paraId="5CF15268"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Тогтоолын төсөлд ийм зохицуулалт байхгүй</w:t>
            </w:r>
          </w:p>
        </w:tc>
      </w:tr>
      <w:tr w:rsidR="000279F7" w:rsidRPr="00C7355E" w14:paraId="45907FCA"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0220CA75"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14</w:t>
            </w:r>
          </w:p>
        </w:tc>
        <w:tc>
          <w:tcPr>
            <w:tcW w:w="4566" w:type="dxa"/>
            <w:tcBorders>
              <w:top w:val="single" w:sz="4" w:space="0" w:color="auto"/>
              <w:left w:val="single" w:sz="4" w:space="0" w:color="auto"/>
              <w:bottom w:val="single" w:sz="4" w:space="0" w:color="auto"/>
              <w:right w:val="single" w:sz="4" w:space="0" w:color="auto"/>
            </w:tcBorders>
            <w:hideMark/>
          </w:tcPr>
          <w:p w14:paraId="3F03A326" w14:textId="77777777" w:rsidR="00117BFC" w:rsidRPr="00C7355E" w:rsidRDefault="00117BFC">
            <w:pPr>
              <w:spacing w:line="240" w:lineRule="auto"/>
              <w:rPr>
                <w:rFonts w:cs="Arial"/>
                <w:szCs w:val="24"/>
                <w:lang w:val="mn-MN"/>
              </w:rPr>
            </w:pPr>
            <w:r w:rsidRPr="00C7355E">
              <w:rPr>
                <w:rFonts w:cs="Arial"/>
                <w:szCs w:val="24"/>
                <w:lang w:val="mn-MN"/>
              </w:rPr>
              <w:t>Хуулийн төсөлд шударга бус өрсөлдөөнийг бий болгоход чиглэсэн заалт тусгагдсан эсэх;</w:t>
            </w:r>
          </w:p>
        </w:tc>
        <w:tc>
          <w:tcPr>
            <w:tcW w:w="1440" w:type="dxa"/>
            <w:tcBorders>
              <w:top w:val="single" w:sz="4" w:space="0" w:color="auto"/>
              <w:left w:val="single" w:sz="4" w:space="0" w:color="auto"/>
              <w:bottom w:val="single" w:sz="4" w:space="0" w:color="auto"/>
              <w:right w:val="single" w:sz="4" w:space="0" w:color="auto"/>
            </w:tcBorders>
            <w:hideMark/>
          </w:tcPr>
          <w:p w14:paraId="0996CEF0"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Үгүй </w:t>
            </w:r>
          </w:p>
        </w:tc>
        <w:tc>
          <w:tcPr>
            <w:tcW w:w="2880" w:type="dxa"/>
            <w:tcBorders>
              <w:top w:val="single" w:sz="4" w:space="0" w:color="auto"/>
              <w:left w:val="single" w:sz="4" w:space="0" w:color="auto"/>
              <w:bottom w:val="single" w:sz="4" w:space="0" w:color="auto"/>
              <w:right w:val="single" w:sz="4" w:space="0" w:color="auto"/>
            </w:tcBorders>
            <w:hideMark/>
          </w:tcPr>
          <w:p w14:paraId="798D8767"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Тогтоолын төсөлд ийм зохицуулалт байхгүй</w:t>
            </w:r>
          </w:p>
        </w:tc>
      </w:tr>
      <w:tr w:rsidR="000279F7" w:rsidRPr="00C7355E" w14:paraId="18CF26B2"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53834E82"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lastRenderedPageBreak/>
              <w:t>15</w:t>
            </w:r>
          </w:p>
        </w:tc>
        <w:tc>
          <w:tcPr>
            <w:tcW w:w="4566" w:type="dxa"/>
            <w:tcBorders>
              <w:top w:val="single" w:sz="4" w:space="0" w:color="auto"/>
              <w:left w:val="single" w:sz="4" w:space="0" w:color="auto"/>
              <w:bottom w:val="single" w:sz="4" w:space="0" w:color="auto"/>
              <w:right w:val="single" w:sz="4" w:space="0" w:color="auto"/>
            </w:tcBorders>
            <w:hideMark/>
          </w:tcPr>
          <w:p w14:paraId="6F67C12B" w14:textId="77777777" w:rsidR="00117BFC" w:rsidRPr="00C7355E" w:rsidRDefault="00117BFC">
            <w:pPr>
              <w:spacing w:line="240" w:lineRule="auto"/>
              <w:rPr>
                <w:rFonts w:cs="Arial"/>
                <w:szCs w:val="24"/>
                <w:lang w:val="mn-MN"/>
              </w:rPr>
            </w:pPr>
            <w:r w:rsidRPr="00C7355E">
              <w:rPr>
                <w:rFonts w:cs="Arial"/>
                <w:szCs w:val="24"/>
                <w:lang w:val="mn-MN"/>
              </w:rPr>
              <w:t>Хуулийн төсөлд авлига, хүнд суртлыг бий болгоход чиглэсэн заалт тусгагдсан эсэх;</w:t>
            </w:r>
          </w:p>
        </w:tc>
        <w:tc>
          <w:tcPr>
            <w:tcW w:w="1440" w:type="dxa"/>
            <w:tcBorders>
              <w:top w:val="single" w:sz="4" w:space="0" w:color="auto"/>
              <w:left w:val="single" w:sz="4" w:space="0" w:color="auto"/>
              <w:bottom w:val="single" w:sz="4" w:space="0" w:color="auto"/>
              <w:right w:val="single" w:sz="4" w:space="0" w:color="auto"/>
            </w:tcBorders>
            <w:hideMark/>
          </w:tcPr>
          <w:p w14:paraId="7A6A76B1"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Үгүй </w:t>
            </w:r>
          </w:p>
        </w:tc>
        <w:tc>
          <w:tcPr>
            <w:tcW w:w="2880" w:type="dxa"/>
            <w:tcBorders>
              <w:top w:val="single" w:sz="4" w:space="0" w:color="auto"/>
              <w:left w:val="single" w:sz="4" w:space="0" w:color="auto"/>
              <w:bottom w:val="single" w:sz="4" w:space="0" w:color="auto"/>
              <w:right w:val="single" w:sz="4" w:space="0" w:color="auto"/>
            </w:tcBorders>
            <w:hideMark/>
          </w:tcPr>
          <w:p w14:paraId="6158700A"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Тогтоолын төсөлд ийм зохицуулалт байхгүй</w:t>
            </w:r>
          </w:p>
        </w:tc>
      </w:tr>
      <w:tr w:rsidR="000279F7" w:rsidRPr="00C7355E" w14:paraId="55048389" w14:textId="77777777" w:rsidTr="00117BFC">
        <w:tc>
          <w:tcPr>
            <w:tcW w:w="474" w:type="dxa"/>
            <w:tcBorders>
              <w:top w:val="single" w:sz="4" w:space="0" w:color="auto"/>
              <w:left w:val="single" w:sz="4" w:space="0" w:color="auto"/>
              <w:bottom w:val="single" w:sz="4" w:space="0" w:color="auto"/>
              <w:right w:val="single" w:sz="4" w:space="0" w:color="auto"/>
            </w:tcBorders>
            <w:hideMark/>
          </w:tcPr>
          <w:p w14:paraId="5E0C4631"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16</w:t>
            </w:r>
          </w:p>
        </w:tc>
        <w:tc>
          <w:tcPr>
            <w:tcW w:w="4566" w:type="dxa"/>
            <w:tcBorders>
              <w:top w:val="single" w:sz="4" w:space="0" w:color="auto"/>
              <w:left w:val="single" w:sz="4" w:space="0" w:color="auto"/>
              <w:bottom w:val="single" w:sz="4" w:space="0" w:color="auto"/>
              <w:right w:val="single" w:sz="4" w:space="0" w:color="auto"/>
            </w:tcBorders>
            <w:hideMark/>
          </w:tcPr>
          <w:p w14:paraId="17EDA33D" w14:textId="77777777" w:rsidR="00117BFC" w:rsidRPr="00C7355E" w:rsidRDefault="00117BFC">
            <w:pPr>
              <w:spacing w:line="240" w:lineRule="auto"/>
              <w:rPr>
                <w:rFonts w:cs="Arial"/>
                <w:szCs w:val="24"/>
                <w:lang w:val="mn-MN"/>
              </w:rPr>
            </w:pPr>
            <w:r w:rsidRPr="00C7355E">
              <w:rPr>
                <w:rFonts w:cs="Arial"/>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440" w:type="dxa"/>
            <w:tcBorders>
              <w:top w:val="single" w:sz="4" w:space="0" w:color="auto"/>
              <w:left w:val="single" w:sz="4" w:space="0" w:color="auto"/>
              <w:bottom w:val="single" w:sz="4" w:space="0" w:color="auto"/>
              <w:right w:val="single" w:sz="4" w:space="0" w:color="auto"/>
            </w:tcBorders>
            <w:hideMark/>
          </w:tcPr>
          <w:p w14:paraId="129C220C" w14:textId="77777777" w:rsidR="00117BFC" w:rsidRPr="00C7355E" w:rsidRDefault="00117BFC">
            <w:pPr>
              <w:spacing w:after="0" w:line="240" w:lineRule="auto"/>
              <w:jc w:val="center"/>
              <w:rPr>
                <w:rFonts w:eastAsia="Yu Mincho" w:cs="Arial"/>
                <w:noProof/>
                <w:szCs w:val="24"/>
                <w:lang w:val="mn-MN"/>
              </w:rPr>
            </w:pPr>
            <w:r w:rsidRPr="00C7355E">
              <w:rPr>
                <w:rFonts w:eastAsia="Yu Mincho" w:cs="Arial"/>
                <w:noProof/>
                <w:szCs w:val="24"/>
                <w:lang w:val="mn-MN"/>
              </w:rPr>
              <w:t xml:space="preserve">Үгүй </w:t>
            </w:r>
          </w:p>
        </w:tc>
        <w:tc>
          <w:tcPr>
            <w:tcW w:w="2880" w:type="dxa"/>
            <w:tcBorders>
              <w:top w:val="single" w:sz="4" w:space="0" w:color="auto"/>
              <w:left w:val="single" w:sz="4" w:space="0" w:color="auto"/>
              <w:bottom w:val="single" w:sz="4" w:space="0" w:color="auto"/>
              <w:right w:val="single" w:sz="4" w:space="0" w:color="auto"/>
            </w:tcBorders>
            <w:hideMark/>
          </w:tcPr>
          <w:p w14:paraId="0AD2D365" w14:textId="77777777" w:rsidR="00117BFC" w:rsidRPr="00C7355E" w:rsidRDefault="00117BFC">
            <w:pPr>
              <w:spacing w:after="0" w:line="240" w:lineRule="auto"/>
              <w:jc w:val="both"/>
              <w:rPr>
                <w:rFonts w:eastAsia="Yu Mincho" w:cs="Arial"/>
                <w:noProof/>
                <w:szCs w:val="24"/>
                <w:lang w:val="mn-MN"/>
              </w:rPr>
            </w:pPr>
            <w:r w:rsidRPr="00C7355E">
              <w:rPr>
                <w:rFonts w:eastAsia="Yu Mincho" w:cs="Arial"/>
                <w:noProof/>
                <w:szCs w:val="24"/>
                <w:lang w:val="mn-MN"/>
              </w:rPr>
              <w:t>Хууль тогтоомжийн тухай хуулийн 35.1.-д “Монгол Улсын Их Хурлын тогтоол” /цаашид “Тогтоол” гэх/-ын төсөл дараах шаардлагыг хангасан байна. 35.1.3-т “хариуцлагын хэм хэмжээ заахгүй байх” гэж заасан</w:t>
            </w:r>
          </w:p>
        </w:tc>
      </w:tr>
    </w:tbl>
    <w:p w14:paraId="2937014D" w14:textId="77777777" w:rsidR="00117BFC" w:rsidRPr="00C7355E" w:rsidRDefault="00117BFC" w:rsidP="00117BFC">
      <w:pPr>
        <w:spacing w:after="0" w:line="240" w:lineRule="auto"/>
        <w:jc w:val="both"/>
        <w:rPr>
          <w:rFonts w:eastAsia="Yu Mincho" w:cs="Arial"/>
          <w:noProof/>
          <w:szCs w:val="24"/>
          <w:lang w:val="mn-MN"/>
        </w:rPr>
      </w:pPr>
    </w:p>
    <w:p w14:paraId="3E39BB58" w14:textId="77777777" w:rsidR="00117BFC" w:rsidRPr="00C7355E" w:rsidRDefault="00117BFC" w:rsidP="00117BFC">
      <w:pPr>
        <w:spacing w:line="240" w:lineRule="auto"/>
        <w:jc w:val="both"/>
        <w:rPr>
          <w:rFonts w:eastAsia="Yu Mincho" w:cs="Arial"/>
          <w:noProof/>
          <w:szCs w:val="24"/>
          <w:lang w:val="mn-MN"/>
        </w:rPr>
      </w:pPr>
      <w:r w:rsidRPr="00C7355E">
        <w:rPr>
          <w:rFonts w:eastAsia="Yu Mincho" w:cs="Arial"/>
          <w:noProof/>
          <w:szCs w:val="24"/>
          <w:lang w:val="mn-MN"/>
        </w:rPr>
        <w:tab/>
        <w:t>Энэхүү шалгуур үзүүлэлтийн дагуу дүн шинжилгээ хийж үзэхэд тогтоолын төслийн зүйл заалт хоорондоо болон Монгол Улсын Үндсэн хууль болон хүчин төгөлдөр үйлчилж байгаа хууль тогтоомжтой давхардсан, зөрчилдсөн зохицуулалт байхгүй байна.</w:t>
      </w:r>
    </w:p>
    <w:p w14:paraId="47D4E6AD" w14:textId="77777777" w:rsidR="00117BFC" w:rsidRPr="00C7355E" w:rsidRDefault="00117BFC" w:rsidP="00117BFC">
      <w:pPr>
        <w:spacing w:line="240" w:lineRule="auto"/>
        <w:jc w:val="center"/>
        <w:rPr>
          <w:rFonts w:eastAsia="Yu Mincho" w:cs="Arial"/>
          <w:noProof/>
          <w:szCs w:val="24"/>
          <w:lang w:val="mn-MN"/>
        </w:rPr>
      </w:pPr>
      <w:r w:rsidRPr="00C7355E">
        <w:rPr>
          <w:rFonts w:eastAsia="Yu Mincho" w:cs="Arial"/>
          <w:noProof/>
          <w:szCs w:val="24"/>
          <w:lang w:val="mn-MN"/>
        </w:rPr>
        <w:t>ДӨРӨВ. ҮР ДҮНГ ҮНЭЛЖ, ЗӨВЛӨМЖ ӨГСӨН БАЙДАЛ</w:t>
      </w:r>
    </w:p>
    <w:p w14:paraId="4DA24E2B"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Энэхүү үнэлгээний ажлын явцад тогтоолын төслийн харилцан уялдаа, тогтоолын төслийн давхардал, хийдэл, зөрчлийг арилгах, тогтоолын төслийг батлан хэрэгжүүлснээр үүсэж болзошгүй, урьдчилан тооцоогүй үр дагаврыг тодорхойлох зорилгын хүрээнд хүчин төгөлдөр үйлчилж байгаа хууль тогтоомж, уг асуудлын хүрээнд хийгдсэн судалгааг ашиглан дүн шинжилгээ хийх замаар хийж гүйцэтгэлээ.</w:t>
      </w:r>
    </w:p>
    <w:p w14:paraId="3A4158CF" w14:textId="77777777" w:rsidR="005823A0" w:rsidRPr="00C7355E" w:rsidRDefault="005823A0" w:rsidP="005823A0">
      <w:pPr>
        <w:spacing w:line="240" w:lineRule="auto"/>
        <w:jc w:val="center"/>
        <w:rPr>
          <w:rFonts w:asciiTheme="minorEastAsia" w:eastAsiaTheme="minorEastAsia" w:hAnsiTheme="minorEastAsia" w:cs="Arial"/>
          <w:noProof/>
          <w:szCs w:val="24"/>
          <w:lang w:val="mn-MN" w:eastAsia="zh-CN"/>
        </w:rPr>
      </w:pPr>
    </w:p>
    <w:p w14:paraId="669DA0DC" w14:textId="263AD670" w:rsidR="00117BFC" w:rsidRPr="00C7355E" w:rsidRDefault="00117BFC" w:rsidP="005823A0">
      <w:pPr>
        <w:spacing w:line="240" w:lineRule="auto"/>
        <w:jc w:val="center"/>
        <w:rPr>
          <w:rFonts w:eastAsia="Yu Mincho" w:cs="Arial"/>
          <w:noProof/>
          <w:szCs w:val="24"/>
          <w:lang w:val="mn-MN"/>
        </w:rPr>
      </w:pPr>
      <w:r w:rsidRPr="00C7355E">
        <w:rPr>
          <w:rFonts w:eastAsia="Yu Mincho" w:cs="Arial"/>
          <w:noProof/>
          <w:szCs w:val="24"/>
          <w:lang w:val="mn-MN"/>
        </w:rPr>
        <w:t>Дүгнэлт:</w:t>
      </w:r>
    </w:p>
    <w:p w14:paraId="55B4E610" w14:textId="786DC17C" w:rsidR="00671D49" w:rsidRPr="00C7355E" w:rsidRDefault="000C0459" w:rsidP="00671D49">
      <w:pPr>
        <w:snapToGrid w:val="0"/>
        <w:spacing w:after="0" w:line="240" w:lineRule="auto"/>
        <w:ind w:firstLine="567"/>
        <w:jc w:val="both"/>
        <w:rPr>
          <w:rFonts w:cs="Arial"/>
          <w:szCs w:val="24"/>
          <w:lang w:val="mn-MN"/>
        </w:rPr>
      </w:pPr>
      <w:r w:rsidRPr="00C7355E">
        <w:rPr>
          <w:rFonts w:eastAsia="Yu Mincho" w:cs="Arial"/>
          <w:noProof/>
          <w:szCs w:val="24"/>
          <w:lang w:val="mn-MN"/>
        </w:rPr>
        <w:tab/>
      </w:r>
      <w:r w:rsidR="00117BFC" w:rsidRPr="00C7355E">
        <w:rPr>
          <w:rFonts w:eastAsia="Yu Mincho" w:cs="Arial"/>
          <w:noProof/>
          <w:szCs w:val="24"/>
          <w:lang w:val="mn-MN"/>
        </w:rPr>
        <w:t xml:space="preserve">Зорилгод хүрэх байдал: </w:t>
      </w:r>
      <w:r w:rsidR="00671D49" w:rsidRPr="00C7355E">
        <w:rPr>
          <w:rFonts w:eastAsia="Yu Mincho" w:cs="Arial"/>
          <w:noProof/>
          <w:szCs w:val="24"/>
          <w:lang w:val="mn-MN"/>
        </w:rPr>
        <w:t>Тогтоолын төслийн тогтоох хэсэгт 1 дэх заалтад “Малын гаралтай түүхий эдийг боловсруулах үйлдвэрлэлийг дэмжих зарим арга хэмжээний тухай” Монгол Улсын Их Хурлын тогтоолыг хэрэгжүүлэх арга хэмжээний төлөвлөгөөг хавсралтаар батлах</w:t>
      </w:r>
      <w:r w:rsidR="00671D49" w:rsidRPr="00C7355E">
        <w:rPr>
          <w:rFonts w:cs="Arial"/>
          <w:szCs w:val="24"/>
          <w:lang w:val="mn-MN"/>
        </w:rPr>
        <w:t xml:space="preserve"> ба 2 дахь </w:t>
      </w:r>
      <w:r w:rsidR="00C7355E" w:rsidRPr="00C7355E">
        <w:rPr>
          <w:rFonts w:cs="Arial"/>
          <w:szCs w:val="24"/>
          <w:lang w:val="mn-MN"/>
        </w:rPr>
        <w:t>заалтад</w:t>
      </w:r>
      <w:r w:rsidR="00671D49" w:rsidRPr="00C7355E">
        <w:rPr>
          <w:rFonts w:cs="Arial"/>
          <w:szCs w:val="24"/>
          <w:lang w:val="mn-MN"/>
        </w:rPr>
        <w:t xml:space="preserve"> Малын гаралтай түүхий эдийг боловсруулах үйлдвэрлэлийг дэмжих “Цагаан алт” хөдөлгөөнийг өрнүүлж, дараах арга хэмжээг авахыг Монгол Улсын Засгийн газарт даалгахыг заасан ба </w:t>
      </w:r>
      <w:r w:rsidR="00671D49" w:rsidRPr="00C7355E">
        <w:rPr>
          <w:rFonts w:eastAsia="Yu Mincho" w:cs="Arial"/>
          <w:noProof/>
          <w:szCs w:val="24"/>
          <w:lang w:val="mn-MN"/>
        </w:rPr>
        <w:t xml:space="preserve">3 дахь заалтаар </w:t>
      </w:r>
      <w:r w:rsidR="00671D49" w:rsidRPr="00C7355E">
        <w:rPr>
          <w:rFonts w:eastAsia="Arial" w:cs="Arial"/>
          <w:lang w:val="mn-MN"/>
        </w:rPr>
        <w:t>Хүнс, хөдөө аж ахуй, хөнгөн үйлдвэрийн салбарт гадаадын зээл, тусламжийн хөрөнгөөр хэрэгжиж буй төслүүдийн санхүүжилтийг "Цагаан алт" хөдөлгөөний хэрэгжүүлэх төлөвлөгөөнд тусгагдсан арга хэмжээтэй уялдуулан ажиллахыг Монгол Улсын Засгийн газарт үүрэг болгож, 4 дэх заалтаар</w:t>
      </w:r>
      <w:r w:rsidR="00671D49" w:rsidRPr="00C7355E">
        <w:rPr>
          <w:rFonts w:eastAsia="Yu Mincho" w:cs="Arial"/>
          <w:noProof/>
          <w:szCs w:val="24"/>
          <w:lang w:val="mn-MN"/>
        </w:rPr>
        <w:t xml:space="preserve"> </w:t>
      </w:r>
      <w:r w:rsidR="00671D49" w:rsidRPr="00C7355E">
        <w:rPr>
          <w:rFonts w:cs="Arial"/>
          <w:szCs w:val="24"/>
          <w:lang w:val="mn-MN"/>
        </w:rPr>
        <w:t>тогтоолын хавсралтад заасан төсөл, арга хэмжээг жил бүрийн хөгжлийн төлөвлөгөө, улсын төсөвт тусган хэрэгжүүлж, хэрэгжилт, үр дүнг жил бүр Улсын Их Хуралд танилцуулахыг Монгол Улсын Засгийн газарт, хэрэгжилтэд хяналт тавьж ажиллахыг Монгол Улсын Их Хурлын Байгаль орчин, хүнс, хөдөө аж ахуйн байнгын хороо, Төсвийн байнгын хороо, Үйлдвэржилтийн бодлогын байнгын хороо, Эдийн засгийн байнгын хороонд тус тус даалгасан нь тогтоолын төслийн үзэл баримтлалаар тавьсан зорилгыг биелүүлэх боломжтой гэж үзлээ.</w:t>
      </w:r>
    </w:p>
    <w:p w14:paraId="04D871DF" w14:textId="77777777" w:rsidR="00671D49" w:rsidRPr="00C7355E" w:rsidRDefault="00671D49" w:rsidP="00CA4446">
      <w:pPr>
        <w:snapToGrid w:val="0"/>
        <w:spacing w:after="0" w:line="240" w:lineRule="auto"/>
        <w:ind w:firstLine="567"/>
        <w:jc w:val="both"/>
        <w:rPr>
          <w:rFonts w:cs="Arial"/>
          <w:szCs w:val="24"/>
          <w:lang w:val="mn-MN"/>
        </w:rPr>
      </w:pPr>
    </w:p>
    <w:p w14:paraId="7F451147" w14:textId="25C41C46" w:rsidR="00117BFC" w:rsidRPr="00C7355E" w:rsidRDefault="00117BFC" w:rsidP="009D3EEF">
      <w:pPr>
        <w:snapToGrid w:val="0"/>
        <w:spacing w:after="0" w:line="240" w:lineRule="auto"/>
        <w:ind w:firstLine="567"/>
        <w:jc w:val="both"/>
        <w:rPr>
          <w:rFonts w:eastAsia="Yu Mincho" w:cs="Arial"/>
          <w:noProof/>
          <w:szCs w:val="24"/>
          <w:lang w:val="mn-MN"/>
        </w:rPr>
      </w:pPr>
      <w:r w:rsidRPr="00C7355E">
        <w:rPr>
          <w:rFonts w:cs="Arial"/>
          <w:szCs w:val="24"/>
          <w:lang w:val="mn-MN"/>
        </w:rPr>
        <w:lastRenderedPageBreak/>
        <w:t>Ойлгомжтой байдал: Тогтоолын төсөл нь тогтоолын гарчиг, тэмдэглэх хэсэг, тогтоох хэсэг гэсэн бүтэцтэй байгаа нь Хууль тогтоомжийн тухай хуульд заасан шаардлагыг хангасан байна.</w:t>
      </w:r>
      <w:r w:rsidRPr="00C7355E">
        <w:rPr>
          <w:rFonts w:eastAsia="Yu Mincho" w:cs="Arial"/>
          <w:noProof/>
          <w:szCs w:val="24"/>
          <w:lang w:val="mn-MN"/>
        </w:rPr>
        <w:t xml:space="preserve"> Тогтоолын төслийн тусгасан байдал нь Хууль тогтоомжийн тухай хуулийн 35, 36 дугаар зүйлд нийцсэн </w:t>
      </w:r>
      <w:r w:rsidR="00CA4446" w:rsidRPr="00C7355E">
        <w:rPr>
          <w:rFonts w:eastAsia="Yu Mincho" w:cs="Arial"/>
          <w:noProof/>
          <w:szCs w:val="24"/>
          <w:lang w:val="mn-MN"/>
        </w:rPr>
        <w:t>байна. Гэхдээ</w:t>
      </w:r>
      <w:r w:rsidR="00E527DF" w:rsidRPr="00C7355E">
        <w:rPr>
          <w:rFonts w:eastAsia="Yu Mincho" w:cs="Arial"/>
          <w:noProof/>
          <w:szCs w:val="24"/>
          <w:lang w:val="mn-MN"/>
        </w:rPr>
        <w:t xml:space="preserve"> уг тогтоолын төслийн</w:t>
      </w:r>
      <w:r w:rsidR="009D3EEF" w:rsidRPr="00C7355E">
        <w:rPr>
          <w:rFonts w:eastAsia="Yu Mincho" w:cs="Arial"/>
          <w:noProof/>
          <w:szCs w:val="24"/>
          <w:lang w:val="mn-MN"/>
        </w:rPr>
        <w:t xml:space="preserve"> хууль тогтоомжийг хэрэгжүүлэхтэй холбогдон гарах нийт зардал 631.8 тэрбум төгрөгийг улсын төсвөөс санхүүжүүлэх шаардлагатай байна. Дээрх зардлын тооцоонд өөрчлөлт гарах үндэслэлтэй бөгөөд улсын төсөв, гадаадын зээл тусламжийн эх үүсвэрээс хамтран хэрэгжүүлэх боломжтой ажлууд байгаа тул нийт зардлын тооцоо өөрчлөгдөхөөр тусгах нь зүйтэй гэж үзэж байна. Түүнчлэн </w:t>
      </w:r>
      <w:r w:rsidR="00E527DF" w:rsidRPr="00C7355E">
        <w:rPr>
          <w:rFonts w:eastAsia="Times New Roman" w:cs="Arial"/>
          <w:szCs w:val="24"/>
          <w:lang w:val="mn-MN"/>
        </w:rPr>
        <w:t>шаардлагатай хөрөнгө оруулалтыг үе шаттайгаар шийдвэрлэх, ялангуяа 202</w:t>
      </w:r>
      <w:r w:rsidR="009D3EEF" w:rsidRPr="00C7355E">
        <w:rPr>
          <w:rFonts w:eastAsia="Times New Roman" w:cs="Arial"/>
          <w:szCs w:val="24"/>
          <w:lang w:val="mn-MN"/>
        </w:rPr>
        <w:t>4</w:t>
      </w:r>
      <w:r w:rsidR="00E527DF" w:rsidRPr="00C7355E">
        <w:rPr>
          <w:rFonts w:eastAsia="Times New Roman" w:cs="Arial"/>
          <w:szCs w:val="24"/>
          <w:lang w:val="mn-MN"/>
        </w:rPr>
        <w:t xml:space="preserve"> онд нэн шаардлагатай байгаа </w:t>
      </w:r>
      <w:r w:rsidR="009D3EEF" w:rsidRPr="00C7355E">
        <w:rPr>
          <w:rFonts w:eastAsia="Times New Roman" w:cs="Arial"/>
          <w:szCs w:val="24"/>
          <w:lang w:val="mn-MN"/>
        </w:rPr>
        <w:t>62</w:t>
      </w:r>
      <w:r w:rsidR="008D7EB6" w:rsidRPr="00C7355E">
        <w:rPr>
          <w:rFonts w:eastAsia="Times New Roman" w:cs="Arial"/>
          <w:szCs w:val="24"/>
          <w:lang w:val="mn-MN"/>
        </w:rPr>
        <w:t xml:space="preserve">.8 </w:t>
      </w:r>
      <w:r w:rsidR="00E527DF" w:rsidRPr="00C7355E">
        <w:rPr>
          <w:rFonts w:eastAsia="Times New Roman" w:cs="Arial"/>
          <w:szCs w:val="24"/>
          <w:lang w:val="mn-MN"/>
        </w:rPr>
        <w:t>тэрбум төгрөгийн санхүүжилтийн асуудлыг шийдвэрлэх гэсэн заалтын 202</w:t>
      </w:r>
      <w:r w:rsidR="009D3EEF" w:rsidRPr="00C7355E">
        <w:rPr>
          <w:rFonts w:eastAsia="Times New Roman" w:cs="Arial"/>
          <w:szCs w:val="24"/>
          <w:lang w:val="mn-MN"/>
        </w:rPr>
        <w:t>4</w:t>
      </w:r>
      <w:r w:rsidR="00E527DF" w:rsidRPr="00C7355E">
        <w:rPr>
          <w:rFonts w:eastAsia="Times New Roman" w:cs="Arial"/>
          <w:szCs w:val="24"/>
          <w:lang w:val="mn-MN"/>
        </w:rPr>
        <w:t xml:space="preserve"> он гэснийг дахин харах нь зүйтэй байна. Учир нь энэхүү үнэлгээг хийж буй хугацаагаар тооцоход энэхүү заалты</w:t>
      </w:r>
      <w:r w:rsidR="00CA4446" w:rsidRPr="00C7355E">
        <w:rPr>
          <w:rFonts w:eastAsia="Times New Roman" w:cs="Arial"/>
          <w:szCs w:val="24"/>
          <w:lang w:val="mn-MN"/>
        </w:rPr>
        <w:t>н</w:t>
      </w:r>
      <w:r w:rsidR="00E527DF" w:rsidRPr="00C7355E">
        <w:rPr>
          <w:rFonts w:eastAsia="Times New Roman" w:cs="Arial"/>
          <w:szCs w:val="24"/>
          <w:lang w:val="mn-MN"/>
        </w:rPr>
        <w:t xml:space="preserve"> хэрэгжилт хангагдах боломж бага байгааг анхаарах </w:t>
      </w:r>
      <w:r w:rsidR="00CA4446" w:rsidRPr="00C7355E">
        <w:rPr>
          <w:rFonts w:eastAsia="Times New Roman" w:cs="Arial"/>
          <w:szCs w:val="24"/>
          <w:lang w:val="mn-MN"/>
        </w:rPr>
        <w:t>мөн тогтоолын төсөлд хэд хэдэн тоог тогтоосон байгааг дахин нягтлах нь зүйтэй байна.</w:t>
      </w:r>
    </w:p>
    <w:p w14:paraId="17B4DF16" w14:textId="77777777" w:rsidR="00CA4446" w:rsidRPr="00C7355E" w:rsidRDefault="00CA4446" w:rsidP="00CA4446">
      <w:pPr>
        <w:snapToGrid w:val="0"/>
        <w:spacing w:after="0" w:line="240" w:lineRule="auto"/>
        <w:ind w:firstLine="567"/>
        <w:jc w:val="both"/>
        <w:rPr>
          <w:rFonts w:eastAsiaTheme="minorHAnsi" w:cs="Arial"/>
          <w:i/>
          <w:iCs/>
          <w:szCs w:val="24"/>
          <w:u w:val="single"/>
          <w:lang w:val="mn-MN"/>
        </w:rPr>
      </w:pPr>
    </w:p>
    <w:p w14:paraId="10DF0013" w14:textId="77777777" w:rsidR="00117BFC" w:rsidRPr="00C7355E" w:rsidRDefault="00117BFC" w:rsidP="00117BFC">
      <w:pPr>
        <w:tabs>
          <w:tab w:val="left" w:pos="142"/>
        </w:tabs>
        <w:spacing w:line="240" w:lineRule="auto"/>
        <w:jc w:val="both"/>
        <w:rPr>
          <w:rFonts w:cs="Arial"/>
          <w:szCs w:val="24"/>
          <w:lang w:val="mn-MN"/>
        </w:rPr>
      </w:pPr>
      <w:r w:rsidRPr="00C7355E">
        <w:rPr>
          <w:rFonts w:cs="Arial"/>
          <w:szCs w:val="24"/>
          <w:lang w:val="mn-MN"/>
        </w:rPr>
        <w:tab/>
      </w:r>
      <w:r w:rsidRPr="00C7355E">
        <w:rPr>
          <w:rFonts w:cs="Arial"/>
          <w:szCs w:val="24"/>
          <w:lang w:val="mn-MN"/>
        </w:rPr>
        <w:tab/>
        <w:t>Харилцан уялдаа: Энэхүү шалгуур үзүүлэлтийн хүрээнд тогтоолын төсөл нь зүйл заалт хоорондоо болон Монгол Улсын Үндсэн хууль болон хүчин төгөлдөр үйлчилж байгаа хууль тогтоомжтой давхардсан, зөрчилдсөн зохицуулалт агуулаагүй, хуульд заасан шаардлагыг хангасан байна.</w:t>
      </w:r>
    </w:p>
    <w:p w14:paraId="56128B67" w14:textId="77777777" w:rsidR="00117BFC" w:rsidRPr="00C7355E" w:rsidRDefault="00117BFC" w:rsidP="00117BFC">
      <w:pPr>
        <w:tabs>
          <w:tab w:val="left" w:pos="142"/>
        </w:tabs>
        <w:spacing w:line="240" w:lineRule="auto"/>
        <w:jc w:val="both"/>
        <w:rPr>
          <w:rFonts w:cs="Arial"/>
          <w:szCs w:val="24"/>
          <w:lang w:val="mn-MN"/>
        </w:rPr>
      </w:pPr>
      <w:r w:rsidRPr="00C7355E">
        <w:rPr>
          <w:rFonts w:cs="Arial"/>
          <w:szCs w:val="24"/>
          <w:lang w:val="mn-MN"/>
        </w:rPr>
        <w:tab/>
      </w:r>
      <w:r w:rsidRPr="00C7355E">
        <w:rPr>
          <w:rFonts w:cs="Arial"/>
          <w:szCs w:val="24"/>
          <w:lang w:val="mn-MN"/>
        </w:rPr>
        <w:tab/>
        <w:t>Зөвлөмж:</w:t>
      </w:r>
    </w:p>
    <w:p w14:paraId="207AD898" w14:textId="77777777" w:rsidR="00117BFC" w:rsidRPr="00C7355E" w:rsidRDefault="00117BFC" w:rsidP="00117BFC">
      <w:pPr>
        <w:spacing w:line="240" w:lineRule="auto"/>
        <w:ind w:firstLine="720"/>
        <w:jc w:val="both"/>
        <w:rPr>
          <w:rFonts w:eastAsia="Yu Mincho" w:cs="Arial"/>
          <w:noProof/>
          <w:szCs w:val="24"/>
          <w:lang w:val="mn-MN"/>
        </w:rPr>
      </w:pPr>
      <w:r w:rsidRPr="00C7355E">
        <w:rPr>
          <w:rFonts w:eastAsia="Yu Mincho" w:cs="Arial"/>
          <w:noProof/>
          <w:szCs w:val="24"/>
          <w:lang w:val="mn-MN"/>
        </w:rPr>
        <w:t xml:space="preserve">Энэхүү Улсын Их Хурлын тогтоолын төсөлд Хууль тогтоомжийн хэрэгцээ, шаардлагыг урьдчилан тандан судлах аргачлалын дагуу холбогдох судалгаа хийгдсэн тул энэхүү судалгааны дүгнэлт, зөвлөмжид үндэслэн тогтоолын  төсөл нь зорилгодоо хүрэх боломжтой, тогтоолын төслийг дагаж мөрдөхөд ойлгомжтой, хэрэгжүүлэх боломжтой байх тул батлуулах боломжтой гэж үзэж байна.  </w:t>
      </w:r>
    </w:p>
    <w:p w14:paraId="79A67515" w14:textId="77777777" w:rsidR="006D23DE" w:rsidRPr="00C7355E" w:rsidRDefault="006D23DE" w:rsidP="006D23DE">
      <w:pPr>
        <w:spacing w:line="240" w:lineRule="auto"/>
        <w:ind w:right="-1"/>
        <w:rPr>
          <w:rFonts w:eastAsiaTheme="minorEastAsia" w:cs="Arial"/>
          <w:szCs w:val="24"/>
          <w:lang w:val="mn-MN" w:eastAsia="zh-CN"/>
        </w:rPr>
      </w:pPr>
    </w:p>
    <w:p w14:paraId="0787178B" w14:textId="77777777" w:rsidR="006D23DE" w:rsidRPr="00C7355E" w:rsidRDefault="006D23DE" w:rsidP="006D23DE">
      <w:pPr>
        <w:spacing w:line="240" w:lineRule="auto"/>
        <w:ind w:right="-1"/>
        <w:rPr>
          <w:rFonts w:eastAsiaTheme="minorEastAsia" w:cs="Arial"/>
          <w:szCs w:val="24"/>
          <w:lang w:val="mn-MN" w:eastAsia="zh-CN"/>
        </w:rPr>
      </w:pPr>
    </w:p>
    <w:p w14:paraId="1748AEDD" w14:textId="01E69FA4" w:rsidR="00117BFC" w:rsidRPr="00C7355E" w:rsidRDefault="000279F7" w:rsidP="006D23DE">
      <w:pPr>
        <w:spacing w:line="240" w:lineRule="auto"/>
        <w:ind w:right="-1"/>
        <w:jc w:val="center"/>
        <w:rPr>
          <w:rFonts w:eastAsia="Yu Mincho" w:cs="Arial"/>
          <w:szCs w:val="24"/>
          <w:lang w:val="mn-MN"/>
        </w:rPr>
      </w:pPr>
      <w:r w:rsidRPr="00C7355E">
        <w:rPr>
          <w:rFonts w:eastAsia="Yu Mincho" w:cs="Arial"/>
          <w:szCs w:val="24"/>
          <w:lang w:val="mn-MN"/>
        </w:rPr>
        <w:t>---</w:t>
      </w:r>
      <w:proofErr w:type="spellStart"/>
      <w:r w:rsidRPr="00C7355E">
        <w:rPr>
          <w:rFonts w:eastAsia="Yu Mincho" w:cs="Arial"/>
          <w:szCs w:val="24"/>
          <w:lang w:val="mn-MN"/>
        </w:rPr>
        <w:t>оОо</w:t>
      </w:r>
      <w:proofErr w:type="spellEnd"/>
      <w:r w:rsidRPr="00C7355E">
        <w:rPr>
          <w:rFonts w:eastAsia="Yu Mincho" w:cs="Arial"/>
          <w:szCs w:val="24"/>
          <w:lang w:val="mn-MN"/>
        </w:rPr>
        <w:t>---</w:t>
      </w:r>
    </w:p>
    <w:p w14:paraId="5A690117" w14:textId="77777777" w:rsidR="00117BFC" w:rsidRPr="00C7355E" w:rsidRDefault="00117BFC" w:rsidP="00117BFC">
      <w:pPr>
        <w:spacing w:after="0" w:line="240" w:lineRule="auto"/>
        <w:rPr>
          <w:rFonts w:cs="Arial"/>
          <w:szCs w:val="24"/>
          <w:lang w:val="mn-MN"/>
        </w:rPr>
      </w:pPr>
    </w:p>
    <w:p w14:paraId="095BC106" w14:textId="77777777" w:rsidR="00117BFC" w:rsidRPr="00C7355E" w:rsidRDefault="00117BFC" w:rsidP="00117BFC">
      <w:pPr>
        <w:spacing w:after="0" w:line="240" w:lineRule="auto"/>
        <w:jc w:val="center"/>
        <w:rPr>
          <w:rFonts w:eastAsia="Yu Mincho" w:cs="Arial"/>
          <w:noProof/>
          <w:szCs w:val="24"/>
          <w:lang w:val="mn-MN"/>
        </w:rPr>
      </w:pPr>
    </w:p>
    <w:p w14:paraId="2008CBB6" w14:textId="77777777" w:rsidR="00117BFC" w:rsidRPr="00C7355E" w:rsidRDefault="00117BFC" w:rsidP="00117BFC">
      <w:pPr>
        <w:pStyle w:val="NormalWeb"/>
        <w:jc w:val="center"/>
        <w:rPr>
          <w:rFonts w:ascii="Arial" w:hAnsi="Arial" w:cs="Arial"/>
          <w:bCs/>
          <w:lang w:val="mn-MN"/>
        </w:rPr>
      </w:pPr>
    </w:p>
    <w:p w14:paraId="0C7BD85E" w14:textId="77777777" w:rsidR="00117BFC" w:rsidRPr="00C7355E" w:rsidRDefault="00117BFC" w:rsidP="00117BFC">
      <w:pPr>
        <w:spacing w:line="240" w:lineRule="auto"/>
        <w:rPr>
          <w:rFonts w:cs="Arial"/>
          <w:szCs w:val="24"/>
          <w:lang w:val="mn-MN"/>
        </w:rPr>
      </w:pPr>
    </w:p>
    <w:p w14:paraId="06283A0F" w14:textId="77777777" w:rsidR="00117BFC" w:rsidRPr="00C7355E" w:rsidRDefault="00117BFC">
      <w:pPr>
        <w:rPr>
          <w:rFonts w:cs="Arial"/>
          <w:szCs w:val="24"/>
          <w:lang w:val="mn-MN"/>
        </w:rPr>
      </w:pPr>
    </w:p>
    <w:sectPr w:rsidR="00117BFC" w:rsidRPr="00C7355E" w:rsidSect="00EE543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BBDF2" w14:textId="77777777" w:rsidR="00055D92" w:rsidRDefault="00055D92" w:rsidP="00117BFC">
      <w:pPr>
        <w:spacing w:after="0" w:line="240" w:lineRule="auto"/>
      </w:pPr>
      <w:r>
        <w:separator/>
      </w:r>
    </w:p>
  </w:endnote>
  <w:endnote w:type="continuationSeparator" w:id="0">
    <w:p w14:paraId="7E0CA24D" w14:textId="77777777" w:rsidR="00055D92" w:rsidRDefault="00055D92" w:rsidP="0011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D265F" w14:textId="77777777" w:rsidR="00055D92" w:rsidRDefault="00055D92" w:rsidP="00117BFC">
      <w:pPr>
        <w:spacing w:after="0" w:line="240" w:lineRule="auto"/>
      </w:pPr>
      <w:r>
        <w:separator/>
      </w:r>
    </w:p>
  </w:footnote>
  <w:footnote w:type="continuationSeparator" w:id="0">
    <w:p w14:paraId="77C4C21C" w14:textId="77777777" w:rsidR="00055D92" w:rsidRDefault="00055D92" w:rsidP="00117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2638"/>
    <w:multiLevelType w:val="hybridMultilevel"/>
    <w:tmpl w:val="EB2456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64235726"/>
    <w:multiLevelType w:val="hybridMultilevel"/>
    <w:tmpl w:val="255E09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FC"/>
    <w:rsid w:val="000279F7"/>
    <w:rsid w:val="000369C8"/>
    <w:rsid w:val="00055D92"/>
    <w:rsid w:val="000C0459"/>
    <w:rsid w:val="000D6669"/>
    <w:rsid w:val="00117BFC"/>
    <w:rsid w:val="004646FE"/>
    <w:rsid w:val="004F02C7"/>
    <w:rsid w:val="00540E0C"/>
    <w:rsid w:val="005823A0"/>
    <w:rsid w:val="0062747A"/>
    <w:rsid w:val="00671D49"/>
    <w:rsid w:val="00680C98"/>
    <w:rsid w:val="006A54C4"/>
    <w:rsid w:val="006D23DE"/>
    <w:rsid w:val="007837FB"/>
    <w:rsid w:val="00842C8E"/>
    <w:rsid w:val="008D7EB6"/>
    <w:rsid w:val="008E4F85"/>
    <w:rsid w:val="00907B16"/>
    <w:rsid w:val="009439B9"/>
    <w:rsid w:val="00970ED1"/>
    <w:rsid w:val="009D3EEF"/>
    <w:rsid w:val="00A43E26"/>
    <w:rsid w:val="00C7355E"/>
    <w:rsid w:val="00CA4446"/>
    <w:rsid w:val="00D71AB7"/>
    <w:rsid w:val="00D93D5E"/>
    <w:rsid w:val="00DA1D0A"/>
    <w:rsid w:val="00E527DF"/>
    <w:rsid w:val="00E5591F"/>
    <w:rsid w:val="00EE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801A"/>
  <w15:chartTrackingRefBased/>
  <w15:docId w15:val="{B25DB61B-7E9B-4E51-8E03-C604B983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BFC"/>
    <w:pPr>
      <w:spacing w:line="25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BFC"/>
    <w:pPr>
      <w:spacing w:before="100" w:beforeAutospacing="1" w:after="100" w:afterAutospacing="1" w:line="240" w:lineRule="auto"/>
    </w:pPr>
    <w:rPr>
      <w:rFonts w:ascii="Times New Roman" w:eastAsia="Times New Roman" w:hAnsi="Times New Roman"/>
      <w:szCs w:val="24"/>
    </w:rPr>
  </w:style>
  <w:style w:type="paragraph" w:styleId="FootnoteText">
    <w:name w:val="footnote text"/>
    <w:basedOn w:val="Normal"/>
    <w:link w:val="FootnoteTextChar"/>
    <w:uiPriority w:val="99"/>
    <w:semiHidden/>
    <w:unhideWhenUsed/>
    <w:rsid w:val="00117BFC"/>
    <w:rPr>
      <w:sz w:val="20"/>
      <w:szCs w:val="20"/>
    </w:rPr>
  </w:style>
  <w:style w:type="character" w:customStyle="1" w:styleId="FootnoteTextChar">
    <w:name w:val="Footnote Text Char"/>
    <w:basedOn w:val="DefaultParagraphFont"/>
    <w:link w:val="FootnoteText"/>
    <w:uiPriority w:val="99"/>
    <w:semiHidden/>
    <w:rsid w:val="00117BFC"/>
    <w:rPr>
      <w:rFonts w:ascii="Arial" w:eastAsia="Calibri" w:hAnsi="Arial" w:cs="Times New Roman"/>
      <w:sz w:val="20"/>
      <w:szCs w:val="20"/>
    </w:rPr>
  </w:style>
  <w:style w:type="character" w:styleId="FootnoteReference">
    <w:name w:val="footnote reference"/>
    <w:uiPriority w:val="99"/>
    <w:semiHidden/>
    <w:unhideWhenUsed/>
    <w:rsid w:val="00117BFC"/>
    <w:rPr>
      <w:vertAlign w:val="superscript"/>
    </w:rPr>
  </w:style>
  <w:style w:type="character" w:styleId="Strong">
    <w:name w:val="Strong"/>
    <w:basedOn w:val="DefaultParagraphFont"/>
    <w:uiPriority w:val="22"/>
    <w:qFormat/>
    <w:rsid w:val="00117BFC"/>
    <w:rPr>
      <w:b/>
      <w:bCs/>
    </w:rPr>
  </w:style>
  <w:style w:type="character" w:customStyle="1" w:styleId="ListParagraphChar">
    <w:name w:val="List Paragraph Char"/>
    <w:aliases w:val="Subtitle Char,List Paragraph1 Char,Paragraph Char,IBL List Paragraph Char,Дэд гарчиг Char,List Paragraph Num Char,Colorful List - Accent 11 Char,List Paragraph (numbered (a)) Char,Bullets Char,List Paragraph nowy Char,References Char"/>
    <w:basedOn w:val="DefaultParagraphFont"/>
    <w:link w:val="ListParagraph1"/>
    <w:uiPriority w:val="34"/>
    <w:qFormat/>
    <w:locked/>
    <w:rsid w:val="007837FB"/>
    <w:rPr>
      <w:rFonts w:ascii="Arial" w:hAnsi="Arial" w:cs="Arial"/>
      <w:szCs w:val="24"/>
    </w:rPr>
  </w:style>
  <w:style w:type="paragraph" w:customStyle="1" w:styleId="ListParagraph1">
    <w:name w:val="List Paragraph1"/>
    <w:aliases w:val="Subtitle,Paragraph,IBL List Paragraph,Дэд гарчиг,List Paragraph Num,Colorful List - Accent 11,List Paragraph (numbered (a)),Bullets,List Paragraph nowy,References,Numbered List Paragraph,Subtitle1,Subtitle11,Subtitle111"/>
    <w:basedOn w:val="Normal"/>
    <w:link w:val="ListParagraphChar"/>
    <w:uiPriority w:val="34"/>
    <w:qFormat/>
    <w:rsid w:val="007837FB"/>
    <w:pPr>
      <w:ind w:left="720"/>
      <w:contextualSpacing/>
    </w:pPr>
    <w:rPr>
      <w:rFonts w:eastAsiaTheme="minorHAnsi" w:cs="Arial"/>
      <w:sz w:val="22"/>
      <w:szCs w:val="24"/>
    </w:rPr>
  </w:style>
  <w:style w:type="paragraph" w:styleId="BalloonText">
    <w:name w:val="Balloon Text"/>
    <w:basedOn w:val="Normal"/>
    <w:link w:val="BalloonTextChar"/>
    <w:uiPriority w:val="99"/>
    <w:semiHidden/>
    <w:unhideWhenUsed/>
    <w:rsid w:val="00907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B1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282235">
      <w:bodyDiv w:val="1"/>
      <w:marLeft w:val="0"/>
      <w:marRight w:val="0"/>
      <w:marTop w:val="0"/>
      <w:marBottom w:val="0"/>
      <w:divBdr>
        <w:top w:val="none" w:sz="0" w:space="0" w:color="auto"/>
        <w:left w:val="none" w:sz="0" w:space="0" w:color="auto"/>
        <w:bottom w:val="none" w:sz="0" w:space="0" w:color="auto"/>
        <w:right w:val="none" w:sz="0" w:space="0" w:color="auto"/>
      </w:divBdr>
    </w:div>
    <w:div w:id="544294236">
      <w:bodyDiv w:val="1"/>
      <w:marLeft w:val="0"/>
      <w:marRight w:val="0"/>
      <w:marTop w:val="0"/>
      <w:marBottom w:val="0"/>
      <w:divBdr>
        <w:top w:val="none" w:sz="0" w:space="0" w:color="auto"/>
        <w:left w:val="none" w:sz="0" w:space="0" w:color="auto"/>
        <w:bottom w:val="none" w:sz="0" w:space="0" w:color="auto"/>
        <w:right w:val="none" w:sz="0" w:space="0" w:color="auto"/>
      </w:divBdr>
    </w:div>
    <w:div w:id="788400875">
      <w:bodyDiv w:val="1"/>
      <w:marLeft w:val="0"/>
      <w:marRight w:val="0"/>
      <w:marTop w:val="0"/>
      <w:marBottom w:val="0"/>
      <w:divBdr>
        <w:top w:val="none" w:sz="0" w:space="0" w:color="auto"/>
        <w:left w:val="none" w:sz="0" w:space="0" w:color="auto"/>
        <w:bottom w:val="none" w:sz="0" w:space="0" w:color="auto"/>
        <w:right w:val="none" w:sz="0" w:space="0" w:color="auto"/>
      </w:divBdr>
    </w:div>
    <w:div w:id="924729096">
      <w:bodyDiv w:val="1"/>
      <w:marLeft w:val="0"/>
      <w:marRight w:val="0"/>
      <w:marTop w:val="0"/>
      <w:marBottom w:val="0"/>
      <w:divBdr>
        <w:top w:val="none" w:sz="0" w:space="0" w:color="auto"/>
        <w:left w:val="none" w:sz="0" w:space="0" w:color="auto"/>
        <w:bottom w:val="none" w:sz="0" w:space="0" w:color="auto"/>
        <w:right w:val="none" w:sz="0" w:space="0" w:color="auto"/>
      </w:divBdr>
    </w:div>
    <w:div w:id="1149249447">
      <w:bodyDiv w:val="1"/>
      <w:marLeft w:val="0"/>
      <w:marRight w:val="0"/>
      <w:marTop w:val="0"/>
      <w:marBottom w:val="0"/>
      <w:divBdr>
        <w:top w:val="none" w:sz="0" w:space="0" w:color="auto"/>
        <w:left w:val="none" w:sz="0" w:space="0" w:color="auto"/>
        <w:bottom w:val="none" w:sz="0" w:space="0" w:color="auto"/>
        <w:right w:val="none" w:sz="0" w:space="0" w:color="auto"/>
      </w:divBdr>
    </w:div>
    <w:div w:id="1494640560">
      <w:bodyDiv w:val="1"/>
      <w:marLeft w:val="0"/>
      <w:marRight w:val="0"/>
      <w:marTop w:val="0"/>
      <w:marBottom w:val="0"/>
      <w:divBdr>
        <w:top w:val="none" w:sz="0" w:space="0" w:color="auto"/>
        <w:left w:val="none" w:sz="0" w:space="0" w:color="auto"/>
        <w:bottom w:val="none" w:sz="0" w:space="0" w:color="auto"/>
        <w:right w:val="none" w:sz="0" w:space="0" w:color="auto"/>
      </w:divBdr>
    </w:div>
    <w:div w:id="1618218914">
      <w:bodyDiv w:val="1"/>
      <w:marLeft w:val="0"/>
      <w:marRight w:val="0"/>
      <w:marTop w:val="0"/>
      <w:marBottom w:val="0"/>
      <w:divBdr>
        <w:top w:val="none" w:sz="0" w:space="0" w:color="auto"/>
        <w:left w:val="none" w:sz="0" w:space="0" w:color="auto"/>
        <w:bottom w:val="none" w:sz="0" w:space="0" w:color="auto"/>
        <w:right w:val="none" w:sz="0" w:space="0" w:color="auto"/>
      </w:divBdr>
    </w:div>
    <w:div w:id="170613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2967</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mofa_btg</dc:creator>
  <cp:keywords/>
  <dc:description/>
  <cp:lastModifiedBy>DELL</cp:lastModifiedBy>
  <cp:revision>15</cp:revision>
  <cp:lastPrinted>2024-05-14T08:57:00Z</cp:lastPrinted>
  <dcterms:created xsi:type="dcterms:W3CDTF">2022-05-12T07:11:00Z</dcterms:created>
  <dcterms:modified xsi:type="dcterms:W3CDTF">2024-05-14T08:59:00Z</dcterms:modified>
</cp:coreProperties>
</file>