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B1527" w14:textId="08D9B495" w:rsidR="004857FC" w:rsidRPr="006A4151" w:rsidRDefault="004857FC"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ЗЭЭЛИЙН МЭДЭЭЛЛИЙН ТУХАЙ ХУУЛЬД НЭМЭЛТ, ӨӨРЧЛӨЛТ ОРУУЛАХ ТУХАЙ ХУУЛИЙН ТӨСЛИЙН ТОВЧ ТАНИЛЦУУЛГА</w:t>
      </w:r>
    </w:p>
    <w:p w14:paraId="7AE75FD1" w14:textId="77777777" w:rsidR="004857FC" w:rsidRPr="006A4151" w:rsidRDefault="004857FC" w:rsidP="00314B8D">
      <w:pPr>
        <w:spacing w:after="0" w:line="240" w:lineRule="auto"/>
        <w:jc w:val="both"/>
        <w:rPr>
          <w:rFonts w:ascii="Arial" w:hAnsi="Arial" w:cs="Arial"/>
          <w:sz w:val="24"/>
          <w:szCs w:val="24"/>
          <w:lang w:val="mn-MN"/>
        </w:rPr>
      </w:pPr>
    </w:p>
    <w:p w14:paraId="1953CF49" w14:textId="77777777" w:rsidR="004857FC" w:rsidRPr="006A4151" w:rsidRDefault="004857FC"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t>Зээлийн мэдээллийн тухай хуульд нэмэлт, өөрчлөлт</w:t>
      </w:r>
    </w:p>
    <w:p w14:paraId="3F43EED3" w14:textId="77777777" w:rsidR="004857FC" w:rsidRPr="006A4151" w:rsidRDefault="004857FC"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t>оруулах тухай хуулийн төслийн тухай</w:t>
      </w:r>
    </w:p>
    <w:p w14:paraId="2C2DDD2F" w14:textId="77777777" w:rsidR="004857FC" w:rsidRPr="006A4151" w:rsidRDefault="004857FC" w:rsidP="00314B8D">
      <w:pPr>
        <w:spacing w:after="0" w:line="240" w:lineRule="auto"/>
        <w:ind w:firstLine="360"/>
        <w:jc w:val="both"/>
        <w:rPr>
          <w:rFonts w:ascii="Arial" w:hAnsi="Arial" w:cs="Arial"/>
          <w:sz w:val="24"/>
          <w:szCs w:val="24"/>
          <w:lang w:val="mn-MN"/>
        </w:rPr>
      </w:pPr>
    </w:p>
    <w:p w14:paraId="768B2751" w14:textId="2BDBB4A3"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Монгол Улсын банкны салбарын зээлийн үлдэгдэл 2023 оны 1 дүгээр сарын байдлаар нийт 54.3 их наяд төгрөг байна. Зээлийн мэдээллийн тухай хууль батлагдах жилд буюу 2011 оны 12 дугаар сарын 31-ний байдлаар банкны салбарын зээлийн үлдэгдэл 9.4 их наяд төгрөг байсан. Чанаргүй зээлийн үлдэгдэл нийт зээлийн үлдэгдлийн 10 хувьтай тэнцэж буюу зохих түвшинд байгаа бөгөөд цаашид хадгалах, бууруулах чиглэлээр банк, санхүүгийн салбарт мөрдөх хууль, тогтоомжийг нийгэм, эдийн засаг, салбарын хөгжилтэй уялдуулж батлах, шинэчлэх үйл ажиллагааг тогтмол хийж салбарын тогтвортой байдал хангагдана. </w:t>
      </w:r>
    </w:p>
    <w:p w14:paraId="5370470F" w14:textId="77777777" w:rsidR="004857FC" w:rsidRPr="006A4151" w:rsidRDefault="004857FC" w:rsidP="00314B8D">
      <w:pPr>
        <w:spacing w:after="0" w:line="240" w:lineRule="auto"/>
        <w:ind w:firstLine="360"/>
        <w:jc w:val="both"/>
        <w:rPr>
          <w:rFonts w:ascii="Arial" w:hAnsi="Arial" w:cs="Arial"/>
          <w:sz w:val="24"/>
          <w:szCs w:val="24"/>
          <w:lang w:val="mn-MN"/>
        </w:rPr>
      </w:pPr>
    </w:p>
    <w:p w14:paraId="1562F560" w14:textId="77777777"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Зээлийн мэдээллийн санд 13 арилжааны банк, 436 банк бус санхүүгийн байгууллага, харилцаа холбооны компаниуд, төрийн яам, агентлагуудын дэргэдэх сангууд, хадгаламж зээлийн хоршоо гэх мэтчилэн төрийн, хувийн хэвшлийн байгууллагууд иргэн, аж ахуй нэгжийн зээл, төлбөрийн үүргийн талаарх мэдээллийг нийлүүлдэг бөгөөд 2024 оны 2 дугаар сарын байдлаар 1.6 сая иргэн, 19.6 мянган аж ахуйн нэгжийн зээлийн мэдээлэл хадгалагдаж байна.  </w:t>
      </w:r>
    </w:p>
    <w:p w14:paraId="106C1F12" w14:textId="77777777" w:rsidR="004857FC" w:rsidRPr="006A4151" w:rsidRDefault="004857FC" w:rsidP="00314B8D">
      <w:pPr>
        <w:spacing w:after="0" w:line="240" w:lineRule="auto"/>
        <w:ind w:firstLine="720"/>
        <w:jc w:val="both"/>
        <w:rPr>
          <w:rFonts w:ascii="Arial" w:hAnsi="Arial" w:cs="Arial"/>
          <w:sz w:val="24"/>
          <w:szCs w:val="24"/>
          <w:lang w:val="mn-MN"/>
        </w:rPr>
      </w:pPr>
    </w:p>
    <w:p w14:paraId="1EF0BC0D" w14:textId="3A77764E" w:rsidR="004857FC" w:rsidRPr="006A4151" w:rsidRDefault="00484300"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З</w:t>
      </w:r>
      <w:r w:rsidR="004857FC" w:rsidRPr="006A4151">
        <w:rPr>
          <w:rFonts w:ascii="Arial" w:hAnsi="Arial" w:cs="Arial"/>
          <w:sz w:val="24"/>
          <w:szCs w:val="24"/>
          <w:lang w:val="mn-MN"/>
        </w:rPr>
        <w:t xml:space="preserve">ээлдэгчийн зээлийн түүхийн мэдээлэл үнэн зөв байж, зээлийн үнэлгээ, зэрэглэл тогтооход шаардагдах бүх мэдээллийг бүрэн хэмжээгээр агуулсан, мэдээлэл тогтмол шинэчлэгдэж, цаг үеийн мэдээллээр баяжигдаж түүн дээр суурилсан зээлдэгчийн үнэлгээ, зэрэглэл тогтоох </w:t>
      </w:r>
      <w:r w:rsidR="006623A9" w:rsidRPr="006A4151">
        <w:rPr>
          <w:rFonts w:ascii="Arial" w:hAnsi="Arial" w:cs="Arial"/>
          <w:sz w:val="24"/>
          <w:szCs w:val="24"/>
          <w:lang w:val="mn-MN"/>
        </w:rPr>
        <w:t xml:space="preserve">онооны </w:t>
      </w:r>
      <w:r w:rsidR="004857FC" w:rsidRPr="006A4151">
        <w:rPr>
          <w:rFonts w:ascii="Arial" w:hAnsi="Arial" w:cs="Arial"/>
          <w:sz w:val="24"/>
          <w:szCs w:val="24"/>
          <w:lang w:val="mn-MN"/>
        </w:rPr>
        <w:t>аргачлалыг баталсан нэгдсэн журам эрх бүхий бодлого тодорхойлогч байгууллага болох Монголбанк  батлах шаардлагатай.</w:t>
      </w:r>
      <w:r w:rsidRPr="006A4151">
        <w:rPr>
          <w:rFonts w:ascii="Arial" w:hAnsi="Arial" w:cs="Arial"/>
          <w:sz w:val="24"/>
          <w:szCs w:val="24"/>
          <w:lang w:val="mn-MN"/>
        </w:rPr>
        <w:t xml:space="preserve"> </w:t>
      </w:r>
      <w:r w:rsidR="004857FC" w:rsidRPr="006A4151">
        <w:rPr>
          <w:rFonts w:ascii="Arial" w:hAnsi="Arial" w:cs="Arial"/>
          <w:sz w:val="24"/>
          <w:szCs w:val="24"/>
          <w:lang w:val="mn-MN"/>
        </w:rPr>
        <w:t xml:space="preserve">Эрх бүхий байгууллагаар нэгдсэн аргачлал, түүний баталсан журамтай болсноор зээлийн мэдээллийн санд нийлүүлэгдэж байгаа мэдээллийг зөв ашиглах, бодит байдалтай нийцсэн, нэгдсэн </w:t>
      </w:r>
      <w:r w:rsidR="006623A9" w:rsidRPr="006A4151">
        <w:rPr>
          <w:rFonts w:ascii="Arial" w:hAnsi="Arial" w:cs="Arial"/>
          <w:sz w:val="24"/>
          <w:szCs w:val="24"/>
          <w:lang w:val="mn-MN"/>
        </w:rPr>
        <w:t xml:space="preserve">онооны </w:t>
      </w:r>
      <w:r w:rsidR="004857FC" w:rsidRPr="006A4151">
        <w:rPr>
          <w:rFonts w:ascii="Arial" w:hAnsi="Arial" w:cs="Arial"/>
          <w:sz w:val="24"/>
          <w:szCs w:val="24"/>
          <w:lang w:val="mn-MN"/>
        </w:rPr>
        <w:t xml:space="preserve">аргачлалаар зээлдэгчийн зэрэглэлийг тогтоох боломжтой болно. </w:t>
      </w:r>
    </w:p>
    <w:p w14:paraId="146AEF47" w14:textId="77777777" w:rsidR="004857FC" w:rsidRPr="006A4151" w:rsidRDefault="004857FC" w:rsidP="00314B8D">
      <w:pPr>
        <w:spacing w:after="0" w:line="240" w:lineRule="auto"/>
        <w:ind w:firstLine="360"/>
        <w:jc w:val="both"/>
        <w:rPr>
          <w:rFonts w:ascii="Arial" w:hAnsi="Arial" w:cs="Arial"/>
          <w:sz w:val="24"/>
          <w:szCs w:val="24"/>
          <w:lang w:val="mn-MN"/>
        </w:rPr>
      </w:pPr>
    </w:p>
    <w:p w14:paraId="656A453E" w14:textId="7EE85172"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Зээлдэгчийн зээлжих чадварыг нэгдсэн </w:t>
      </w:r>
      <w:r w:rsidR="000F6DFF" w:rsidRPr="006A4151">
        <w:rPr>
          <w:rFonts w:ascii="Arial" w:hAnsi="Arial" w:cs="Arial"/>
          <w:sz w:val="24"/>
          <w:szCs w:val="24"/>
          <w:lang w:val="mn-MN"/>
        </w:rPr>
        <w:t xml:space="preserve">онооны </w:t>
      </w:r>
      <w:r w:rsidRPr="006A4151">
        <w:rPr>
          <w:rFonts w:ascii="Arial" w:hAnsi="Arial" w:cs="Arial"/>
          <w:sz w:val="24"/>
          <w:szCs w:val="24"/>
          <w:lang w:val="mn-MN"/>
        </w:rPr>
        <w:t>аргачлалаар тодорхойлсноор зээлийн эргэн төлөлтийн найдвартай байдлыг хангах, банк, санхүүгийн салбарын тогтвортой ажиллагаа, аюулгүй байдал, банкны системийн нийт 28.6 их наяд төгрөгийн хадгаламжийн үлдэгдэл хөрөнгийн эргэн төлөгдөх баталгаа хамаарч байна.</w:t>
      </w:r>
    </w:p>
    <w:p w14:paraId="38EF3C2F" w14:textId="77777777" w:rsidR="004857FC" w:rsidRPr="006A4151" w:rsidRDefault="004857FC" w:rsidP="00314B8D">
      <w:pPr>
        <w:spacing w:after="0" w:line="240" w:lineRule="auto"/>
        <w:ind w:firstLine="360"/>
        <w:jc w:val="both"/>
        <w:rPr>
          <w:rFonts w:ascii="Arial" w:hAnsi="Arial" w:cs="Arial"/>
          <w:sz w:val="24"/>
          <w:szCs w:val="24"/>
          <w:lang w:val="mn-MN"/>
        </w:rPr>
      </w:pPr>
    </w:p>
    <w:p w14:paraId="4CE496B0" w14:textId="5DD11E06"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Зээлийн мэдээллийн тухай хуульд зээлийн мэдээллийг</w:t>
      </w:r>
      <w:r w:rsidR="00976E30" w:rsidRPr="006A4151">
        <w:rPr>
          <w:rFonts w:ascii="Arial" w:hAnsi="Arial" w:cs="Arial"/>
          <w:sz w:val="24"/>
          <w:szCs w:val="24"/>
          <w:lang w:val="mn-MN"/>
        </w:rPr>
        <w:t xml:space="preserve"> ашиглан</w:t>
      </w:r>
      <w:r w:rsidRPr="006A4151">
        <w:rPr>
          <w:rFonts w:ascii="Arial" w:hAnsi="Arial" w:cs="Arial"/>
          <w:sz w:val="24"/>
          <w:szCs w:val="24"/>
          <w:lang w:val="mn-MN"/>
        </w:rPr>
        <w:t xml:space="preserve"> үйлчилгээ үзүүлэх этгээд зээлдэгчийн зээлжих чадварт зэрэглэл тогтоох гэж заасан боловч ямар аргачлал болон холбогдох журмын дагуу үнэлгээ хийж, зэрэглэл тогтоох талаар хуульд заагаагүй бөгөөд зээлдэгчийн зээлийн мэдээллийг зөв, бодит байдалтай нийцүүлэн ашигласнаар банк, санхүүгийн үйл ажиллагаанд оролцогч талуудын санхүүгийн сахилгыг дээшлүүлэх нөхцөлийг бүрдүүлж шийдвэр гаргалтыг тоон мэдээлэл, тодорхой арга, </w:t>
      </w:r>
      <w:r w:rsidR="006623A9"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үндэслэн хэрэгжүүлэх боломжтой болно. </w:t>
      </w:r>
    </w:p>
    <w:p w14:paraId="1A828647" w14:textId="77777777" w:rsidR="004857FC" w:rsidRPr="006A4151" w:rsidRDefault="004857FC" w:rsidP="00314B8D">
      <w:pPr>
        <w:spacing w:after="0" w:line="240" w:lineRule="auto"/>
        <w:jc w:val="both"/>
        <w:rPr>
          <w:rFonts w:ascii="Arial" w:hAnsi="Arial" w:cs="Arial"/>
          <w:sz w:val="24"/>
          <w:szCs w:val="24"/>
          <w:lang w:val="mn-MN"/>
        </w:rPr>
      </w:pPr>
    </w:p>
    <w:p w14:paraId="1C66093E" w14:textId="77777777" w:rsidR="004857FC" w:rsidRPr="006A4151" w:rsidRDefault="004857FC"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ab/>
        <w:t xml:space="preserve">Үйл ажиллагааны цар хүрээ, орлого, ажлын байраар иргэдийг хангах, татвар төлөлт зэрэг үзүүлэлтээс харвал дотоодын аж ахуйн нэгжүүд нь банк, санхүүгийн салбарын томоохон оролцогчдын нэг болсныг илтгэх бөгөөд үүний үр </w:t>
      </w:r>
      <w:r w:rsidRPr="006A4151">
        <w:rPr>
          <w:rFonts w:ascii="Arial" w:hAnsi="Arial" w:cs="Arial"/>
          <w:sz w:val="24"/>
          <w:szCs w:val="24"/>
          <w:lang w:val="mn-MN"/>
        </w:rPr>
        <w:lastRenderedPageBreak/>
        <w:t xml:space="preserve">дүнд дотоодын нийт бүтээгдэхүүнд өөрчлөлтөд үзүүлэх нөлөө нэмэгдэж эдийн засгийн өсөлт, хүртээмжийн асуудал банк, санхүүгийн салбарын үйл ажиллагаатай нягт холбоотой болсон. Банк, санхүүгийн салбарын хүртээмжийн асуудлыг тогтмол сайжруулж, тоон мэдээлэл, нэгдсэн арга, аргачлалаар хангах нөхцөлийг хууль, эрх зүйн өөрчлөлтөөр бий болгосноор нийгэм, эдийн засгийн өсөлт, хүртээмжийг нэмэгдүүлэх нөхцөл бүрдүүлнэ.  </w:t>
      </w:r>
    </w:p>
    <w:p w14:paraId="1EE354D2" w14:textId="77777777" w:rsidR="004857FC" w:rsidRPr="006A4151" w:rsidRDefault="004857FC" w:rsidP="00314B8D">
      <w:pPr>
        <w:spacing w:after="0" w:line="240" w:lineRule="auto"/>
        <w:ind w:firstLine="720"/>
        <w:jc w:val="both"/>
        <w:rPr>
          <w:rFonts w:ascii="Arial" w:hAnsi="Arial" w:cs="Arial"/>
          <w:sz w:val="24"/>
          <w:szCs w:val="24"/>
          <w:lang w:val="mn-MN"/>
        </w:rPr>
      </w:pPr>
    </w:p>
    <w:p w14:paraId="1239B4B7" w14:textId="15B09B15"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Аж ахуйн нэгжийн үйл ажиллагааг дэмжих бодлогын нэг хэрэгсэл бол зээл, санхүүжилтийн үйлчилгээг эрсдэлийн удирдлагад суурилж нэвтрүүлэх бөгөөд үр дүнг нэгдсэн зэрэглэл тогтоох </w:t>
      </w:r>
      <w:r w:rsidR="006623A9"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аргачлалаар үнэлэх явдал юм. Тэгснээр зээлийн мэдээллийг ашиглаж аж ахуйн нэгжийн үйл ажиллагаатай уялдсан санхүүгийн үйлчилгээг бий болгоно.     </w:t>
      </w:r>
    </w:p>
    <w:p w14:paraId="141560C3" w14:textId="77777777" w:rsidR="004857FC" w:rsidRPr="006A4151" w:rsidRDefault="004857FC" w:rsidP="00314B8D">
      <w:pPr>
        <w:spacing w:after="0" w:line="240" w:lineRule="auto"/>
        <w:jc w:val="both"/>
        <w:rPr>
          <w:rFonts w:ascii="Arial" w:hAnsi="Arial" w:cs="Arial"/>
          <w:sz w:val="24"/>
          <w:szCs w:val="24"/>
          <w:lang w:val="mn-MN"/>
        </w:rPr>
      </w:pPr>
    </w:p>
    <w:p w14:paraId="132DCA38" w14:textId="461AA078"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Монгол Улсын насжилт уртсаж улмаар хөдөлмөр эрхлэх иргэдийн тоо нэмэгдэж байгаа бөгөөд банк, санхүүгийн салбарын үйл ажиллааг зээлдэгчийн зээлийн мэдээлэл дээр суурилсан үнэлгээ, зэрэглэл тогтоох </w:t>
      </w:r>
      <w:r w:rsidR="00175543" w:rsidRPr="006A4151">
        <w:rPr>
          <w:rFonts w:ascii="Arial" w:hAnsi="Arial" w:cs="Arial"/>
          <w:sz w:val="24"/>
          <w:szCs w:val="24"/>
          <w:lang w:val="mn-MN"/>
        </w:rPr>
        <w:t xml:space="preserve">онооны </w:t>
      </w:r>
      <w:r w:rsidRPr="006A4151">
        <w:rPr>
          <w:rFonts w:ascii="Arial" w:hAnsi="Arial" w:cs="Arial"/>
          <w:sz w:val="24"/>
          <w:szCs w:val="24"/>
          <w:lang w:val="mn-MN"/>
        </w:rPr>
        <w:t>аргачлалыг баталж хэрэгжүүлснээр банк, санхүүгийн салбарын үйл ажиллагаа тухайн эдийн засаг, нийгмийн нөхцөл байдалтай уялдаж санхүүжилтийн хүртээмж, салбарын тогтвортой байдлыг хангахад чухал ач холбогдолтой юм.</w:t>
      </w:r>
    </w:p>
    <w:p w14:paraId="5EB394B8" w14:textId="77777777" w:rsidR="004857FC" w:rsidRPr="006A4151" w:rsidRDefault="004857FC" w:rsidP="00314B8D">
      <w:pPr>
        <w:spacing w:after="0" w:line="240" w:lineRule="auto"/>
        <w:jc w:val="both"/>
        <w:rPr>
          <w:rFonts w:ascii="Arial" w:hAnsi="Arial" w:cs="Arial"/>
          <w:sz w:val="24"/>
          <w:szCs w:val="24"/>
          <w:lang w:val="mn-MN"/>
        </w:rPr>
      </w:pPr>
    </w:p>
    <w:p w14:paraId="2A5D3089" w14:textId="77777777"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Төсвийн орлого нэмэгдэж төрийн албан хаагчдын цалинг нэмэгдүүлсэн бөгөөд ажиллах хүчний дотооддоо өрсөлдөх чадварыг сайжруулах чиглэлээр аж ахуйн нэгжүүд мэргэжлийн, ур чадвартай ажиллах хүчнийг өрсөлдөхүйц цалин, урамшууллаар татах тогтолцоо бий болсон. Харамсалтай нь нэг өрхийн дундаж орлого бусад нийгэм, эдийн засгийн өөрчлөлтүүдтэй уялдаж нэмэгдэхгүй байгаа нь өрхийн хуримтлал бага, зээлийн санхүүжилтээр хэрэглэлээ тэтгэх, өрхийн орлого, зардалд суурилсан банк, санхүүгийн үйлчилгээ, бүтээгдэхүүний хүртээмжийн асуудалтай холбоотой юм.  Тиймээс өрхийн орлого, зардалд суурилсан санхүүгийн үйлчилгээг сайжруулах шаардлагатай байна.  </w:t>
      </w:r>
    </w:p>
    <w:p w14:paraId="7DA81AFA" w14:textId="77777777" w:rsidR="004857FC" w:rsidRPr="006A4151" w:rsidRDefault="004857FC" w:rsidP="00314B8D">
      <w:pPr>
        <w:spacing w:after="0" w:line="240" w:lineRule="auto"/>
        <w:jc w:val="both"/>
        <w:rPr>
          <w:rFonts w:ascii="Arial" w:hAnsi="Arial" w:cs="Arial"/>
          <w:sz w:val="24"/>
          <w:szCs w:val="24"/>
          <w:lang w:val="mn-MN"/>
        </w:rPr>
      </w:pPr>
    </w:p>
    <w:p w14:paraId="351FEB1F" w14:textId="42740B4F"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Зээлдэгчийн зээлийн мэдээллийг санд төвлөрүүлэх нарийвчилсан зохицуулалт байгаа ч зээлдэгчийн зээлийн мэдээллийг ашиглаж зээлдэгчийн зээлжих чадварт үнэлгээ хийх </w:t>
      </w:r>
      <w:r w:rsidR="00175543"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эрх бүхий байгууллагаар батлуулах зохицуулалт байхгүй байна.  Эдийн засгийн өсөлт, хүн амын насны бүтэц, аж ахуйн нэгжийн үйл ажиллагааны цар хүрээнд нийцсэн банк, санхүүгийн салбарын бүтээгдэхүүн үйлчилгээг их өгөгдөл, тоон мэдээлэл болон зээлийн мэдээллийн санд хадалдагдаж буй зээлдэгчийн зээлийн мэдээлэлд үндэслэж гаргах учиртай. Зээлдэгчийн зээлжих чадварт зэрэглэл тогтоох асуудлыг эрх бүхий бодлого тодорхойлогч байгууллагаас баталж нэгдсэн арга, аргачлалтай болсноор үнэлгээнд суурилсан банк, санхүүгийн үйлчилгээ нэвтрүүлэх боломж бүрдэж салбарын өсөлтийг хадгалах, эдийн засгийн өсөлтийг нэмэгдүүлэх нөхцөлийг бүрдүүлэх боломжтой болно.   </w:t>
      </w:r>
    </w:p>
    <w:p w14:paraId="706AA848" w14:textId="77777777" w:rsidR="004857FC" w:rsidRPr="006A4151" w:rsidRDefault="004857FC" w:rsidP="00314B8D">
      <w:pPr>
        <w:spacing w:after="0" w:line="240" w:lineRule="auto"/>
        <w:jc w:val="both"/>
        <w:rPr>
          <w:rFonts w:ascii="Arial" w:hAnsi="Arial" w:cs="Arial"/>
          <w:sz w:val="24"/>
          <w:szCs w:val="24"/>
          <w:lang w:val="mn-MN"/>
        </w:rPr>
      </w:pPr>
    </w:p>
    <w:p w14:paraId="46C6D521" w14:textId="77777777"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Аж ахуйн нэгж, иргэдийн зээлийн үлдэгдлийн өөрчлөлтүүдийг авч үзвэл мөнгөний бодлого, эдийн засгийн төлөв байдлаас хамааран иргэдийн зээлийн үлдэгдлийн өсөлт аж ахуйн нэгжүүдэд олгосон зээлээс өндөр байх үеийг сүүлийн банк, санхүүгийн салбарын тоон үзүүлэлтүүдээс харах боломжтой бөгөөд энэ нь зээл, санхүүжилт олгох байгууллагын хүлээн зөвшөөрч болох эрсдэлийн түшинтэй хамааралтай юм. Эдийн засгийн тэлэлт явагддаг үед банк, санхүүгийн байгууллагууд хүлээн зөвшөөрч болох эрсдэлийнхээ хүрээнд аж ахуйн нэгжид </w:t>
      </w:r>
      <w:r w:rsidRPr="006A4151">
        <w:rPr>
          <w:rFonts w:ascii="Arial" w:hAnsi="Arial" w:cs="Arial"/>
          <w:sz w:val="24"/>
          <w:szCs w:val="24"/>
          <w:lang w:val="mn-MN"/>
        </w:rPr>
        <w:lastRenderedPageBreak/>
        <w:t xml:space="preserve">олгох зээл нэмэгдүүлдэг тул сүүлийн жилүүдэд банк бус санхүүгийн байгууллагын зээл, санхүүжилтийн үйл ажиллагаа өргөжсөн байна. </w:t>
      </w:r>
    </w:p>
    <w:p w14:paraId="59C90C60" w14:textId="77777777" w:rsidR="004857FC" w:rsidRPr="006A4151" w:rsidRDefault="004857FC" w:rsidP="00314B8D">
      <w:pPr>
        <w:spacing w:after="0" w:line="240" w:lineRule="auto"/>
        <w:jc w:val="both"/>
        <w:rPr>
          <w:rFonts w:ascii="Arial" w:hAnsi="Arial" w:cs="Arial"/>
          <w:sz w:val="24"/>
          <w:szCs w:val="24"/>
          <w:lang w:val="mn-MN"/>
        </w:rPr>
      </w:pPr>
    </w:p>
    <w:p w14:paraId="10ECB471" w14:textId="1A0C46EB"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Төрөөс хадгаламжийн даатгалын хууль баталж, банкин дахь иргэд, байгууллагын хадгаламжийг 100 хувь хариуцахаар баталгаа гаргасан нь банкнуудын зээлийн үйл ажиллагаанд учирч болзошгүй эрсдэлээс сэргийлэх арга хэмжээ байсан боловч илүү эх өгөгдөл, мэдээллийн технологийн хөгжил, дэвшилд суурилсан тогтолцоогоор хэрэгжүүлэх шаардлагатай байна.</w:t>
      </w:r>
      <w:r w:rsidR="009446F2" w:rsidRPr="006A4151">
        <w:rPr>
          <w:rFonts w:ascii="Arial" w:hAnsi="Arial" w:cs="Arial"/>
          <w:sz w:val="24"/>
          <w:szCs w:val="24"/>
          <w:lang w:val="mn-MN"/>
        </w:rPr>
        <w:t xml:space="preserve"> </w:t>
      </w:r>
      <w:r w:rsidRPr="006A4151">
        <w:rPr>
          <w:rFonts w:ascii="Arial" w:hAnsi="Arial" w:cs="Arial"/>
          <w:sz w:val="24"/>
          <w:szCs w:val="24"/>
          <w:lang w:val="mn-MN"/>
        </w:rPr>
        <w:t xml:space="preserve">Үүний нэг жишээ бол зээлийн мэдээллийн санд хадгалагдаж буй зээлдэгчийн зээлийн мэдээллийг нэгтгэн, үнэлгэх, зэрэглэл тогтоож эрсдэлийн үнэлгээнд суурилсан зээлийн бүтээгдэхүүнийг бий болгож зээлийн эргэн төлөлтийн найдвартай байдлыг хангаснаар хадгаламж эзэмшигчдийн мөнгөн хөрөнгийг эрсдэлгүй  байлгах боломжийг бүрдүүлнэ. </w:t>
      </w:r>
    </w:p>
    <w:p w14:paraId="63D3064D" w14:textId="77777777" w:rsidR="004857FC" w:rsidRPr="006A4151" w:rsidRDefault="004857FC" w:rsidP="00314B8D">
      <w:pPr>
        <w:spacing w:after="0" w:line="240" w:lineRule="auto"/>
        <w:ind w:firstLine="720"/>
        <w:jc w:val="both"/>
        <w:rPr>
          <w:rFonts w:ascii="Arial" w:hAnsi="Arial" w:cs="Arial"/>
          <w:sz w:val="24"/>
          <w:szCs w:val="24"/>
          <w:lang w:val="mn-MN"/>
        </w:rPr>
      </w:pPr>
    </w:p>
    <w:p w14:paraId="31A59B1B" w14:textId="77777777"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Олон улсад хадгаламжийн даатгалын байгууллагаас гадна зээл, санхүүжилтийн үйл ажиллагааг хянах, оролцогч талуудын эрх, ашгийг хангуулах бодлогын байгууллагууд байдаг. Энэхүү байгууллагуудын чиг үүрэгт тухайн улсын хууль, тогтоомжид нийцүүлсэн өөрсдийн гэсэн зээлжих зэрэглэл тогтоох бодлого хэрэгжүүлэн ажилладаг байна. </w:t>
      </w:r>
    </w:p>
    <w:p w14:paraId="393C1A33" w14:textId="77777777" w:rsidR="004857FC" w:rsidRPr="006A4151" w:rsidRDefault="004857FC" w:rsidP="00314B8D">
      <w:pPr>
        <w:spacing w:after="0" w:line="240" w:lineRule="auto"/>
        <w:jc w:val="both"/>
        <w:rPr>
          <w:rFonts w:ascii="Arial" w:hAnsi="Arial" w:cs="Arial"/>
          <w:sz w:val="24"/>
          <w:szCs w:val="24"/>
          <w:lang w:val="mn-MN"/>
        </w:rPr>
      </w:pPr>
    </w:p>
    <w:p w14:paraId="51C5E3A1" w14:textId="77777777" w:rsidR="004857FC" w:rsidRPr="006A4151" w:rsidRDefault="004857FC"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Олон улсын зээлжих зэрэглэл тогтоох аргачлалыг батлах төрийн агентлагууд:</w:t>
      </w:r>
    </w:p>
    <w:tbl>
      <w:tblPr>
        <w:tblStyle w:val="TableGrid"/>
        <w:tblW w:w="0" w:type="auto"/>
        <w:tblInd w:w="108" w:type="dxa"/>
        <w:tblLook w:val="04A0" w:firstRow="1" w:lastRow="0" w:firstColumn="1" w:lastColumn="0" w:noHBand="0" w:noVBand="1"/>
      </w:tblPr>
      <w:tblGrid>
        <w:gridCol w:w="1417"/>
        <w:gridCol w:w="5490"/>
        <w:gridCol w:w="1980"/>
      </w:tblGrid>
      <w:tr w:rsidR="004857FC" w:rsidRPr="006A4151" w14:paraId="2A9458B6" w14:textId="77777777" w:rsidTr="001A49AC">
        <w:tc>
          <w:tcPr>
            <w:tcW w:w="1417" w:type="dxa"/>
          </w:tcPr>
          <w:p w14:paraId="2FBA6DCF"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Улс</w:t>
            </w:r>
          </w:p>
        </w:tc>
        <w:tc>
          <w:tcPr>
            <w:tcW w:w="5490" w:type="dxa"/>
          </w:tcPr>
          <w:p w14:paraId="1E135B45"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Байгууллагын нэр</w:t>
            </w:r>
          </w:p>
        </w:tc>
        <w:tc>
          <w:tcPr>
            <w:tcW w:w="1980" w:type="dxa"/>
          </w:tcPr>
          <w:p w14:paraId="67A11AF7"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Өмчийн хэлбэр</w:t>
            </w:r>
          </w:p>
        </w:tc>
      </w:tr>
      <w:tr w:rsidR="004857FC" w:rsidRPr="006A4151" w14:paraId="2353A5EA" w14:textId="77777777" w:rsidTr="001A49AC">
        <w:tc>
          <w:tcPr>
            <w:tcW w:w="1417" w:type="dxa"/>
          </w:tcPr>
          <w:p w14:paraId="181C15F0"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АНУ</w:t>
            </w:r>
          </w:p>
        </w:tc>
        <w:tc>
          <w:tcPr>
            <w:tcW w:w="5490" w:type="dxa"/>
          </w:tcPr>
          <w:p w14:paraId="0882472C"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Consumer Financial Protection Bureau (CFPD), Federal Trade Commission (FTC)</w:t>
            </w:r>
          </w:p>
        </w:tc>
        <w:tc>
          <w:tcPr>
            <w:tcW w:w="1980" w:type="dxa"/>
          </w:tcPr>
          <w:p w14:paraId="08F11231"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4C7B8294" w14:textId="77777777" w:rsidTr="001A49AC">
        <w:tc>
          <w:tcPr>
            <w:tcW w:w="1417" w:type="dxa"/>
          </w:tcPr>
          <w:p w14:paraId="5B10B9C1"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Их британи</w:t>
            </w:r>
          </w:p>
        </w:tc>
        <w:tc>
          <w:tcPr>
            <w:tcW w:w="5490" w:type="dxa"/>
          </w:tcPr>
          <w:p w14:paraId="2BB30059"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The Financial Conduct Authority (FCA)</w:t>
            </w:r>
          </w:p>
        </w:tc>
        <w:tc>
          <w:tcPr>
            <w:tcW w:w="1980" w:type="dxa"/>
          </w:tcPr>
          <w:p w14:paraId="0D212B01"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4ACDD532" w14:textId="77777777" w:rsidTr="001A49AC">
        <w:tc>
          <w:tcPr>
            <w:tcW w:w="1417" w:type="dxa"/>
          </w:tcPr>
          <w:p w14:paraId="394D50F7"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Канад</w:t>
            </w:r>
          </w:p>
        </w:tc>
        <w:tc>
          <w:tcPr>
            <w:tcW w:w="5490" w:type="dxa"/>
          </w:tcPr>
          <w:p w14:paraId="6627EE77"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Financial Consumer Agency of Canada</w:t>
            </w:r>
          </w:p>
        </w:tc>
        <w:tc>
          <w:tcPr>
            <w:tcW w:w="1980" w:type="dxa"/>
          </w:tcPr>
          <w:p w14:paraId="24F44A29"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2092DD5C" w14:textId="77777777" w:rsidTr="001A49AC">
        <w:trPr>
          <w:trHeight w:val="98"/>
        </w:trPr>
        <w:tc>
          <w:tcPr>
            <w:tcW w:w="1417" w:type="dxa"/>
          </w:tcPr>
          <w:p w14:paraId="5578B1E2"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Австралиа</w:t>
            </w:r>
          </w:p>
        </w:tc>
        <w:tc>
          <w:tcPr>
            <w:tcW w:w="5490" w:type="dxa"/>
          </w:tcPr>
          <w:p w14:paraId="124D1953"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 xml:space="preserve">Australian Securities and Investments Commission </w:t>
            </w:r>
          </w:p>
        </w:tc>
        <w:tc>
          <w:tcPr>
            <w:tcW w:w="1980" w:type="dxa"/>
          </w:tcPr>
          <w:p w14:paraId="32D1400C"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6C9D7DCA" w14:textId="77777777" w:rsidTr="001A49AC">
        <w:tc>
          <w:tcPr>
            <w:tcW w:w="1417" w:type="dxa"/>
          </w:tcPr>
          <w:p w14:paraId="3D42D376"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 xml:space="preserve">Герман </w:t>
            </w:r>
          </w:p>
        </w:tc>
        <w:tc>
          <w:tcPr>
            <w:tcW w:w="5490" w:type="dxa"/>
          </w:tcPr>
          <w:p w14:paraId="47B722D2"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Federal Financial Financial Supervisory Authority</w:t>
            </w:r>
          </w:p>
        </w:tc>
        <w:tc>
          <w:tcPr>
            <w:tcW w:w="1980" w:type="dxa"/>
          </w:tcPr>
          <w:p w14:paraId="57BF9AAB"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56948639" w14:textId="77777777" w:rsidTr="001A49AC">
        <w:tc>
          <w:tcPr>
            <w:tcW w:w="1417" w:type="dxa"/>
          </w:tcPr>
          <w:p w14:paraId="70EFAF42"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Энэтхэг</w:t>
            </w:r>
          </w:p>
        </w:tc>
        <w:tc>
          <w:tcPr>
            <w:tcW w:w="5490" w:type="dxa"/>
          </w:tcPr>
          <w:p w14:paraId="36236100"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Credit Information Bureau</w:t>
            </w:r>
          </w:p>
        </w:tc>
        <w:tc>
          <w:tcPr>
            <w:tcW w:w="1980" w:type="dxa"/>
          </w:tcPr>
          <w:p w14:paraId="064D17BE"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4857FC" w:rsidRPr="006A4151" w14:paraId="516D20ED" w14:textId="77777777" w:rsidTr="001A49AC">
        <w:tc>
          <w:tcPr>
            <w:tcW w:w="1417" w:type="dxa"/>
          </w:tcPr>
          <w:p w14:paraId="1AEE2D5F"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Япон</w:t>
            </w:r>
          </w:p>
        </w:tc>
        <w:tc>
          <w:tcPr>
            <w:tcW w:w="5490" w:type="dxa"/>
          </w:tcPr>
          <w:p w14:paraId="3E4F683C" w14:textId="77777777" w:rsidR="004857FC" w:rsidRPr="006A4151" w:rsidRDefault="004857FC" w:rsidP="00314B8D">
            <w:pPr>
              <w:jc w:val="both"/>
              <w:rPr>
                <w:rFonts w:ascii="Arial" w:hAnsi="Arial" w:cs="Arial"/>
                <w:sz w:val="24"/>
                <w:szCs w:val="24"/>
                <w:lang w:val="mn-MN"/>
              </w:rPr>
            </w:pPr>
            <w:r w:rsidRPr="006A4151">
              <w:rPr>
                <w:rFonts w:ascii="Arial" w:hAnsi="Arial" w:cs="Arial"/>
                <w:sz w:val="24"/>
                <w:szCs w:val="24"/>
                <w:lang w:val="mn-MN"/>
              </w:rPr>
              <w:t>Financial Services Agency</w:t>
            </w:r>
          </w:p>
        </w:tc>
        <w:tc>
          <w:tcPr>
            <w:tcW w:w="1980" w:type="dxa"/>
          </w:tcPr>
          <w:p w14:paraId="075E8DA8" w14:textId="77777777" w:rsidR="004857FC" w:rsidRPr="006A4151" w:rsidRDefault="004857FC"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bl>
    <w:p w14:paraId="6294F518" w14:textId="77777777" w:rsidR="004857FC" w:rsidRPr="006A4151" w:rsidRDefault="004857FC"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 xml:space="preserve">Эх сурвалж: Дээрх төрийн агентлагуудын цахим хуудас  </w:t>
      </w:r>
    </w:p>
    <w:p w14:paraId="078B8120" w14:textId="77777777" w:rsidR="004857FC" w:rsidRPr="006A4151" w:rsidRDefault="004857FC" w:rsidP="00314B8D">
      <w:pPr>
        <w:spacing w:after="0" w:line="240" w:lineRule="auto"/>
        <w:ind w:firstLine="720"/>
        <w:jc w:val="both"/>
        <w:rPr>
          <w:rFonts w:ascii="Arial" w:hAnsi="Arial" w:cs="Arial"/>
          <w:sz w:val="24"/>
          <w:szCs w:val="24"/>
          <w:lang w:val="mn-MN"/>
        </w:rPr>
      </w:pPr>
    </w:p>
    <w:p w14:paraId="0DE54F37" w14:textId="77777777"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Олон улсын жишгээр бодлого тодорхойлогч байгууллагууд нь зээлдэгчийн зэрэглэл тогтоох бодлого, аргачлал баталж, хэрэгжилтийг хянадаг буюу нэгдсэн бодлогоор зээлийн эргэн төлөлтийн байдал, зээл эрсдэлд орсон шалтгаан болон бусад зээлдэгчийн онцлогоос хамааран хэрхэн зээлдэгчийн үнэлгээг тогтоох аргачлал баталдаг байна. </w:t>
      </w:r>
    </w:p>
    <w:p w14:paraId="311CB95D" w14:textId="77777777" w:rsidR="004857FC" w:rsidRPr="006A4151" w:rsidRDefault="004857FC" w:rsidP="00314B8D">
      <w:pPr>
        <w:spacing w:after="0" w:line="240" w:lineRule="auto"/>
        <w:jc w:val="both"/>
        <w:rPr>
          <w:rFonts w:ascii="Arial" w:hAnsi="Arial" w:cs="Arial"/>
          <w:sz w:val="24"/>
          <w:szCs w:val="24"/>
          <w:lang w:val="mn-MN"/>
        </w:rPr>
      </w:pPr>
    </w:p>
    <w:p w14:paraId="35FFEA18" w14:textId="054EBFDA" w:rsidR="004857FC" w:rsidRPr="006A4151" w:rsidRDefault="004857FC"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Хуулийн нэмэлт, өөрчлөлтийн төсөл батлагдсанаар банк, санхүүгийн үйлчилгээний хүртээмжийг нэмэгдүүлэх, эрсдэлийн үнэлгээ, удирдлагад суурилсан үйл ажиллагаа сайжирч, зээл, санхүүжилт нэмэгдэх нөхцөл бүрдүүлнэ. Нэг талаас зээлдүүлэгч эрсдэлгүй, зөв шийдвэрийг шуурхай гаргах боломжтой болж, банк, санхүүгийн салбарын хугацаа хэтэрсэн, чанаргүй зээлийн хэмжээ буурах ба нөгөө талаас зээлдэгч өөрийн зээлийн түүхийг хянан удирдаж, санхүүгийн менежментээ зөв хийж эхлэх ба санхүүгийн сахилга хариуцлага сайжрах юм.</w:t>
      </w:r>
      <w:r w:rsidR="009E3AB3" w:rsidRPr="006A4151">
        <w:rPr>
          <w:rFonts w:ascii="Arial" w:hAnsi="Arial" w:cs="Arial"/>
          <w:sz w:val="24"/>
          <w:szCs w:val="24"/>
          <w:lang w:val="mn-MN"/>
        </w:rPr>
        <w:t xml:space="preserve"> З</w:t>
      </w:r>
      <w:r w:rsidRPr="006A4151">
        <w:rPr>
          <w:rFonts w:ascii="Arial" w:hAnsi="Arial" w:cs="Arial"/>
          <w:sz w:val="24"/>
          <w:szCs w:val="24"/>
          <w:lang w:val="mn-MN"/>
        </w:rPr>
        <w:t xml:space="preserve">ээлдэгчийн зээлжих чадварт зэрэглэл тогтоох </w:t>
      </w:r>
      <w:r w:rsidR="003A2F4E" w:rsidRPr="006A4151">
        <w:rPr>
          <w:rFonts w:ascii="Arial" w:hAnsi="Arial" w:cs="Arial"/>
          <w:sz w:val="24"/>
          <w:szCs w:val="24"/>
          <w:lang w:val="mn-MN"/>
        </w:rPr>
        <w:t xml:space="preserve">онооны </w:t>
      </w:r>
      <w:r w:rsidRPr="006A4151">
        <w:rPr>
          <w:rFonts w:ascii="Arial" w:hAnsi="Arial" w:cs="Arial"/>
          <w:sz w:val="24"/>
          <w:szCs w:val="24"/>
          <w:lang w:val="mn-MN"/>
        </w:rPr>
        <w:t>аргачлалыг Монголбанк баталж зээлдэгчийн мэдээллийн зээлийн лавлагаанд тусгах хугацааг зургаа хүртэлх жил болгосноор дараа ач холбогдолтой:</w:t>
      </w:r>
    </w:p>
    <w:p w14:paraId="35C4753C" w14:textId="77777777" w:rsidR="004857FC" w:rsidRPr="006A4151" w:rsidRDefault="004857FC" w:rsidP="00314B8D">
      <w:pPr>
        <w:spacing w:after="0" w:line="240" w:lineRule="auto"/>
        <w:jc w:val="both"/>
        <w:rPr>
          <w:rFonts w:ascii="Arial" w:hAnsi="Arial" w:cs="Arial"/>
          <w:sz w:val="24"/>
          <w:szCs w:val="24"/>
          <w:lang w:val="mn-MN"/>
        </w:rPr>
      </w:pPr>
    </w:p>
    <w:p w14:paraId="4CD24275" w14:textId="77777777" w:rsidR="004857FC" w:rsidRPr="006A4151" w:rsidRDefault="004857FC"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Зээлийн мэдээллийг ашиглан зээлдэгчийн зээлжих зэрэглэл тогтоох нэгдсэн аргачлал, журамтай болно;</w:t>
      </w:r>
    </w:p>
    <w:p w14:paraId="394C5D2B" w14:textId="77777777" w:rsidR="004857FC" w:rsidRPr="006A4151" w:rsidRDefault="004857FC"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Зээлийн эрсдэлийг удирдах нэгдсэн систем, бүтэц бий болно;</w:t>
      </w:r>
    </w:p>
    <w:p w14:paraId="419F0C38" w14:textId="77777777" w:rsidR="004857FC" w:rsidRPr="006A4151" w:rsidRDefault="004857FC"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Их өгөгдөл буюу зээлийн мэдээллийн санд хадгалагдаж буй мэдээллийг ашиглан зээлжих зэрэглэлд хамаарах банк, санхүүгийн бүтээгдэхүүн үйлчилгээ нэвтрүүлэх боломжтой;</w:t>
      </w:r>
    </w:p>
    <w:p w14:paraId="0DA492C5" w14:textId="77777777" w:rsidR="004857FC" w:rsidRPr="006A4151" w:rsidRDefault="004857FC"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Банк, санхүүгийн салбарын оролцогч талуудын санхүүгийн сахилга батыг дээшлүүлэх нөхцөлийг бүрдүүлнэ.</w:t>
      </w:r>
    </w:p>
    <w:p w14:paraId="7D9F3B8C" w14:textId="77777777" w:rsidR="004857FC" w:rsidRPr="006A4151" w:rsidRDefault="004857FC" w:rsidP="00314B8D">
      <w:pPr>
        <w:spacing w:after="0" w:line="240" w:lineRule="auto"/>
        <w:jc w:val="both"/>
        <w:rPr>
          <w:rFonts w:ascii="Arial" w:hAnsi="Arial" w:cs="Arial"/>
          <w:sz w:val="24"/>
          <w:szCs w:val="24"/>
          <w:lang w:val="mn-MN"/>
        </w:rPr>
      </w:pPr>
    </w:p>
    <w:p w14:paraId="144FB70B" w14:textId="77777777" w:rsidR="002B46C9" w:rsidRPr="006A4151" w:rsidRDefault="004857FC" w:rsidP="002B46C9">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Зээлийн мэдээллийн тухай хуульд нэмэлт өөрчлөлт оруулах тухай хуулиар зээлийн мэдээллийн санд хадгалагдаж буй зээлдэгчийн зээлийн мэдээллийг зээлжих зэрэглэл тогтооход ашиглах, зээлдэгчийн зээлжих зэрэглэл тогтоох </w:t>
      </w:r>
      <w:r w:rsidR="00B771BF"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эрх бүхий бодлого тодорхойлогч байгууллагаар батлуулснаар </w:t>
      </w:r>
      <w:r w:rsidR="002B46C9" w:rsidRPr="006A4151">
        <w:rPr>
          <w:rFonts w:ascii="Arial" w:hAnsi="Arial" w:cs="Arial"/>
          <w:sz w:val="24"/>
          <w:szCs w:val="24"/>
          <w:lang w:val="mn-MN"/>
        </w:rPr>
        <w:t xml:space="preserve">эрсдэлийн үнэлгээнд суурилсан үйлчилгээг нэвтрүүлж банк, санхүүгийн салбарын үйлчилгээний хүртээмжийг нэмэгдүүлэх нөхцөлийг бүрдүүлнэ.   </w:t>
      </w:r>
    </w:p>
    <w:p w14:paraId="74E5023B" w14:textId="77777777" w:rsidR="00291CBD" w:rsidRPr="006A4151" w:rsidRDefault="00291CBD" w:rsidP="00AB0C43">
      <w:pPr>
        <w:spacing w:after="0" w:line="240" w:lineRule="auto"/>
        <w:ind w:firstLine="720"/>
        <w:jc w:val="both"/>
        <w:rPr>
          <w:rFonts w:ascii="Arial" w:hAnsi="Arial" w:cs="Arial"/>
          <w:sz w:val="24"/>
          <w:szCs w:val="24"/>
          <w:lang w:val="mn-MN"/>
        </w:rPr>
      </w:pPr>
    </w:p>
    <w:p w14:paraId="27D7CC76" w14:textId="487B6A3B" w:rsidR="002E12BA" w:rsidRPr="006A4151" w:rsidRDefault="002E12BA" w:rsidP="002E12BA">
      <w:pPr>
        <w:spacing w:after="0" w:line="240" w:lineRule="auto"/>
        <w:ind w:right="4" w:firstLine="720"/>
        <w:jc w:val="both"/>
        <w:rPr>
          <w:rFonts w:ascii="Arial" w:hAnsi="Arial" w:cs="Arial"/>
          <w:sz w:val="24"/>
          <w:szCs w:val="24"/>
          <w:lang w:val="mn-MN"/>
        </w:rPr>
      </w:pPr>
      <w:r w:rsidRPr="006A4151">
        <w:rPr>
          <w:rFonts w:ascii="Arial" w:hAnsi="Arial" w:cs="Arial"/>
          <w:sz w:val="24"/>
          <w:szCs w:val="24"/>
          <w:lang w:val="mn-MN"/>
        </w:rPr>
        <w:t xml:space="preserve">Хуулийн төсөл батлагдсанаар Монголбанканд зээлжих чадварын зэрэглэлийг тогтоох онооны аргачлал, журам батлах үүрэг хүлээлгэх зохицуулалт тусгаж байгаа хэдий ч </w:t>
      </w:r>
      <w:r w:rsidRPr="006A4151">
        <w:rPr>
          <w:rFonts w:ascii="Arial" w:eastAsiaTheme="minorEastAsia" w:hAnsi="Arial" w:cs="Arial"/>
          <w:bCs/>
          <w:sz w:val="24"/>
          <w:szCs w:val="24"/>
          <w:lang w:val="mn-MN"/>
        </w:rPr>
        <w:t xml:space="preserve">улсын төсөвт нэмэлт зардал тусгах </w:t>
      </w:r>
      <w:bookmarkStart w:id="0" w:name="_Hlk181019613"/>
      <w:r w:rsidR="007E7462" w:rsidRPr="006A4151">
        <w:rPr>
          <w:rFonts w:ascii="Arial" w:eastAsiaTheme="minorEastAsia" w:hAnsi="Arial" w:cs="Arial"/>
          <w:bCs/>
          <w:sz w:val="24"/>
          <w:szCs w:val="24"/>
          <w:lang w:val="mn-MN"/>
        </w:rPr>
        <w:t>шаардлагагүй</w:t>
      </w:r>
      <w:bookmarkEnd w:id="0"/>
      <w:r w:rsidRPr="006A4151">
        <w:rPr>
          <w:rFonts w:ascii="Arial" w:eastAsiaTheme="minorEastAsia" w:hAnsi="Arial" w:cs="Arial"/>
          <w:bCs/>
          <w:sz w:val="24"/>
          <w:szCs w:val="24"/>
          <w:lang w:val="mn-MN"/>
        </w:rPr>
        <w:t xml:space="preserve"> болно. </w:t>
      </w:r>
    </w:p>
    <w:p w14:paraId="3760E0F8" w14:textId="77777777" w:rsidR="00E73E31" w:rsidRPr="006A4151" w:rsidRDefault="00E73E31" w:rsidP="00D75554">
      <w:pPr>
        <w:spacing w:after="0" w:line="240" w:lineRule="auto"/>
        <w:ind w:firstLine="720"/>
        <w:jc w:val="both"/>
        <w:rPr>
          <w:rFonts w:ascii="Arial" w:hAnsi="Arial" w:cs="Arial"/>
          <w:sz w:val="24"/>
          <w:szCs w:val="24"/>
          <w:lang w:val="mn-MN"/>
        </w:rPr>
      </w:pPr>
    </w:p>
    <w:p w14:paraId="0C305681" w14:textId="3E500E81" w:rsidR="00FD4E33" w:rsidRPr="006A4151" w:rsidRDefault="00D75554" w:rsidP="00D75554">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Хууль тогтоомжийн тухай хуулийн 8 дугаар зүйлд заасны дагуу олон нийт</w:t>
      </w:r>
      <w:r w:rsidR="00D3398B" w:rsidRPr="006A4151">
        <w:rPr>
          <w:rFonts w:ascii="Arial" w:hAnsi="Arial" w:cs="Arial"/>
          <w:sz w:val="24"/>
          <w:szCs w:val="24"/>
          <w:lang w:val="mn-MN"/>
        </w:rPr>
        <w:t xml:space="preserve">, </w:t>
      </w:r>
      <w:r w:rsidRPr="006A4151">
        <w:rPr>
          <w:rFonts w:ascii="Arial" w:hAnsi="Arial" w:cs="Arial"/>
          <w:sz w:val="24"/>
          <w:szCs w:val="24"/>
          <w:lang w:val="mn-MN"/>
        </w:rPr>
        <w:t>Засгийн газраас санал авч</w:t>
      </w:r>
      <w:r w:rsidR="008D0BE9" w:rsidRPr="006A4151">
        <w:rPr>
          <w:rFonts w:ascii="Arial" w:hAnsi="Arial" w:cs="Arial"/>
          <w:sz w:val="24"/>
          <w:szCs w:val="24"/>
          <w:lang w:val="mn-MN"/>
        </w:rPr>
        <w:t xml:space="preserve"> </w:t>
      </w:r>
      <w:r w:rsidR="001F6363" w:rsidRPr="006A4151">
        <w:rPr>
          <w:rFonts w:ascii="Arial" w:hAnsi="Arial" w:cs="Arial"/>
          <w:sz w:val="24"/>
          <w:szCs w:val="24"/>
          <w:lang w:val="mn-MN"/>
        </w:rPr>
        <w:t xml:space="preserve">ирсэн </w:t>
      </w:r>
      <w:r w:rsidR="001A3DFD" w:rsidRPr="006A4151">
        <w:rPr>
          <w:rFonts w:ascii="Arial" w:hAnsi="Arial" w:cs="Arial"/>
          <w:sz w:val="24"/>
          <w:szCs w:val="24"/>
          <w:lang w:val="mn-MN"/>
        </w:rPr>
        <w:t xml:space="preserve">саналыг </w:t>
      </w:r>
      <w:r w:rsidRPr="006A4151">
        <w:rPr>
          <w:rFonts w:ascii="Arial" w:hAnsi="Arial" w:cs="Arial"/>
          <w:sz w:val="24"/>
          <w:szCs w:val="24"/>
          <w:lang w:val="mn-MN"/>
        </w:rPr>
        <w:t>Зээлийн мэдээллийн тухай хуульд нэмэлт, өөрчлөлт оруулах тухай хуулийн төсөл болон авах зарим арга хэмжээний Улсын Их Хурлын тогтоолын төсөлд</w:t>
      </w:r>
      <w:r w:rsidR="008D0BE9" w:rsidRPr="006A4151">
        <w:rPr>
          <w:rFonts w:ascii="Arial" w:hAnsi="Arial" w:cs="Arial"/>
          <w:sz w:val="24"/>
          <w:szCs w:val="24"/>
          <w:lang w:val="mn-MN"/>
        </w:rPr>
        <w:t xml:space="preserve"> </w:t>
      </w:r>
      <w:r w:rsidRPr="006A4151">
        <w:rPr>
          <w:rFonts w:ascii="Arial" w:hAnsi="Arial" w:cs="Arial"/>
          <w:sz w:val="24"/>
          <w:szCs w:val="24"/>
          <w:lang w:val="mn-MN"/>
        </w:rPr>
        <w:t>тусгасан болно.</w:t>
      </w:r>
    </w:p>
    <w:p w14:paraId="746257DE" w14:textId="77777777" w:rsidR="004857FC" w:rsidRPr="006A4151" w:rsidRDefault="004857FC" w:rsidP="00314B8D">
      <w:pPr>
        <w:spacing w:after="0" w:line="240" w:lineRule="auto"/>
        <w:jc w:val="center"/>
        <w:rPr>
          <w:rFonts w:ascii="Arial" w:hAnsi="Arial" w:cs="Arial"/>
          <w:sz w:val="24"/>
          <w:szCs w:val="24"/>
          <w:lang w:val="mn-MN"/>
        </w:rPr>
      </w:pPr>
    </w:p>
    <w:p w14:paraId="27A90A9A" w14:textId="77777777" w:rsidR="00782466" w:rsidRPr="006A4151" w:rsidRDefault="00782466" w:rsidP="00782466">
      <w:pPr>
        <w:spacing w:after="0" w:line="240" w:lineRule="auto"/>
        <w:jc w:val="center"/>
        <w:rPr>
          <w:rFonts w:ascii="Arial" w:hAnsi="Arial" w:cs="Arial"/>
          <w:sz w:val="24"/>
          <w:szCs w:val="24"/>
          <w:lang w:val="mn-MN"/>
        </w:rPr>
      </w:pPr>
      <w:r w:rsidRPr="006A4151">
        <w:rPr>
          <w:rFonts w:ascii="Arial" w:hAnsi="Arial" w:cs="Arial"/>
          <w:sz w:val="24"/>
          <w:szCs w:val="24"/>
          <w:lang w:val="mn-MN"/>
        </w:rPr>
        <w:t>ХУУЛЬ САНААЧЛАГЧ</w:t>
      </w:r>
    </w:p>
    <w:p w14:paraId="21443BCC" w14:textId="77777777" w:rsidR="00782466" w:rsidRPr="006A4151" w:rsidRDefault="00782466" w:rsidP="00314B8D">
      <w:pPr>
        <w:spacing w:after="0" w:line="240" w:lineRule="auto"/>
        <w:jc w:val="center"/>
        <w:rPr>
          <w:rFonts w:ascii="Arial" w:hAnsi="Arial" w:cs="Arial"/>
          <w:sz w:val="24"/>
          <w:szCs w:val="24"/>
          <w:lang w:val="mn-MN"/>
        </w:rPr>
      </w:pPr>
    </w:p>
    <w:p w14:paraId="3A49A530" w14:textId="77777777" w:rsidR="004857FC" w:rsidRPr="006A4151" w:rsidRDefault="004857FC" w:rsidP="00314B8D">
      <w:pPr>
        <w:spacing w:after="0" w:line="240" w:lineRule="auto"/>
        <w:jc w:val="center"/>
        <w:rPr>
          <w:rFonts w:ascii="Arial" w:hAnsi="Arial" w:cs="Arial"/>
          <w:b/>
          <w:bCs/>
          <w:sz w:val="24"/>
          <w:szCs w:val="24"/>
          <w:lang w:val="mn-MN"/>
        </w:rPr>
      </w:pPr>
    </w:p>
    <w:p w14:paraId="2945FA39" w14:textId="77777777" w:rsidR="004857FC" w:rsidRPr="006A4151" w:rsidRDefault="004857FC" w:rsidP="00314B8D">
      <w:pPr>
        <w:spacing w:after="0" w:line="240" w:lineRule="auto"/>
        <w:jc w:val="center"/>
        <w:rPr>
          <w:rFonts w:ascii="Arial" w:hAnsi="Arial" w:cs="Arial"/>
          <w:b/>
          <w:bCs/>
          <w:sz w:val="24"/>
          <w:szCs w:val="24"/>
          <w:lang w:val="mn-MN"/>
        </w:rPr>
      </w:pPr>
    </w:p>
    <w:p w14:paraId="361A2C58" w14:textId="77777777" w:rsidR="004857FC" w:rsidRPr="006A4151" w:rsidRDefault="004857FC" w:rsidP="00314B8D">
      <w:pPr>
        <w:spacing w:after="0" w:line="240" w:lineRule="auto"/>
        <w:jc w:val="center"/>
        <w:rPr>
          <w:rFonts w:ascii="Arial" w:hAnsi="Arial" w:cs="Arial"/>
          <w:b/>
          <w:bCs/>
          <w:sz w:val="24"/>
          <w:szCs w:val="24"/>
          <w:lang w:val="mn-MN"/>
        </w:rPr>
      </w:pPr>
    </w:p>
    <w:p w14:paraId="6F14497E" w14:textId="77777777" w:rsidR="004857FC" w:rsidRPr="006A4151" w:rsidRDefault="004857FC" w:rsidP="00314B8D">
      <w:pPr>
        <w:spacing w:after="0" w:line="240" w:lineRule="auto"/>
        <w:jc w:val="center"/>
        <w:rPr>
          <w:rFonts w:ascii="Arial" w:hAnsi="Arial" w:cs="Arial"/>
          <w:b/>
          <w:bCs/>
          <w:sz w:val="24"/>
          <w:szCs w:val="24"/>
          <w:lang w:val="mn-MN"/>
        </w:rPr>
      </w:pPr>
    </w:p>
    <w:p w14:paraId="58869BFF" w14:textId="77777777" w:rsidR="004857FC" w:rsidRPr="006A4151" w:rsidRDefault="004857FC" w:rsidP="00314B8D">
      <w:pPr>
        <w:spacing w:after="0" w:line="240" w:lineRule="auto"/>
        <w:jc w:val="center"/>
        <w:rPr>
          <w:rFonts w:ascii="Arial" w:hAnsi="Arial" w:cs="Arial"/>
          <w:b/>
          <w:bCs/>
          <w:sz w:val="24"/>
          <w:szCs w:val="24"/>
          <w:lang w:val="mn-MN"/>
        </w:rPr>
      </w:pPr>
    </w:p>
    <w:p w14:paraId="1C18AFBB" w14:textId="77777777" w:rsidR="004857FC" w:rsidRPr="006A4151" w:rsidRDefault="004857FC" w:rsidP="00314B8D">
      <w:pPr>
        <w:spacing w:after="0" w:line="240" w:lineRule="auto"/>
        <w:jc w:val="center"/>
        <w:rPr>
          <w:rFonts w:ascii="Arial" w:hAnsi="Arial" w:cs="Arial"/>
          <w:b/>
          <w:bCs/>
          <w:sz w:val="24"/>
          <w:szCs w:val="24"/>
          <w:lang w:val="mn-MN"/>
        </w:rPr>
      </w:pPr>
    </w:p>
    <w:p w14:paraId="60310FF3" w14:textId="77777777" w:rsidR="004857FC" w:rsidRPr="006A4151" w:rsidRDefault="004857FC" w:rsidP="00314B8D">
      <w:pPr>
        <w:spacing w:after="0" w:line="240" w:lineRule="auto"/>
        <w:jc w:val="center"/>
        <w:rPr>
          <w:rFonts w:ascii="Arial" w:hAnsi="Arial" w:cs="Arial"/>
          <w:b/>
          <w:bCs/>
          <w:sz w:val="24"/>
          <w:szCs w:val="24"/>
          <w:lang w:val="mn-MN"/>
        </w:rPr>
      </w:pPr>
    </w:p>
    <w:p w14:paraId="3E9229F2" w14:textId="77777777" w:rsidR="004857FC" w:rsidRPr="006A4151" w:rsidRDefault="004857FC" w:rsidP="00314B8D">
      <w:pPr>
        <w:spacing w:after="0" w:line="240" w:lineRule="auto"/>
        <w:jc w:val="center"/>
        <w:rPr>
          <w:rFonts w:ascii="Arial" w:hAnsi="Arial" w:cs="Arial"/>
          <w:b/>
          <w:bCs/>
          <w:sz w:val="24"/>
          <w:szCs w:val="24"/>
          <w:lang w:val="mn-MN"/>
        </w:rPr>
      </w:pPr>
    </w:p>
    <w:p w14:paraId="66ACB3E7" w14:textId="77777777" w:rsidR="004857FC" w:rsidRPr="006A4151" w:rsidRDefault="004857FC" w:rsidP="00314B8D">
      <w:pPr>
        <w:spacing w:after="0" w:line="240" w:lineRule="auto"/>
        <w:jc w:val="center"/>
        <w:rPr>
          <w:rFonts w:ascii="Arial" w:hAnsi="Arial" w:cs="Arial"/>
          <w:b/>
          <w:bCs/>
          <w:sz w:val="24"/>
          <w:szCs w:val="24"/>
          <w:lang w:val="mn-MN"/>
        </w:rPr>
      </w:pPr>
    </w:p>
    <w:p w14:paraId="36387774" w14:textId="77777777" w:rsidR="004857FC" w:rsidRPr="006A4151" w:rsidRDefault="004857FC" w:rsidP="00314B8D">
      <w:pPr>
        <w:spacing w:after="0" w:line="240" w:lineRule="auto"/>
        <w:jc w:val="center"/>
        <w:rPr>
          <w:rFonts w:ascii="Arial" w:hAnsi="Arial" w:cs="Arial"/>
          <w:b/>
          <w:bCs/>
          <w:sz w:val="24"/>
          <w:szCs w:val="24"/>
          <w:lang w:val="mn-MN"/>
        </w:rPr>
      </w:pPr>
    </w:p>
    <w:p w14:paraId="7C6E14DF" w14:textId="77777777" w:rsidR="004857FC" w:rsidRPr="006A4151" w:rsidRDefault="004857FC" w:rsidP="00314B8D">
      <w:pPr>
        <w:spacing w:after="0" w:line="240" w:lineRule="auto"/>
        <w:jc w:val="center"/>
        <w:rPr>
          <w:rFonts w:ascii="Arial" w:hAnsi="Arial" w:cs="Arial"/>
          <w:b/>
          <w:bCs/>
          <w:sz w:val="24"/>
          <w:szCs w:val="24"/>
          <w:lang w:val="mn-MN"/>
        </w:rPr>
      </w:pPr>
    </w:p>
    <w:p w14:paraId="40003A02" w14:textId="77777777" w:rsidR="004857FC" w:rsidRPr="006A4151" w:rsidRDefault="004857FC" w:rsidP="00314B8D">
      <w:pPr>
        <w:spacing w:after="0" w:line="240" w:lineRule="auto"/>
        <w:jc w:val="center"/>
        <w:rPr>
          <w:rFonts w:ascii="Arial" w:hAnsi="Arial" w:cs="Arial"/>
          <w:b/>
          <w:bCs/>
          <w:sz w:val="24"/>
          <w:szCs w:val="24"/>
          <w:lang w:val="mn-MN"/>
        </w:rPr>
      </w:pPr>
    </w:p>
    <w:p w14:paraId="0B48C7AE" w14:textId="77777777" w:rsidR="00003907" w:rsidRPr="006A4151" w:rsidRDefault="00003907" w:rsidP="00314B8D">
      <w:pPr>
        <w:spacing w:after="0" w:line="240" w:lineRule="auto"/>
        <w:jc w:val="center"/>
        <w:rPr>
          <w:rFonts w:ascii="Arial" w:hAnsi="Arial" w:cs="Arial"/>
          <w:b/>
          <w:bCs/>
          <w:sz w:val="24"/>
          <w:szCs w:val="24"/>
          <w:lang w:val="mn-MN"/>
        </w:rPr>
      </w:pPr>
    </w:p>
    <w:p w14:paraId="3789C02D" w14:textId="77777777" w:rsidR="00C926EC" w:rsidRPr="006A4151" w:rsidRDefault="00C926EC" w:rsidP="00314B8D">
      <w:pPr>
        <w:spacing w:after="0" w:line="240" w:lineRule="auto"/>
        <w:jc w:val="center"/>
        <w:rPr>
          <w:rFonts w:ascii="Arial" w:hAnsi="Arial" w:cs="Arial"/>
          <w:b/>
          <w:bCs/>
          <w:sz w:val="24"/>
          <w:szCs w:val="24"/>
          <w:lang w:val="mn-MN"/>
        </w:rPr>
      </w:pPr>
    </w:p>
    <w:p w14:paraId="05170053" w14:textId="77777777" w:rsidR="00575177" w:rsidRPr="006A4151" w:rsidRDefault="00575177" w:rsidP="00314B8D">
      <w:pPr>
        <w:spacing w:after="0" w:line="240" w:lineRule="auto"/>
        <w:jc w:val="center"/>
        <w:rPr>
          <w:rFonts w:ascii="Arial" w:hAnsi="Arial" w:cs="Arial"/>
          <w:b/>
          <w:bCs/>
          <w:sz w:val="24"/>
          <w:szCs w:val="24"/>
          <w:lang w:val="mn-MN"/>
        </w:rPr>
      </w:pPr>
    </w:p>
    <w:p w14:paraId="495A227D" w14:textId="77777777" w:rsidR="00003907" w:rsidRPr="006A4151" w:rsidRDefault="00003907" w:rsidP="00314B8D">
      <w:pPr>
        <w:spacing w:after="0" w:line="240" w:lineRule="auto"/>
        <w:jc w:val="center"/>
        <w:rPr>
          <w:rFonts w:ascii="Arial" w:hAnsi="Arial" w:cs="Arial"/>
          <w:b/>
          <w:bCs/>
          <w:sz w:val="24"/>
          <w:szCs w:val="24"/>
          <w:lang w:val="mn-MN"/>
        </w:rPr>
      </w:pPr>
    </w:p>
    <w:p w14:paraId="27C2C4F6" w14:textId="77777777" w:rsidR="00003907" w:rsidRPr="006A4151" w:rsidRDefault="00003907" w:rsidP="00314B8D">
      <w:pPr>
        <w:spacing w:after="0" w:line="240" w:lineRule="auto"/>
        <w:jc w:val="center"/>
        <w:rPr>
          <w:rFonts w:ascii="Arial" w:hAnsi="Arial" w:cs="Arial"/>
          <w:b/>
          <w:bCs/>
          <w:sz w:val="24"/>
          <w:szCs w:val="24"/>
          <w:lang w:val="mn-MN"/>
        </w:rPr>
      </w:pPr>
    </w:p>
    <w:p w14:paraId="7F672E02" w14:textId="77777777" w:rsidR="00291CBD" w:rsidRPr="006A4151" w:rsidRDefault="00291CBD" w:rsidP="00314B8D">
      <w:pPr>
        <w:spacing w:after="0" w:line="240" w:lineRule="auto"/>
        <w:jc w:val="center"/>
        <w:rPr>
          <w:rFonts w:ascii="Arial" w:hAnsi="Arial" w:cs="Arial"/>
          <w:b/>
          <w:bCs/>
          <w:sz w:val="24"/>
          <w:szCs w:val="24"/>
          <w:lang w:val="mn-MN"/>
        </w:rPr>
      </w:pPr>
    </w:p>
    <w:p w14:paraId="6E35226B" w14:textId="77777777" w:rsidR="00291CBD" w:rsidRPr="006A4151" w:rsidRDefault="00291CBD" w:rsidP="00314B8D">
      <w:pPr>
        <w:spacing w:after="0" w:line="240" w:lineRule="auto"/>
        <w:jc w:val="center"/>
        <w:rPr>
          <w:rFonts w:ascii="Arial" w:hAnsi="Arial" w:cs="Arial"/>
          <w:b/>
          <w:bCs/>
          <w:sz w:val="24"/>
          <w:szCs w:val="24"/>
          <w:lang w:val="mn-MN"/>
        </w:rPr>
      </w:pPr>
    </w:p>
    <w:p w14:paraId="5F207722" w14:textId="77777777" w:rsidR="00291CBD" w:rsidRPr="006A4151" w:rsidRDefault="00291CBD" w:rsidP="00314B8D">
      <w:pPr>
        <w:spacing w:after="0" w:line="240" w:lineRule="auto"/>
        <w:jc w:val="center"/>
        <w:rPr>
          <w:rFonts w:ascii="Arial" w:hAnsi="Arial" w:cs="Arial"/>
          <w:b/>
          <w:bCs/>
          <w:sz w:val="24"/>
          <w:szCs w:val="24"/>
          <w:lang w:val="mn-MN"/>
        </w:rPr>
      </w:pPr>
    </w:p>
    <w:p w14:paraId="32EC60F2" w14:textId="77777777" w:rsidR="001F6363" w:rsidRPr="006A4151" w:rsidRDefault="001F6363" w:rsidP="00314B8D">
      <w:pPr>
        <w:spacing w:after="0" w:line="240" w:lineRule="auto"/>
        <w:jc w:val="center"/>
        <w:rPr>
          <w:rFonts w:ascii="Arial" w:hAnsi="Arial" w:cs="Arial"/>
          <w:b/>
          <w:bCs/>
          <w:sz w:val="24"/>
          <w:szCs w:val="24"/>
          <w:lang w:val="mn-MN"/>
        </w:rPr>
      </w:pPr>
    </w:p>
    <w:p w14:paraId="5E4B65E7" w14:textId="591C3167" w:rsidR="00DD64BA" w:rsidRPr="006A4151" w:rsidRDefault="00B970C5"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lastRenderedPageBreak/>
        <w:t>ЗЭЭЛИЙН МЭДЭЭЛЛИЙН ТУХАЙ ХУУЛЬД НЭМЭЛТ, ӨӨРЧЛӨЛТ ОРУУЛАХ ТУХАЙ ХУУЛИЙН ТӨСЛИЙН ДЭЛГЭРЭНГҮЙ ТАНИЛЦУУЛГА</w:t>
      </w:r>
    </w:p>
    <w:p w14:paraId="0D913EB7" w14:textId="77777777" w:rsidR="00DD64BA" w:rsidRPr="006A4151" w:rsidRDefault="00DD64BA" w:rsidP="00314B8D">
      <w:pPr>
        <w:spacing w:after="0" w:line="240" w:lineRule="auto"/>
        <w:jc w:val="both"/>
        <w:rPr>
          <w:rFonts w:ascii="Arial" w:hAnsi="Arial" w:cs="Arial"/>
          <w:sz w:val="24"/>
          <w:szCs w:val="24"/>
          <w:lang w:val="mn-MN"/>
        </w:rPr>
      </w:pPr>
    </w:p>
    <w:p w14:paraId="181FA642" w14:textId="77777777" w:rsidR="00DD64BA" w:rsidRPr="006A4151" w:rsidRDefault="00DD64BA"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t>Зээлийн мэдээллийн тухай хуульд нэмэлт, өөрчлөлт</w:t>
      </w:r>
    </w:p>
    <w:p w14:paraId="1139F929" w14:textId="77777777" w:rsidR="00DD64BA" w:rsidRPr="006A4151" w:rsidRDefault="00DD64BA"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t>оруулах тухай х</w:t>
      </w:r>
      <w:r w:rsidR="00240055" w:rsidRPr="006A4151">
        <w:rPr>
          <w:rFonts w:ascii="Arial" w:hAnsi="Arial" w:cs="Arial"/>
          <w:sz w:val="24"/>
          <w:szCs w:val="24"/>
          <w:lang w:val="mn-MN"/>
        </w:rPr>
        <w:t>у</w:t>
      </w:r>
      <w:r w:rsidRPr="006A4151">
        <w:rPr>
          <w:rFonts w:ascii="Arial" w:hAnsi="Arial" w:cs="Arial"/>
          <w:sz w:val="24"/>
          <w:szCs w:val="24"/>
          <w:lang w:val="mn-MN"/>
        </w:rPr>
        <w:t>улийн төслийн тухай</w:t>
      </w:r>
    </w:p>
    <w:p w14:paraId="781862CC" w14:textId="77777777" w:rsidR="007A2836" w:rsidRPr="006A4151" w:rsidRDefault="007A2836" w:rsidP="00314B8D">
      <w:pPr>
        <w:spacing w:after="0" w:line="240" w:lineRule="auto"/>
        <w:ind w:firstLine="360"/>
        <w:jc w:val="both"/>
        <w:rPr>
          <w:rFonts w:ascii="Arial" w:hAnsi="Arial" w:cs="Arial"/>
          <w:sz w:val="24"/>
          <w:szCs w:val="24"/>
          <w:lang w:val="mn-MN"/>
        </w:rPr>
      </w:pPr>
    </w:p>
    <w:p w14:paraId="5A932232" w14:textId="4FB97EAB"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Монгол Улсын банкны салбарын зээлийн үлдэгдэл 2023 оны 1 дүгээр сарын байдлаар нийт 54.3 их наяд төгрөг байна.</w:t>
      </w:r>
      <w:r w:rsidR="00240055" w:rsidRPr="006A4151">
        <w:rPr>
          <w:rFonts w:ascii="Arial" w:hAnsi="Arial" w:cs="Arial"/>
          <w:sz w:val="24"/>
          <w:szCs w:val="24"/>
          <w:lang w:val="mn-MN"/>
        </w:rPr>
        <w:t xml:space="preserve"> </w:t>
      </w:r>
      <w:r w:rsidRPr="006A4151">
        <w:rPr>
          <w:rFonts w:ascii="Arial" w:hAnsi="Arial" w:cs="Arial"/>
          <w:sz w:val="24"/>
          <w:szCs w:val="24"/>
          <w:lang w:val="mn-MN"/>
        </w:rPr>
        <w:t>Зээлийн мэдээллийн</w:t>
      </w:r>
      <w:r w:rsidR="009B700A" w:rsidRPr="006A4151">
        <w:rPr>
          <w:rFonts w:ascii="Arial" w:hAnsi="Arial" w:cs="Arial"/>
          <w:sz w:val="24"/>
          <w:szCs w:val="24"/>
          <w:lang w:val="mn-MN"/>
        </w:rPr>
        <w:t xml:space="preserve"> </w:t>
      </w:r>
      <w:r w:rsidRPr="006A4151">
        <w:rPr>
          <w:rFonts w:ascii="Arial" w:hAnsi="Arial" w:cs="Arial"/>
          <w:sz w:val="24"/>
          <w:szCs w:val="24"/>
          <w:lang w:val="mn-MN"/>
        </w:rPr>
        <w:t>тухай хууль батлагдах жилд буюу 2011 оны 12 дугаар сарын 31-ний байдлаар банкны салбарын зээлийн үлдэгдэл 9.4 их наяд төгрөг байсан.</w:t>
      </w:r>
      <w:r w:rsidR="00240055" w:rsidRPr="006A4151">
        <w:rPr>
          <w:rFonts w:ascii="Arial" w:hAnsi="Arial" w:cs="Arial"/>
          <w:sz w:val="24"/>
          <w:szCs w:val="24"/>
          <w:lang w:val="mn-MN"/>
        </w:rPr>
        <w:t xml:space="preserve"> </w:t>
      </w:r>
      <w:r w:rsidRPr="006A4151">
        <w:rPr>
          <w:rFonts w:ascii="Arial" w:hAnsi="Arial" w:cs="Arial"/>
          <w:sz w:val="24"/>
          <w:szCs w:val="24"/>
          <w:lang w:val="mn-MN"/>
        </w:rPr>
        <w:t>Чанаргүй зээлийн үлдэгдэл</w:t>
      </w:r>
      <w:r w:rsidR="00553C41" w:rsidRPr="006A4151">
        <w:rPr>
          <w:rFonts w:ascii="Arial" w:hAnsi="Arial" w:cs="Arial"/>
          <w:sz w:val="24"/>
          <w:szCs w:val="24"/>
          <w:lang w:val="mn-MN"/>
        </w:rPr>
        <w:t xml:space="preserve"> нийт зээлийн үлдэгдлийн 10</w:t>
      </w:r>
      <w:r w:rsidRPr="006A4151">
        <w:rPr>
          <w:rFonts w:ascii="Arial" w:hAnsi="Arial" w:cs="Arial"/>
          <w:sz w:val="24"/>
          <w:szCs w:val="24"/>
          <w:lang w:val="mn-MN"/>
        </w:rPr>
        <w:t xml:space="preserve"> хув</w:t>
      </w:r>
      <w:r w:rsidR="00240055" w:rsidRPr="006A4151">
        <w:rPr>
          <w:rFonts w:ascii="Arial" w:hAnsi="Arial" w:cs="Arial"/>
          <w:sz w:val="24"/>
          <w:szCs w:val="24"/>
          <w:lang w:val="mn-MN"/>
        </w:rPr>
        <w:t>ь</w:t>
      </w:r>
      <w:r w:rsidRPr="006A4151">
        <w:rPr>
          <w:rFonts w:ascii="Arial" w:hAnsi="Arial" w:cs="Arial"/>
          <w:sz w:val="24"/>
          <w:szCs w:val="24"/>
          <w:lang w:val="mn-MN"/>
        </w:rPr>
        <w:t>тай</w:t>
      </w:r>
      <w:r w:rsidR="00553C41" w:rsidRPr="006A4151">
        <w:rPr>
          <w:rFonts w:ascii="Arial" w:hAnsi="Arial" w:cs="Arial"/>
          <w:sz w:val="24"/>
          <w:szCs w:val="24"/>
          <w:lang w:val="mn-MN"/>
        </w:rPr>
        <w:t xml:space="preserve"> тэнцэж</w:t>
      </w:r>
      <w:r w:rsidRPr="006A4151">
        <w:rPr>
          <w:rFonts w:ascii="Arial" w:hAnsi="Arial" w:cs="Arial"/>
          <w:sz w:val="24"/>
          <w:szCs w:val="24"/>
          <w:lang w:val="mn-MN"/>
        </w:rPr>
        <w:t xml:space="preserve"> буюу зохих тү</w:t>
      </w:r>
      <w:r w:rsidR="00240055" w:rsidRPr="006A4151">
        <w:rPr>
          <w:rFonts w:ascii="Arial" w:hAnsi="Arial" w:cs="Arial"/>
          <w:sz w:val="24"/>
          <w:szCs w:val="24"/>
          <w:lang w:val="mn-MN"/>
        </w:rPr>
        <w:t>в</w:t>
      </w:r>
      <w:r w:rsidRPr="006A4151">
        <w:rPr>
          <w:rFonts w:ascii="Arial" w:hAnsi="Arial" w:cs="Arial"/>
          <w:sz w:val="24"/>
          <w:szCs w:val="24"/>
          <w:lang w:val="mn-MN"/>
        </w:rPr>
        <w:t xml:space="preserve">шинд </w:t>
      </w:r>
      <w:r w:rsidR="00553C41" w:rsidRPr="006A4151">
        <w:rPr>
          <w:rFonts w:ascii="Arial" w:hAnsi="Arial" w:cs="Arial"/>
          <w:sz w:val="24"/>
          <w:szCs w:val="24"/>
          <w:lang w:val="mn-MN"/>
        </w:rPr>
        <w:t xml:space="preserve">байгаа </w:t>
      </w:r>
      <w:r w:rsidRPr="006A4151">
        <w:rPr>
          <w:rFonts w:ascii="Arial" w:hAnsi="Arial" w:cs="Arial"/>
          <w:sz w:val="24"/>
          <w:szCs w:val="24"/>
          <w:lang w:val="mn-MN"/>
        </w:rPr>
        <w:t>бөгөөд цаашид хадгалах, бууруулах чиглэлээр банк, санхүүгийн салбарт мөрдөх хууль, тогтоомжийг нийгэм, эдийн засаг, салбарын хөгжилтэй уялдуулж батлах, шинэчлэх үйл ажиллагааг тогтмол хийж салбарын тогтвортой байд</w:t>
      </w:r>
      <w:r w:rsidR="00D432C8" w:rsidRPr="006A4151">
        <w:rPr>
          <w:rFonts w:ascii="Arial" w:hAnsi="Arial" w:cs="Arial"/>
          <w:sz w:val="24"/>
          <w:szCs w:val="24"/>
          <w:lang w:val="mn-MN"/>
        </w:rPr>
        <w:t>а</w:t>
      </w:r>
      <w:r w:rsidRPr="006A4151">
        <w:rPr>
          <w:rFonts w:ascii="Arial" w:hAnsi="Arial" w:cs="Arial"/>
          <w:sz w:val="24"/>
          <w:szCs w:val="24"/>
          <w:lang w:val="mn-MN"/>
        </w:rPr>
        <w:t>л ханга</w:t>
      </w:r>
      <w:r w:rsidR="00D432C8" w:rsidRPr="006A4151">
        <w:rPr>
          <w:rFonts w:ascii="Arial" w:hAnsi="Arial" w:cs="Arial"/>
          <w:sz w:val="24"/>
          <w:szCs w:val="24"/>
          <w:lang w:val="mn-MN"/>
        </w:rPr>
        <w:t>гдана</w:t>
      </w:r>
      <w:r w:rsidRPr="006A4151">
        <w:rPr>
          <w:rFonts w:ascii="Arial" w:hAnsi="Arial" w:cs="Arial"/>
          <w:sz w:val="24"/>
          <w:szCs w:val="24"/>
          <w:lang w:val="mn-MN"/>
        </w:rPr>
        <w:t>. Өөрөөр хэлбэл, банк, санхүүгийн салбарт оролцогч талууд болох эрх бүхий байгууллагууд, зээлдэгч, зээлдүүлэгч болон бусад оролцогчдын үйл ажиллагааг тогтмол сайжруулж, эрсдэлийн удирдлагад суурилсан судалгааг үндэслэн шинэч</w:t>
      </w:r>
      <w:r w:rsidR="00D432C8" w:rsidRPr="006A4151">
        <w:rPr>
          <w:rFonts w:ascii="Arial" w:hAnsi="Arial" w:cs="Arial"/>
          <w:sz w:val="24"/>
          <w:szCs w:val="24"/>
          <w:lang w:val="mn-MN"/>
        </w:rPr>
        <w:t>илж</w:t>
      </w:r>
      <w:r w:rsidRPr="006A4151">
        <w:rPr>
          <w:rFonts w:ascii="Arial" w:hAnsi="Arial" w:cs="Arial"/>
          <w:sz w:val="24"/>
          <w:szCs w:val="24"/>
          <w:lang w:val="mn-MN"/>
        </w:rPr>
        <w:t xml:space="preserve"> хууль тогтоомжид өөрчлөлт оруулах шаардлагатай</w:t>
      </w:r>
      <w:r w:rsidR="00D432C8" w:rsidRPr="006A4151">
        <w:rPr>
          <w:rFonts w:ascii="Arial" w:hAnsi="Arial" w:cs="Arial"/>
          <w:sz w:val="24"/>
          <w:szCs w:val="24"/>
          <w:lang w:val="mn-MN"/>
        </w:rPr>
        <w:t xml:space="preserve"> байна</w:t>
      </w:r>
      <w:r w:rsidRPr="006A4151">
        <w:rPr>
          <w:rFonts w:ascii="Arial" w:hAnsi="Arial" w:cs="Arial"/>
          <w:sz w:val="24"/>
          <w:szCs w:val="24"/>
          <w:lang w:val="mn-MN"/>
        </w:rPr>
        <w:t xml:space="preserve">. </w:t>
      </w:r>
    </w:p>
    <w:p w14:paraId="5993BC31" w14:textId="77777777" w:rsidR="007A2836" w:rsidRPr="006A4151" w:rsidRDefault="007A2836" w:rsidP="00314B8D">
      <w:pPr>
        <w:spacing w:after="0" w:line="240" w:lineRule="auto"/>
        <w:ind w:firstLine="360"/>
        <w:jc w:val="both"/>
        <w:rPr>
          <w:rFonts w:ascii="Arial" w:hAnsi="Arial" w:cs="Arial"/>
          <w:sz w:val="24"/>
          <w:szCs w:val="24"/>
          <w:lang w:val="mn-MN"/>
        </w:rPr>
      </w:pPr>
    </w:p>
    <w:p w14:paraId="13A79073" w14:textId="7B21DE2A" w:rsidR="007A2836" w:rsidRPr="006A4151" w:rsidRDefault="007A2836" w:rsidP="00314B8D">
      <w:pPr>
        <w:spacing w:after="0" w:line="240" w:lineRule="auto"/>
        <w:ind w:firstLine="720"/>
        <w:jc w:val="both"/>
        <w:rPr>
          <w:rFonts w:ascii="Arial" w:hAnsi="Arial" w:cs="Arial"/>
          <w:sz w:val="24"/>
          <w:szCs w:val="24"/>
          <w:lang w:val="mn-MN"/>
        </w:rPr>
      </w:pPr>
      <w:bookmarkStart w:id="1" w:name="_Hlk165317623"/>
      <w:r w:rsidRPr="006A4151">
        <w:rPr>
          <w:rFonts w:ascii="Arial" w:hAnsi="Arial" w:cs="Arial"/>
          <w:sz w:val="24"/>
          <w:szCs w:val="24"/>
          <w:lang w:val="mn-MN"/>
        </w:rPr>
        <w:t>Зээлийн мэдээллийн санд 13 арилжааны банк, 436 банк бус санхүүгийн байгууллага, харилцаа холбооны компаниуд, төрийн яам, агентлагуудын дэргэдэх сангууд, хадгаламж зээлийн хоршоо гэх мэтчилэн төрийн, хувийн хэвшлийн байгууллагууд иргэн, аж ахуй нэгжийн зээл, төлбөрийн үүргийн талаарх мэдээллийг нийлүүлдэг бөгөөд</w:t>
      </w:r>
      <w:r w:rsidR="00376270" w:rsidRPr="006A4151">
        <w:rPr>
          <w:rFonts w:ascii="Arial" w:hAnsi="Arial" w:cs="Arial"/>
          <w:sz w:val="24"/>
          <w:szCs w:val="24"/>
          <w:lang w:val="mn-MN"/>
        </w:rPr>
        <w:t xml:space="preserve"> 2024</w:t>
      </w:r>
      <w:r w:rsidRPr="006A4151">
        <w:rPr>
          <w:rFonts w:ascii="Arial" w:hAnsi="Arial" w:cs="Arial"/>
          <w:sz w:val="24"/>
          <w:szCs w:val="24"/>
          <w:lang w:val="mn-MN"/>
        </w:rPr>
        <w:t xml:space="preserve"> оны </w:t>
      </w:r>
      <w:r w:rsidR="00376270" w:rsidRPr="006A4151">
        <w:rPr>
          <w:rFonts w:ascii="Arial" w:hAnsi="Arial" w:cs="Arial"/>
          <w:sz w:val="24"/>
          <w:szCs w:val="24"/>
          <w:lang w:val="mn-MN"/>
        </w:rPr>
        <w:t>2</w:t>
      </w:r>
      <w:r w:rsidR="008F3C93" w:rsidRPr="006A4151">
        <w:rPr>
          <w:rFonts w:ascii="Arial" w:hAnsi="Arial" w:cs="Arial"/>
          <w:sz w:val="24"/>
          <w:szCs w:val="24"/>
          <w:lang w:val="mn-MN"/>
        </w:rPr>
        <w:t xml:space="preserve"> дугаар</w:t>
      </w:r>
      <w:r w:rsidR="00376270" w:rsidRPr="006A4151">
        <w:rPr>
          <w:rFonts w:ascii="Arial" w:hAnsi="Arial" w:cs="Arial"/>
          <w:sz w:val="24"/>
          <w:szCs w:val="24"/>
          <w:lang w:val="mn-MN"/>
        </w:rPr>
        <w:t xml:space="preserve"> </w:t>
      </w:r>
      <w:r w:rsidRPr="006A4151">
        <w:rPr>
          <w:rFonts w:ascii="Arial" w:hAnsi="Arial" w:cs="Arial"/>
          <w:sz w:val="24"/>
          <w:szCs w:val="24"/>
          <w:lang w:val="mn-MN"/>
        </w:rPr>
        <w:t>сарын</w:t>
      </w:r>
      <w:r w:rsidR="00376270" w:rsidRPr="006A4151">
        <w:rPr>
          <w:rFonts w:ascii="Arial" w:hAnsi="Arial" w:cs="Arial"/>
          <w:sz w:val="24"/>
          <w:szCs w:val="24"/>
          <w:lang w:val="mn-MN"/>
        </w:rPr>
        <w:t xml:space="preserve"> </w:t>
      </w:r>
      <w:r w:rsidRPr="006A4151">
        <w:rPr>
          <w:rFonts w:ascii="Arial" w:hAnsi="Arial" w:cs="Arial"/>
          <w:sz w:val="24"/>
          <w:szCs w:val="24"/>
          <w:lang w:val="mn-MN"/>
        </w:rPr>
        <w:t xml:space="preserve">байдлаар 1.6 сая иргэн, 19.6 мянган аж ахуйн нэгжийн зээлийн мэдээлэл хадгалагдаж байна.  </w:t>
      </w:r>
    </w:p>
    <w:bookmarkEnd w:id="1"/>
    <w:p w14:paraId="1E5D4DCB" w14:textId="77777777" w:rsidR="007A2836" w:rsidRPr="006A4151" w:rsidRDefault="007A2836" w:rsidP="00314B8D">
      <w:pPr>
        <w:spacing w:after="0" w:line="240" w:lineRule="auto"/>
        <w:ind w:firstLine="720"/>
        <w:jc w:val="both"/>
        <w:rPr>
          <w:rFonts w:ascii="Arial" w:hAnsi="Arial" w:cs="Arial"/>
          <w:sz w:val="24"/>
          <w:szCs w:val="24"/>
          <w:lang w:val="mn-MN"/>
        </w:rPr>
      </w:pPr>
    </w:p>
    <w:p w14:paraId="7C7E1931" w14:textId="0DB7D668"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Зээлийн үйл ажиллагаанд учирч болзошгүй эрсдэлээс сэргийлэх хамгийн гол арга нь зээлий</w:t>
      </w:r>
      <w:r w:rsidR="00D432C8" w:rsidRPr="006A4151">
        <w:rPr>
          <w:rFonts w:ascii="Arial" w:hAnsi="Arial" w:cs="Arial"/>
          <w:sz w:val="24"/>
          <w:szCs w:val="24"/>
          <w:lang w:val="mn-MN"/>
        </w:rPr>
        <w:t>г</w:t>
      </w:r>
      <w:r w:rsidRPr="006A4151">
        <w:rPr>
          <w:rFonts w:ascii="Arial" w:hAnsi="Arial" w:cs="Arial"/>
          <w:sz w:val="24"/>
          <w:szCs w:val="24"/>
          <w:lang w:val="mn-MN"/>
        </w:rPr>
        <w:t xml:space="preserve"> анх олгохдоо хийх судалгаа, шинжилгээний чанарыг сайжруул</w:t>
      </w:r>
      <w:r w:rsidR="00D432C8" w:rsidRPr="006A4151">
        <w:rPr>
          <w:rFonts w:ascii="Arial" w:hAnsi="Arial" w:cs="Arial"/>
          <w:sz w:val="24"/>
          <w:szCs w:val="24"/>
          <w:lang w:val="mn-MN"/>
        </w:rPr>
        <w:t>ж</w:t>
      </w:r>
      <w:r w:rsidRPr="006A4151">
        <w:rPr>
          <w:rFonts w:ascii="Arial" w:hAnsi="Arial" w:cs="Arial"/>
          <w:sz w:val="24"/>
          <w:szCs w:val="24"/>
          <w:lang w:val="mn-MN"/>
        </w:rPr>
        <w:t xml:space="preserve">, судалгаанд шаардлагатай үнэн зөв, бодит мэдээллийг цаг тухайд нь олж, зөв үнэлэх явдал юм. </w:t>
      </w:r>
      <w:r w:rsidR="00D432C8" w:rsidRPr="006A4151">
        <w:rPr>
          <w:rFonts w:ascii="Arial" w:hAnsi="Arial" w:cs="Arial"/>
          <w:sz w:val="24"/>
          <w:szCs w:val="24"/>
          <w:lang w:val="mn-MN"/>
        </w:rPr>
        <w:t xml:space="preserve"> </w:t>
      </w:r>
      <w:r w:rsidRPr="006A4151">
        <w:rPr>
          <w:rFonts w:ascii="Arial" w:hAnsi="Arial" w:cs="Arial"/>
          <w:sz w:val="24"/>
          <w:szCs w:val="24"/>
          <w:lang w:val="mn-MN"/>
        </w:rPr>
        <w:t xml:space="preserve">Иймээс зээлдэгчийн зээлийн түүхийн мэдээлэл үнэн зөв байж, зээлийн үнэлгээ, зэрэглэл </w:t>
      </w:r>
      <w:r w:rsidR="00D432C8" w:rsidRPr="006A4151">
        <w:rPr>
          <w:rFonts w:ascii="Arial" w:hAnsi="Arial" w:cs="Arial"/>
          <w:sz w:val="24"/>
          <w:szCs w:val="24"/>
          <w:lang w:val="mn-MN"/>
        </w:rPr>
        <w:t>тогтооход</w:t>
      </w:r>
      <w:r w:rsidRPr="006A4151">
        <w:rPr>
          <w:rFonts w:ascii="Arial" w:hAnsi="Arial" w:cs="Arial"/>
          <w:sz w:val="24"/>
          <w:szCs w:val="24"/>
          <w:lang w:val="mn-MN"/>
        </w:rPr>
        <w:t xml:space="preserve"> шаардагдах бүх мэдээллийг бүрэн хэмжээгээр агуулсан, мэдээлэл тогтмол шинэчлэгдэж, цаг үеийн мэдээллээр баяжигдаж түүн дээр суурилсан зээлдэгчийн үнэлгээ, зэрэглэл тогтоох </w:t>
      </w:r>
      <w:r w:rsidR="0062310A"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баталсан нэгдсэн журам эрх бүхий </w:t>
      </w:r>
      <w:r w:rsidR="00AA0487" w:rsidRPr="006A4151">
        <w:rPr>
          <w:rFonts w:ascii="Arial" w:hAnsi="Arial" w:cs="Arial"/>
          <w:sz w:val="24"/>
          <w:szCs w:val="24"/>
          <w:lang w:val="mn-MN"/>
        </w:rPr>
        <w:t xml:space="preserve">бодлого тодорхойлогч </w:t>
      </w:r>
      <w:r w:rsidRPr="006A4151">
        <w:rPr>
          <w:rFonts w:ascii="Arial" w:hAnsi="Arial" w:cs="Arial"/>
          <w:sz w:val="24"/>
          <w:szCs w:val="24"/>
          <w:lang w:val="mn-MN"/>
        </w:rPr>
        <w:t>байгуул</w:t>
      </w:r>
      <w:r w:rsidR="00D432C8" w:rsidRPr="006A4151">
        <w:rPr>
          <w:rFonts w:ascii="Arial" w:hAnsi="Arial" w:cs="Arial"/>
          <w:sz w:val="24"/>
          <w:szCs w:val="24"/>
          <w:lang w:val="mn-MN"/>
        </w:rPr>
        <w:t>лага</w:t>
      </w:r>
      <w:r w:rsidRPr="006A4151">
        <w:rPr>
          <w:rFonts w:ascii="Arial" w:hAnsi="Arial" w:cs="Arial"/>
          <w:sz w:val="24"/>
          <w:szCs w:val="24"/>
          <w:lang w:val="mn-MN"/>
        </w:rPr>
        <w:t xml:space="preserve"> болох Монголбанк</w:t>
      </w:r>
      <w:r w:rsidR="00D432C8" w:rsidRPr="006A4151">
        <w:rPr>
          <w:rFonts w:ascii="Arial" w:hAnsi="Arial" w:cs="Arial"/>
          <w:sz w:val="24"/>
          <w:szCs w:val="24"/>
          <w:lang w:val="mn-MN"/>
        </w:rPr>
        <w:t xml:space="preserve"> </w:t>
      </w:r>
      <w:r w:rsidRPr="006A4151">
        <w:rPr>
          <w:rFonts w:ascii="Arial" w:hAnsi="Arial" w:cs="Arial"/>
          <w:sz w:val="24"/>
          <w:szCs w:val="24"/>
          <w:lang w:val="mn-MN"/>
        </w:rPr>
        <w:t xml:space="preserve"> батлах шаардлагатай.</w:t>
      </w:r>
      <w:r w:rsidR="00AA0487" w:rsidRPr="006A4151">
        <w:rPr>
          <w:rFonts w:ascii="Arial" w:hAnsi="Arial" w:cs="Arial"/>
          <w:sz w:val="24"/>
          <w:szCs w:val="24"/>
          <w:lang w:val="mn-MN"/>
        </w:rPr>
        <w:t xml:space="preserve"> </w:t>
      </w:r>
      <w:r w:rsidRPr="006A4151">
        <w:rPr>
          <w:rFonts w:ascii="Arial" w:hAnsi="Arial" w:cs="Arial"/>
          <w:sz w:val="24"/>
          <w:szCs w:val="24"/>
          <w:lang w:val="mn-MN"/>
        </w:rPr>
        <w:t xml:space="preserve">Зээлийн мэдээллийн тухай хуулиар зээлийн мэдээллийг үйлчилгээ үзүүлэх этгээдийн эрхлэх үйл ажиллагаанд зээлдэгчийн зээлжих чадварт зэрэглэл тогтоох гэж заасан боловч хэрхэн, ямар аргачлалаар зэрэглэл тогтоох талаар </w:t>
      </w:r>
      <w:r w:rsidR="00D432C8" w:rsidRPr="006A4151">
        <w:rPr>
          <w:rFonts w:ascii="Arial" w:hAnsi="Arial" w:cs="Arial"/>
          <w:sz w:val="24"/>
          <w:szCs w:val="24"/>
          <w:lang w:val="mn-MN"/>
        </w:rPr>
        <w:t xml:space="preserve">тусгаагүй, </w:t>
      </w:r>
      <w:r w:rsidRPr="006A4151">
        <w:rPr>
          <w:rFonts w:ascii="Arial" w:hAnsi="Arial" w:cs="Arial"/>
          <w:sz w:val="24"/>
          <w:szCs w:val="24"/>
          <w:lang w:val="mn-MN"/>
        </w:rPr>
        <w:t>зохицуулалтгүй байна.</w:t>
      </w:r>
      <w:r w:rsidR="002273F1" w:rsidRPr="006A4151">
        <w:rPr>
          <w:rFonts w:ascii="Arial" w:hAnsi="Arial" w:cs="Arial"/>
          <w:sz w:val="24"/>
          <w:szCs w:val="24"/>
          <w:lang w:val="mn-MN"/>
        </w:rPr>
        <w:t xml:space="preserve"> </w:t>
      </w:r>
      <w:r w:rsidRPr="006A4151">
        <w:rPr>
          <w:rFonts w:ascii="Arial" w:hAnsi="Arial" w:cs="Arial"/>
          <w:sz w:val="24"/>
          <w:szCs w:val="24"/>
          <w:lang w:val="mn-MN"/>
        </w:rPr>
        <w:t xml:space="preserve">Эрх бүхий байгууллагаар нэгдсэн аргачлал, түүний баталсан журамтай болсноор зээлийн мэдээллийн санд нийлүүлэгдэж байгаа мэдээллийг зөв ашиглах, бодит байдалтай нийцсэн, нэгдсэн </w:t>
      </w:r>
      <w:r w:rsidR="0062310A"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аргачлалаар зээлдэгчийн зэрэглэлийг тогтоох боломжтой болно. </w:t>
      </w:r>
    </w:p>
    <w:p w14:paraId="0C9972B3" w14:textId="77777777" w:rsidR="007A2836" w:rsidRPr="006A4151" w:rsidRDefault="007A2836" w:rsidP="00314B8D">
      <w:pPr>
        <w:spacing w:after="0" w:line="240" w:lineRule="auto"/>
        <w:ind w:firstLine="360"/>
        <w:jc w:val="both"/>
        <w:rPr>
          <w:rFonts w:ascii="Arial" w:hAnsi="Arial" w:cs="Arial"/>
          <w:sz w:val="24"/>
          <w:szCs w:val="24"/>
          <w:lang w:val="mn-MN"/>
        </w:rPr>
      </w:pPr>
    </w:p>
    <w:p w14:paraId="75D20747" w14:textId="7B771040"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Зээлдэгчийн зээлжих чадварыг нэгдсэн </w:t>
      </w:r>
      <w:r w:rsidR="0062310A" w:rsidRPr="006A4151">
        <w:rPr>
          <w:rFonts w:ascii="Arial" w:hAnsi="Arial" w:cs="Arial"/>
          <w:sz w:val="24"/>
          <w:szCs w:val="24"/>
          <w:lang w:val="mn-MN"/>
        </w:rPr>
        <w:t xml:space="preserve">онооны </w:t>
      </w:r>
      <w:r w:rsidRPr="006A4151">
        <w:rPr>
          <w:rFonts w:ascii="Arial" w:hAnsi="Arial" w:cs="Arial"/>
          <w:sz w:val="24"/>
          <w:szCs w:val="24"/>
          <w:lang w:val="mn-MN"/>
        </w:rPr>
        <w:t>аргачлалаар</w:t>
      </w:r>
      <w:r w:rsidR="0034133E" w:rsidRPr="006A4151">
        <w:rPr>
          <w:rFonts w:ascii="Arial" w:hAnsi="Arial" w:cs="Arial"/>
          <w:sz w:val="24"/>
          <w:szCs w:val="24"/>
          <w:lang w:val="mn-MN"/>
        </w:rPr>
        <w:t xml:space="preserve"> тодорхойлсноор</w:t>
      </w:r>
      <w:r w:rsidRPr="006A4151">
        <w:rPr>
          <w:rFonts w:ascii="Arial" w:hAnsi="Arial" w:cs="Arial"/>
          <w:sz w:val="24"/>
          <w:szCs w:val="24"/>
          <w:lang w:val="mn-MN"/>
        </w:rPr>
        <w:t xml:space="preserve"> зээлийн эргэн төлөлтийн найдвартай байдлыг хангах, банк, санхүүгийн </w:t>
      </w:r>
      <w:r w:rsidR="00D432C8" w:rsidRPr="006A4151">
        <w:rPr>
          <w:rFonts w:ascii="Arial" w:hAnsi="Arial" w:cs="Arial"/>
          <w:sz w:val="24"/>
          <w:szCs w:val="24"/>
          <w:lang w:val="mn-MN"/>
        </w:rPr>
        <w:t xml:space="preserve">салбарын </w:t>
      </w:r>
      <w:r w:rsidRPr="006A4151">
        <w:rPr>
          <w:rFonts w:ascii="Arial" w:hAnsi="Arial" w:cs="Arial"/>
          <w:sz w:val="24"/>
          <w:szCs w:val="24"/>
          <w:lang w:val="mn-MN"/>
        </w:rPr>
        <w:t xml:space="preserve">тогтвортой ажиллагаа, аюулгүй байдал, банкны системийн нийт </w:t>
      </w:r>
      <w:r w:rsidR="00FF5079" w:rsidRPr="006A4151">
        <w:rPr>
          <w:rFonts w:ascii="Arial" w:hAnsi="Arial" w:cs="Arial"/>
          <w:sz w:val="24"/>
          <w:szCs w:val="24"/>
          <w:lang w:val="mn-MN"/>
        </w:rPr>
        <w:t xml:space="preserve">28.6 их наяд </w:t>
      </w:r>
      <w:r w:rsidRPr="006A4151">
        <w:rPr>
          <w:rFonts w:ascii="Arial" w:hAnsi="Arial" w:cs="Arial"/>
          <w:sz w:val="24"/>
          <w:szCs w:val="24"/>
          <w:lang w:val="mn-MN"/>
        </w:rPr>
        <w:t>төгрөгийн хадгаламж</w:t>
      </w:r>
      <w:r w:rsidR="00FF5079" w:rsidRPr="006A4151">
        <w:rPr>
          <w:rFonts w:ascii="Arial" w:hAnsi="Arial" w:cs="Arial"/>
          <w:sz w:val="24"/>
          <w:szCs w:val="24"/>
          <w:lang w:val="mn-MN"/>
        </w:rPr>
        <w:t xml:space="preserve">ийн </w:t>
      </w:r>
      <w:r w:rsidRPr="006A4151">
        <w:rPr>
          <w:rFonts w:ascii="Arial" w:hAnsi="Arial" w:cs="Arial"/>
          <w:sz w:val="24"/>
          <w:szCs w:val="24"/>
          <w:lang w:val="mn-MN"/>
        </w:rPr>
        <w:t>үлдэгдэл хөрөнгийн эр</w:t>
      </w:r>
      <w:r w:rsidR="00D432C8" w:rsidRPr="006A4151">
        <w:rPr>
          <w:rFonts w:ascii="Arial" w:hAnsi="Arial" w:cs="Arial"/>
          <w:sz w:val="24"/>
          <w:szCs w:val="24"/>
          <w:lang w:val="mn-MN"/>
        </w:rPr>
        <w:t>г</w:t>
      </w:r>
      <w:r w:rsidRPr="006A4151">
        <w:rPr>
          <w:rFonts w:ascii="Arial" w:hAnsi="Arial" w:cs="Arial"/>
          <w:sz w:val="24"/>
          <w:szCs w:val="24"/>
          <w:lang w:val="mn-MN"/>
        </w:rPr>
        <w:t>эн төлөгдөх баталгаа хамаарч байна.</w:t>
      </w:r>
    </w:p>
    <w:p w14:paraId="156E2F39" w14:textId="77777777" w:rsidR="007A2836" w:rsidRPr="006A4151" w:rsidRDefault="007A2836" w:rsidP="00314B8D">
      <w:pPr>
        <w:spacing w:after="0" w:line="240" w:lineRule="auto"/>
        <w:ind w:firstLine="360"/>
        <w:jc w:val="both"/>
        <w:rPr>
          <w:rFonts w:ascii="Arial" w:hAnsi="Arial" w:cs="Arial"/>
          <w:sz w:val="24"/>
          <w:szCs w:val="24"/>
          <w:lang w:val="mn-MN"/>
        </w:rPr>
      </w:pPr>
    </w:p>
    <w:p w14:paraId="3F165E12" w14:textId="3D0B6263"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lastRenderedPageBreak/>
        <w:t xml:space="preserve">Зээлдэгчийн хувийн болон өмнөх зээлийн үүрэгтэй холбоотой бодит мэдээлэл нь зээлдүүлэгчийн гаргах зээлийн шийдвэр, зээл эргэн төлөгдөх найдвартай баталгааг хангаж байх учиртай. </w:t>
      </w:r>
      <w:r w:rsidR="00D432C8" w:rsidRPr="006A4151">
        <w:rPr>
          <w:rFonts w:ascii="Arial" w:hAnsi="Arial" w:cs="Arial"/>
          <w:sz w:val="24"/>
          <w:szCs w:val="24"/>
          <w:lang w:val="mn-MN"/>
        </w:rPr>
        <w:t xml:space="preserve"> </w:t>
      </w:r>
      <w:r w:rsidR="008A019F" w:rsidRPr="006A4151">
        <w:rPr>
          <w:rFonts w:ascii="Arial" w:hAnsi="Arial" w:cs="Arial"/>
          <w:sz w:val="24"/>
          <w:szCs w:val="24"/>
          <w:lang w:val="mn-MN"/>
        </w:rPr>
        <w:t>З</w:t>
      </w:r>
      <w:r w:rsidRPr="006A4151">
        <w:rPr>
          <w:rFonts w:ascii="Arial" w:hAnsi="Arial" w:cs="Arial"/>
          <w:sz w:val="24"/>
          <w:szCs w:val="24"/>
          <w:lang w:val="mn-MN"/>
        </w:rPr>
        <w:t>ээлийн мэдээллийн сангийн хэвийн үйл ажиллагааг хангах, мэдээллийг нь баяжуулах чиглэлээр Монголбанкнаас нилээ</w:t>
      </w:r>
      <w:r w:rsidR="00D432C8" w:rsidRPr="006A4151">
        <w:rPr>
          <w:rFonts w:ascii="Arial" w:hAnsi="Arial" w:cs="Arial"/>
          <w:sz w:val="24"/>
          <w:szCs w:val="24"/>
          <w:lang w:val="mn-MN"/>
        </w:rPr>
        <w:t>д</w:t>
      </w:r>
      <w:r w:rsidRPr="006A4151">
        <w:rPr>
          <w:rFonts w:ascii="Arial" w:hAnsi="Arial" w:cs="Arial"/>
          <w:sz w:val="24"/>
          <w:szCs w:val="24"/>
          <w:lang w:val="mn-MN"/>
        </w:rPr>
        <w:t>гүй арга хэмжээ авч хэрэгжүүлсээр ирсэн бөгөөд ялангуяа программ хангамж, техник тоног төхөөрөмжийг сайжруулах тодорхой төслүүдийг хэрэгжүүлж ирсэн.</w:t>
      </w:r>
      <w:r w:rsidR="002273F1" w:rsidRPr="006A4151">
        <w:rPr>
          <w:rFonts w:ascii="Arial" w:hAnsi="Arial" w:cs="Arial"/>
          <w:sz w:val="24"/>
          <w:szCs w:val="24"/>
          <w:lang w:val="mn-MN"/>
        </w:rPr>
        <w:t xml:space="preserve"> </w:t>
      </w:r>
      <w:r w:rsidRPr="006A4151">
        <w:rPr>
          <w:rFonts w:ascii="Arial" w:hAnsi="Arial" w:cs="Arial"/>
          <w:sz w:val="24"/>
          <w:szCs w:val="24"/>
          <w:lang w:val="mn-MN"/>
        </w:rPr>
        <w:t>Зээлийн мэдээллийн тухай хуульд зээлийн мэдээллийг</w:t>
      </w:r>
      <w:r w:rsidR="0083685C" w:rsidRPr="006A4151">
        <w:rPr>
          <w:rFonts w:ascii="Arial" w:hAnsi="Arial" w:cs="Arial"/>
          <w:sz w:val="24"/>
          <w:szCs w:val="24"/>
          <w:lang w:val="mn-MN"/>
        </w:rPr>
        <w:t xml:space="preserve"> ашиглан</w:t>
      </w:r>
      <w:r w:rsidRPr="006A4151">
        <w:rPr>
          <w:rFonts w:ascii="Arial" w:hAnsi="Arial" w:cs="Arial"/>
          <w:sz w:val="24"/>
          <w:szCs w:val="24"/>
          <w:lang w:val="mn-MN"/>
        </w:rPr>
        <w:t xml:space="preserve"> үйлчилгээ үзүүлэх этгээд зээлдэгчийн зээлжих чадварт зэрэглэл тогтоох гэж заасан боловч ямар аргачлал болон холбогдох журмын дагуу үнэлгээ хийж, зэрэглэл тогтоох талаар хуульд заагаагүй бөгөөд зээлдэгчийн зээлийн мэдээллийг зөв, бодит байдалтай нийцүүлэн аши</w:t>
      </w:r>
      <w:r w:rsidR="00D432C8" w:rsidRPr="006A4151">
        <w:rPr>
          <w:rFonts w:ascii="Arial" w:hAnsi="Arial" w:cs="Arial"/>
          <w:sz w:val="24"/>
          <w:szCs w:val="24"/>
          <w:lang w:val="mn-MN"/>
        </w:rPr>
        <w:t>г</w:t>
      </w:r>
      <w:r w:rsidRPr="006A4151">
        <w:rPr>
          <w:rFonts w:ascii="Arial" w:hAnsi="Arial" w:cs="Arial"/>
          <w:sz w:val="24"/>
          <w:szCs w:val="24"/>
          <w:lang w:val="mn-MN"/>
        </w:rPr>
        <w:t>л</w:t>
      </w:r>
      <w:r w:rsidR="00D432C8" w:rsidRPr="006A4151">
        <w:rPr>
          <w:rFonts w:ascii="Arial" w:hAnsi="Arial" w:cs="Arial"/>
          <w:sz w:val="24"/>
          <w:szCs w:val="24"/>
          <w:lang w:val="mn-MN"/>
        </w:rPr>
        <w:t>а</w:t>
      </w:r>
      <w:r w:rsidRPr="006A4151">
        <w:rPr>
          <w:rFonts w:ascii="Arial" w:hAnsi="Arial" w:cs="Arial"/>
          <w:sz w:val="24"/>
          <w:szCs w:val="24"/>
          <w:lang w:val="mn-MN"/>
        </w:rPr>
        <w:t xml:space="preserve">снаар банк, санхүүгийн үйл ажиллагаанд оролцогч талуудын санхүүгийн сахилгыг дээшлүүлэх нөхцөлийг бүрдүүлж шийдвэр гаргалтыг тоон мэдээлэл, тодорхой арга, </w:t>
      </w:r>
      <w:r w:rsidR="004B5E59" w:rsidRPr="006A4151">
        <w:rPr>
          <w:rFonts w:ascii="Arial" w:hAnsi="Arial" w:cs="Arial"/>
          <w:sz w:val="24"/>
          <w:szCs w:val="24"/>
          <w:lang w:val="mn-MN"/>
        </w:rPr>
        <w:t xml:space="preserve">онооны </w:t>
      </w:r>
      <w:r w:rsidRPr="006A4151">
        <w:rPr>
          <w:rFonts w:ascii="Arial" w:hAnsi="Arial" w:cs="Arial"/>
          <w:sz w:val="24"/>
          <w:szCs w:val="24"/>
          <w:lang w:val="mn-MN"/>
        </w:rPr>
        <w:t>аргачлалыг үндэслэн хэрэгжүүлэх боломжтой</w:t>
      </w:r>
      <w:r w:rsidR="00D432C8" w:rsidRPr="006A4151">
        <w:rPr>
          <w:rFonts w:ascii="Arial" w:hAnsi="Arial" w:cs="Arial"/>
          <w:sz w:val="24"/>
          <w:szCs w:val="24"/>
          <w:lang w:val="mn-MN"/>
        </w:rPr>
        <w:t xml:space="preserve"> болно</w:t>
      </w:r>
      <w:r w:rsidRPr="006A4151">
        <w:rPr>
          <w:rFonts w:ascii="Arial" w:hAnsi="Arial" w:cs="Arial"/>
          <w:sz w:val="24"/>
          <w:szCs w:val="24"/>
          <w:lang w:val="mn-MN"/>
        </w:rPr>
        <w:t xml:space="preserve">. </w:t>
      </w:r>
    </w:p>
    <w:p w14:paraId="5823B380" w14:textId="77777777" w:rsidR="007A2836" w:rsidRPr="006A4151" w:rsidRDefault="007A2836" w:rsidP="00314B8D">
      <w:pPr>
        <w:spacing w:after="0" w:line="240" w:lineRule="auto"/>
        <w:ind w:firstLine="720"/>
        <w:jc w:val="both"/>
        <w:rPr>
          <w:rFonts w:ascii="Arial" w:hAnsi="Arial" w:cs="Arial"/>
          <w:sz w:val="24"/>
          <w:szCs w:val="24"/>
          <w:lang w:val="mn-MN"/>
        </w:rPr>
      </w:pPr>
    </w:p>
    <w:p w14:paraId="6CAA22F8" w14:textId="10017727"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Тиймээс</w:t>
      </w:r>
      <w:r w:rsidR="002273F1" w:rsidRPr="006A4151">
        <w:rPr>
          <w:rFonts w:ascii="Arial" w:hAnsi="Arial" w:cs="Arial"/>
          <w:sz w:val="24"/>
          <w:szCs w:val="24"/>
          <w:lang w:val="mn-MN"/>
        </w:rPr>
        <w:t xml:space="preserve"> </w:t>
      </w:r>
      <w:r w:rsidRPr="006A4151">
        <w:rPr>
          <w:rFonts w:ascii="Arial" w:hAnsi="Arial" w:cs="Arial"/>
          <w:sz w:val="24"/>
          <w:szCs w:val="24"/>
          <w:lang w:val="mn-MN"/>
        </w:rPr>
        <w:t>Зээлийн мэдээллийн тухай хуулий</w:t>
      </w:r>
      <w:r w:rsidR="00D432C8" w:rsidRPr="006A4151">
        <w:rPr>
          <w:rFonts w:ascii="Arial" w:hAnsi="Arial" w:cs="Arial"/>
          <w:sz w:val="24"/>
          <w:szCs w:val="24"/>
          <w:lang w:val="mn-MN"/>
        </w:rPr>
        <w:t>н</w:t>
      </w:r>
      <w:r w:rsidRPr="006A4151">
        <w:rPr>
          <w:rFonts w:ascii="Arial" w:hAnsi="Arial" w:cs="Arial"/>
          <w:sz w:val="24"/>
          <w:szCs w:val="24"/>
          <w:lang w:val="mn-MN"/>
        </w:rPr>
        <w:t xml:space="preserve"> зохицуулалтыг илүү боловсронгуй, зохицуулалтгүй харилцааг тодорхой болгох замаар зээлдэгчийн зээлжих зэрэглэлийг тогтоох аргачлалыг батлах эрх бүхий</w:t>
      </w:r>
      <w:r w:rsidR="002273F1" w:rsidRPr="006A4151">
        <w:rPr>
          <w:rFonts w:ascii="Arial" w:hAnsi="Arial" w:cs="Arial"/>
          <w:sz w:val="24"/>
          <w:szCs w:val="24"/>
          <w:lang w:val="mn-MN"/>
        </w:rPr>
        <w:t xml:space="preserve"> бодлого тодорхойлогч</w:t>
      </w:r>
      <w:r w:rsidRPr="006A4151">
        <w:rPr>
          <w:rFonts w:ascii="Arial" w:hAnsi="Arial" w:cs="Arial"/>
          <w:sz w:val="24"/>
          <w:szCs w:val="24"/>
          <w:lang w:val="mn-MN"/>
        </w:rPr>
        <w:t xml:space="preserve"> байгууллагаар батлуулах нь банк, санхүүгийн салбарын дунд, урт хугацааны хөгжлийг дэ</w:t>
      </w:r>
      <w:r w:rsidR="00D432C8" w:rsidRPr="006A4151">
        <w:rPr>
          <w:rFonts w:ascii="Arial" w:hAnsi="Arial" w:cs="Arial"/>
          <w:sz w:val="24"/>
          <w:szCs w:val="24"/>
          <w:lang w:val="mn-MN"/>
        </w:rPr>
        <w:t>мжих</w:t>
      </w:r>
      <w:r w:rsidRPr="006A4151">
        <w:rPr>
          <w:rFonts w:ascii="Arial" w:hAnsi="Arial" w:cs="Arial"/>
          <w:sz w:val="24"/>
          <w:szCs w:val="24"/>
          <w:lang w:val="mn-MN"/>
        </w:rPr>
        <w:t xml:space="preserve"> нөхцөл бүрдүүлэх</w:t>
      </w:r>
      <w:r w:rsidR="00D432C8" w:rsidRPr="006A4151">
        <w:rPr>
          <w:rFonts w:ascii="Arial" w:hAnsi="Arial" w:cs="Arial"/>
          <w:sz w:val="24"/>
          <w:szCs w:val="24"/>
          <w:lang w:val="mn-MN"/>
        </w:rPr>
        <w:t xml:space="preserve"> юм</w:t>
      </w:r>
      <w:r w:rsidRPr="006A4151">
        <w:rPr>
          <w:rFonts w:ascii="Arial" w:hAnsi="Arial" w:cs="Arial"/>
          <w:sz w:val="24"/>
          <w:szCs w:val="24"/>
          <w:lang w:val="mn-MN"/>
        </w:rPr>
        <w:t xml:space="preserve">. </w:t>
      </w:r>
    </w:p>
    <w:p w14:paraId="560C6C65" w14:textId="77777777" w:rsidR="007A2836" w:rsidRPr="006A4151" w:rsidRDefault="007A2836" w:rsidP="00314B8D">
      <w:pPr>
        <w:spacing w:after="0" w:line="240" w:lineRule="auto"/>
        <w:jc w:val="both"/>
        <w:rPr>
          <w:rFonts w:ascii="Arial" w:hAnsi="Arial" w:cs="Arial"/>
          <w:sz w:val="24"/>
          <w:szCs w:val="24"/>
          <w:lang w:val="mn-MN"/>
        </w:rPr>
      </w:pPr>
    </w:p>
    <w:p w14:paraId="35A7328A" w14:textId="2425EFD8"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Монгол Улсын дотоодын нийт бүтээгдэхүүн 2023 онд </w:t>
      </w:r>
      <w:r w:rsidR="009B700A" w:rsidRPr="006A4151">
        <w:rPr>
          <w:rFonts w:ascii="Arial" w:hAnsi="Arial" w:cs="Arial"/>
          <w:sz w:val="24"/>
          <w:szCs w:val="24"/>
          <w:lang w:val="mn-MN"/>
        </w:rPr>
        <w:t xml:space="preserve">69.0 их наяд төгрөг </w:t>
      </w:r>
      <w:r w:rsidR="00C77000" w:rsidRPr="006A4151">
        <w:rPr>
          <w:rFonts w:ascii="Arial" w:hAnsi="Arial" w:cs="Arial"/>
          <w:sz w:val="24"/>
          <w:szCs w:val="24"/>
          <w:lang w:val="mn-MN"/>
        </w:rPr>
        <w:t>хүрсний</w:t>
      </w:r>
      <w:r w:rsidRPr="006A4151">
        <w:rPr>
          <w:rFonts w:ascii="Arial" w:hAnsi="Arial" w:cs="Arial"/>
          <w:sz w:val="24"/>
          <w:szCs w:val="24"/>
          <w:lang w:val="mn-MN"/>
        </w:rPr>
        <w:t xml:space="preserve"> гол шалтгаан нь уул уурхайн салбарын өсөлт </w:t>
      </w:r>
      <w:r w:rsidR="00D432C8" w:rsidRPr="006A4151">
        <w:rPr>
          <w:rFonts w:ascii="Arial" w:hAnsi="Arial" w:cs="Arial"/>
          <w:sz w:val="24"/>
          <w:szCs w:val="24"/>
          <w:lang w:val="mn-MN"/>
        </w:rPr>
        <w:t xml:space="preserve">тухайлбал </w:t>
      </w:r>
      <w:r w:rsidRPr="006A4151">
        <w:rPr>
          <w:rFonts w:ascii="Arial" w:hAnsi="Arial" w:cs="Arial"/>
          <w:sz w:val="24"/>
          <w:szCs w:val="24"/>
          <w:lang w:val="mn-MN"/>
        </w:rPr>
        <w:t xml:space="preserve">нүүрсний экспортын </w:t>
      </w:r>
      <w:r w:rsidR="00D432C8" w:rsidRPr="006A4151">
        <w:rPr>
          <w:rFonts w:ascii="Arial" w:hAnsi="Arial" w:cs="Arial"/>
          <w:sz w:val="24"/>
          <w:szCs w:val="24"/>
          <w:lang w:val="mn-MN"/>
        </w:rPr>
        <w:t xml:space="preserve">өсөлттэй </w:t>
      </w:r>
      <w:r w:rsidRPr="006A4151">
        <w:rPr>
          <w:rFonts w:ascii="Arial" w:hAnsi="Arial" w:cs="Arial"/>
          <w:sz w:val="24"/>
          <w:szCs w:val="24"/>
          <w:lang w:val="mn-MN"/>
        </w:rPr>
        <w:t>шууд х</w:t>
      </w:r>
      <w:r w:rsidR="00D432C8" w:rsidRPr="006A4151">
        <w:rPr>
          <w:rFonts w:ascii="Arial" w:hAnsi="Arial" w:cs="Arial"/>
          <w:sz w:val="24"/>
          <w:szCs w:val="24"/>
          <w:lang w:val="mn-MN"/>
        </w:rPr>
        <w:t>олбоотой</w:t>
      </w:r>
      <w:r w:rsidRPr="006A4151">
        <w:rPr>
          <w:rFonts w:ascii="Arial" w:hAnsi="Arial" w:cs="Arial"/>
          <w:sz w:val="24"/>
          <w:szCs w:val="24"/>
          <w:lang w:val="mn-MN"/>
        </w:rPr>
        <w:t>.</w:t>
      </w:r>
      <w:r w:rsidR="002273F1" w:rsidRPr="006A4151">
        <w:rPr>
          <w:rFonts w:ascii="Arial" w:hAnsi="Arial" w:cs="Arial"/>
          <w:sz w:val="24"/>
          <w:szCs w:val="24"/>
          <w:lang w:val="mn-MN"/>
        </w:rPr>
        <w:t xml:space="preserve"> </w:t>
      </w:r>
      <w:r w:rsidRPr="006A4151">
        <w:rPr>
          <w:rFonts w:ascii="Arial" w:hAnsi="Arial" w:cs="Arial"/>
          <w:sz w:val="24"/>
          <w:szCs w:val="24"/>
          <w:lang w:val="mn-MN"/>
        </w:rPr>
        <w:t xml:space="preserve">Цаашид энэхүү өсөлтийг дунд, урт хугацаандаа </w:t>
      </w:r>
      <w:r w:rsidR="00D432C8" w:rsidRPr="006A4151">
        <w:rPr>
          <w:rFonts w:ascii="Arial" w:hAnsi="Arial" w:cs="Arial"/>
          <w:sz w:val="24"/>
          <w:szCs w:val="24"/>
          <w:lang w:val="mn-MN"/>
        </w:rPr>
        <w:t xml:space="preserve">тогтвортой </w:t>
      </w:r>
      <w:r w:rsidRPr="006A4151">
        <w:rPr>
          <w:rFonts w:ascii="Arial" w:hAnsi="Arial" w:cs="Arial"/>
          <w:sz w:val="24"/>
          <w:szCs w:val="24"/>
          <w:lang w:val="mn-MN"/>
        </w:rPr>
        <w:t>хадгалахад гадаадын шууд хөрөнгө оруулалт, улсын төсвийн хөрөнгө оруулалт болон банк, санхүүгийн салбарын зээлийн үйл ажиллагааны дэвшил, түүн дотор оролцогч талуудын мэдээллийн ил тод байдал, үнэн зөв мэдээлэлд суурилсан зээлийн санхүүжилттэй х</w:t>
      </w:r>
      <w:r w:rsidR="00D432C8" w:rsidRPr="006A4151">
        <w:rPr>
          <w:rFonts w:ascii="Arial" w:hAnsi="Arial" w:cs="Arial"/>
          <w:sz w:val="24"/>
          <w:szCs w:val="24"/>
          <w:lang w:val="mn-MN"/>
        </w:rPr>
        <w:t xml:space="preserve">олбоотой </w:t>
      </w:r>
      <w:r w:rsidRPr="006A4151">
        <w:rPr>
          <w:rFonts w:ascii="Arial" w:hAnsi="Arial" w:cs="Arial"/>
          <w:sz w:val="24"/>
          <w:szCs w:val="24"/>
          <w:lang w:val="mn-MN"/>
        </w:rPr>
        <w:t xml:space="preserve">юм. </w:t>
      </w:r>
    </w:p>
    <w:p w14:paraId="6A4A956C" w14:textId="77777777" w:rsidR="007A2836" w:rsidRPr="006A4151" w:rsidRDefault="007A2836" w:rsidP="00314B8D">
      <w:pPr>
        <w:spacing w:after="0" w:line="240" w:lineRule="auto"/>
        <w:jc w:val="both"/>
        <w:rPr>
          <w:rFonts w:ascii="Arial" w:hAnsi="Arial" w:cs="Arial"/>
          <w:sz w:val="24"/>
          <w:szCs w:val="24"/>
          <w:lang w:val="mn-MN"/>
        </w:rPr>
      </w:pPr>
    </w:p>
    <w:p w14:paraId="4A534067" w14:textId="11F21FF8" w:rsidR="007A2836" w:rsidRPr="006A4151" w:rsidRDefault="007A2836"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ab/>
        <w:t xml:space="preserve">Үйл ажиллагааны цар хүрээ, орлого, ажлын байраар иргэдийг хангах, татвар төлөлт </w:t>
      </w:r>
      <w:r w:rsidR="00781646" w:rsidRPr="006A4151">
        <w:rPr>
          <w:rFonts w:ascii="Arial" w:hAnsi="Arial" w:cs="Arial"/>
          <w:sz w:val="24"/>
          <w:szCs w:val="24"/>
          <w:lang w:val="mn-MN"/>
        </w:rPr>
        <w:t xml:space="preserve">зэрэг </w:t>
      </w:r>
      <w:r w:rsidRPr="006A4151">
        <w:rPr>
          <w:rFonts w:ascii="Arial" w:hAnsi="Arial" w:cs="Arial"/>
          <w:sz w:val="24"/>
          <w:szCs w:val="24"/>
          <w:lang w:val="mn-MN"/>
        </w:rPr>
        <w:t>үзүүлэлтээс харвал дотоодын аж ахуйн нэгж</w:t>
      </w:r>
      <w:r w:rsidR="00781646" w:rsidRPr="006A4151">
        <w:rPr>
          <w:rFonts w:ascii="Arial" w:hAnsi="Arial" w:cs="Arial"/>
          <w:sz w:val="24"/>
          <w:szCs w:val="24"/>
          <w:lang w:val="mn-MN"/>
        </w:rPr>
        <w:t xml:space="preserve">үүд нь </w:t>
      </w:r>
      <w:r w:rsidRPr="006A4151">
        <w:rPr>
          <w:rFonts w:ascii="Arial" w:hAnsi="Arial" w:cs="Arial"/>
          <w:sz w:val="24"/>
          <w:szCs w:val="24"/>
          <w:lang w:val="mn-MN"/>
        </w:rPr>
        <w:t xml:space="preserve">банк, санхүүгийн салбарын томоохон оролцогчдын нэг болсныг </w:t>
      </w:r>
      <w:r w:rsidR="00C75CEB" w:rsidRPr="006A4151">
        <w:rPr>
          <w:rFonts w:ascii="Arial" w:hAnsi="Arial" w:cs="Arial"/>
          <w:sz w:val="24"/>
          <w:szCs w:val="24"/>
          <w:lang w:val="mn-MN"/>
        </w:rPr>
        <w:t xml:space="preserve">илтгэх </w:t>
      </w:r>
      <w:r w:rsidRPr="006A4151">
        <w:rPr>
          <w:rFonts w:ascii="Arial" w:hAnsi="Arial" w:cs="Arial"/>
          <w:sz w:val="24"/>
          <w:szCs w:val="24"/>
          <w:lang w:val="mn-MN"/>
        </w:rPr>
        <w:t>бөгөөд үүний үр дүнд дотоодын нийт бүтээгдэхүүнд өөрчлөлтөд үзүүлэх нөлөө нэмэгдэж эдийн засгийн өсөлт, хүрт</w:t>
      </w:r>
      <w:r w:rsidR="00C75CEB" w:rsidRPr="006A4151">
        <w:rPr>
          <w:rFonts w:ascii="Arial" w:hAnsi="Arial" w:cs="Arial"/>
          <w:sz w:val="24"/>
          <w:szCs w:val="24"/>
          <w:lang w:val="mn-MN"/>
        </w:rPr>
        <w:t>э</w:t>
      </w:r>
      <w:r w:rsidRPr="006A4151">
        <w:rPr>
          <w:rFonts w:ascii="Arial" w:hAnsi="Arial" w:cs="Arial"/>
          <w:sz w:val="24"/>
          <w:szCs w:val="24"/>
          <w:lang w:val="mn-MN"/>
        </w:rPr>
        <w:t xml:space="preserve">эмжийн асуудал банк, санхүүгийн салбарын үйл ажиллагаатай </w:t>
      </w:r>
      <w:r w:rsidR="00C75CEB" w:rsidRPr="006A4151">
        <w:rPr>
          <w:rFonts w:ascii="Arial" w:hAnsi="Arial" w:cs="Arial"/>
          <w:sz w:val="24"/>
          <w:szCs w:val="24"/>
          <w:lang w:val="mn-MN"/>
        </w:rPr>
        <w:t xml:space="preserve">нягт </w:t>
      </w:r>
      <w:r w:rsidRPr="006A4151">
        <w:rPr>
          <w:rFonts w:ascii="Arial" w:hAnsi="Arial" w:cs="Arial"/>
          <w:sz w:val="24"/>
          <w:szCs w:val="24"/>
          <w:lang w:val="mn-MN"/>
        </w:rPr>
        <w:t>холбоотой болсон.</w:t>
      </w:r>
      <w:r w:rsidR="002273F1" w:rsidRPr="006A4151">
        <w:rPr>
          <w:rFonts w:ascii="Arial" w:hAnsi="Arial" w:cs="Arial"/>
          <w:sz w:val="24"/>
          <w:szCs w:val="24"/>
          <w:lang w:val="mn-MN"/>
        </w:rPr>
        <w:t xml:space="preserve"> Б</w:t>
      </w:r>
      <w:r w:rsidRPr="006A4151">
        <w:rPr>
          <w:rFonts w:ascii="Arial" w:hAnsi="Arial" w:cs="Arial"/>
          <w:sz w:val="24"/>
          <w:szCs w:val="24"/>
          <w:lang w:val="mn-MN"/>
        </w:rPr>
        <w:t>анк, санхүүгийн салбарын хүртээмжийн асуудлыг тогтмол сайжруулж, тоо</w:t>
      </w:r>
      <w:r w:rsidR="00C75CEB" w:rsidRPr="006A4151">
        <w:rPr>
          <w:rFonts w:ascii="Arial" w:hAnsi="Arial" w:cs="Arial"/>
          <w:sz w:val="24"/>
          <w:szCs w:val="24"/>
          <w:lang w:val="mn-MN"/>
        </w:rPr>
        <w:t>н</w:t>
      </w:r>
      <w:r w:rsidRPr="006A4151">
        <w:rPr>
          <w:rFonts w:ascii="Arial" w:hAnsi="Arial" w:cs="Arial"/>
          <w:sz w:val="24"/>
          <w:szCs w:val="24"/>
          <w:lang w:val="mn-MN"/>
        </w:rPr>
        <w:t xml:space="preserve"> мэдээлэл, нэгдсэн арга, аргачлалаар хангах нөхцөлийг хууль, эрх зүйн өөрчлөлтөөр бий болгосноор нийгэм, эдийн засгийн өсөлт, хүртэ</w:t>
      </w:r>
      <w:r w:rsidR="00C75CEB" w:rsidRPr="006A4151">
        <w:rPr>
          <w:rFonts w:ascii="Arial" w:hAnsi="Arial" w:cs="Arial"/>
          <w:sz w:val="24"/>
          <w:szCs w:val="24"/>
          <w:lang w:val="mn-MN"/>
        </w:rPr>
        <w:t>э</w:t>
      </w:r>
      <w:r w:rsidRPr="006A4151">
        <w:rPr>
          <w:rFonts w:ascii="Arial" w:hAnsi="Arial" w:cs="Arial"/>
          <w:sz w:val="24"/>
          <w:szCs w:val="24"/>
          <w:lang w:val="mn-MN"/>
        </w:rPr>
        <w:t>мжи</w:t>
      </w:r>
      <w:r w:rsidR="0058483C" w:rsidRPr="006A4151">
        <w:rPr>
          <w:rFonts w:ascii="Arial" w:hAnsi="Arial" w:cs="Arial"/>
          <w:sz w:val="24"/>
          <w:szCs w:val="24"/>
          <w:lang w:val="mn-MN"/>
        </w:rPr>
        <w:t>йг нэмэгдүүлэх нөхцөл бүрдүүлнэ</w:t>
      </w:r>
      <w:r w:rsidRPr="006A4151">
        <w:rPr>
          <w:rFonts w:ascii="Arial" w:hAnsi="Arial" w:cs="Arial"/>
          <w:sz w:val="24"/>
          <w:szCs w:val="24"/>
          <w:lang w:val="mn-MN"/>
        </w:rPr>
        <w:t xml:space="preserve">.  </w:t>
      </w:r>
    </w:p>
    <w:p w14:paraId="76DA8608" w14:textId="77777777" w:rsidR="007A2836" w:rsidRPr="006A4151" w:rsidRDefault="007A2836" w:rsidP="00314B8D">
      <w:pPr>
        <w:spacing w:after="0" w:line="240" w:lineRule="auto"/>
        <w:jc w:val="both"/>
        <w:rPr>
          <w:rFonts w:ascii="Arial" w:hAnsi="Arial" w:cs="Arial"/>
          <w:sz w:val="24"/>
          <w:szCs w:val="24"/>
          <w:lang w:val="mn-MN"/>
        </w:rPr>
      </w:pPr>
    </w:p>
    <w:p w14:paraId="2B2A4279" w14:textId="1F177DCD" w:rsidR="007A2836" w:rsidRPr="006A4151" w:rsidRDefault="007A2836"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Үйл ажиллагаа явуулж буй аж ахуйн нэгжийн тоо:</w:t>
      </w:r>
    </w:p>
    <w:tbl>
      <w:tblPr>
        <w:tblStyle w:val="TableGrid"/>
        <w:tblW w:w="8908" w:type="dxa"/>
        <w:tblInd w:w="108" w:type="dxa"/>
        <w:tblLook w:val="04A0" w:firstRow="1" w:lastRow="0" w:firstColumn="1" w:lastColumn="0" w:noHBand="0" w:noVBand="1"/>
      </w:tblPr>
      <w:tblGrid>
        <w:gridCol w:w="4567"/>
        <w:gridCol w:w="900"/>
        <w:gridCol w:w="900"/>
        <w:gridCol w:w="900"/>
        <w:gridCol w:w="810"/>
        <w:gridCol w:w="831"/>
      </w:tblGrid>
      <w:tr w:rsidR="007A2836" w:rsidRPr="006A4151" w14:paraId="46CCDE62" w14:textId="77777777" w:rsidTr="006C3121">
        <w:trPr>
          <w:trHeight w:val="58"/>
        </w:trPr>
        <w:tc>
          <w:tcPr>
            <w:tcW w:w="4567" w:type="dxa"/>
            <w:vAlign w:val="center"/>
            <w:hideMark/>
          </w:tcPr>
          <w:p w14:paraId="0F44E10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Он</w:t>
            </w:r>
          </w:p>
        </w:tc>
        <w:tc>
          <w:tcPr>
            <w:tcW w:w="900" w:type="dxa"/>
            <w:vAlign w:val="center"/>
            <w:hideMark/>
          </w:tcPr>
          <w:p w14:paraId="607A289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2019</w:t>
            </w:r>
          </w:p>
        </w:tc>
        <w:tc>
          <w:tcPr>
            <w:tcW w:w="900" w:type="dxa"/>
            <w:vAlign w:val="center"/>
            <w:hideMark/>
          </w:tcPr>
          <w:p w14:paraId="4974925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2020</w:t>
            </w:r>
          </w:p>
        </w:tc>
        <w:tc>
          <w:tcPr>
            <w:tcW w:w="900" w:type="dxa"/>
            <w:vAlign w:val="center"/>
            <w:hideMark/>
          </w:tcPr>
          <w:p w14:paraId="181EA06C"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2021</w:t>
            </w:r>
          </w:p>
        </w:tc>
        <w:tc>
          <w:tcPr>
            <w:tcW w:w="810" w:type="dxa"/>
            <w:vAlign w:val="center"/>
            <w:hideMark/>
          </w:tcPr>
          <w:p w14:paraId="69FD050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2022</w:t>
            </w:r>
          </w:p>
        </w:tc>
        <w:tc>
          <w:tcPr>
            <w:tcW w:w="831" w:type="dxa"/>
            <w:vAlign w:val="center"/>
            <w:hideMark/>
          </w:tcPr>
          <w:p w14:paraId="2AB6EDC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2023</w:t>
            </w:r>
          </w:p>
        </w:tc>
      </w:tr>
      <w:tr w:rsidR="007A2836" w:rsidRPr="006A4151" w14:paraId="6AAB3674" w14:textId="77777777" w:rsidTr="006C3121">
        <w:trPr>
          <w:trHeight w:val="58"/>
        </w:trPr>
        <w:tc>
          <w:tcPr>
            <w:tcW w:w="4567" w:type="dxa"/>
            <w:noWrap/>
            <w:vAlign w:val="center"/>
            <w:hideMark/>
          </w:tcPr>
          <w:p w14:paraId="3C7C2F71" w14:textId="77777777" w:rsidR="007A2836" w:rsidRPr="006A4151" w:rsidRDefault="007A2836" w:rsidP="00314B8D">
            <w:pPr>
              <w:jc w:val="center"/>
              <w:rPr>
                <w:rFonts w:ascii="Arial" w:hAnsi="Arial" w:cs="Arial"/>
                <w:b/>
                <w:bCs/>
                <w:sz w:val="24"/>
                <w:szCs w:val="24"/>
                <w:lang w:val="mn-MN"/>
              </w:rPr>
            </w:pPr>
            <w:r w:rsidRPr="006A4151">
              <w:rPr>
                <w:rFonts w:ascii="Arial" w:hAnsi="Arial" w:cs="Arial"/>
                <w:b/>
                <w:bCs/>
                <w:sz w:val="24"/>
                <w:szCs w:val="24"/>
                <w:lang w:val="mn-MN"/>
              </w:rPr>
              <w:t>Үйл ажиллагаа явуулж буй ААН-ийн тоо (мянга)</w:t>
            </w:r>
          </w:p>
        </w:tc>
        <w:tc>
          <w:tcPr>
            <w:tcW w:w="900" w:type="dxa"/>
            <w:noWrap/>
            <w:vAlign w:val="center"/>
            <w:hideMark/>
          </w:tcPr>
          <w:p w14:paraId="0334D3B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75.5</w:t>
            </w:r>
          </w:p>
        </w:tc>
        <w:tc>
          <w:tcPr>
            <w:tcW w:w="900" w:type="dxa"/>
            <w:noWrap/>
            <w:vAlign w:val="center"/>
            <w:hideMark/>
          </w:tcPr>
          <w:p w14:paraId="1CAB399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76.3</w:t>
            </w:r>
          </w:p>
        </w:tc>
        <w:tc>
          <w:tcPr>
            <w:tcW w:w="900" w:type="dxa"/>
            <w:noWrap/>
            <w:vAlign w:val="center"/>
            <w:hideMark/>
          </w:tcPr>
          <w:p w14:paraId="6FCD70CF"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81.5</w:t>
            </w:r>
          </w:p>
        </w:tc>
        <w:tc>
          <w:tcPr>
            <w:tcW w:w="810" w:type="dxa"/>
            <w:noWrap/>
            <w:vAlign w:val="center"/>
            <w:hideMark/>
          </w:tcPr>
          <w:p w14:paraId="376D97F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91.8</w:t>
            </w:r>
          </w:p>
        </w:tc>
        <w:tc>
          <w:tcPr>
            <w:tcW w:w="831" w:type="dxa"/>
            <w:noWrap/>
            <w:vAlign w:val="center"/>
            <w:hideMark/>
          </w:tcPr>
          <w:p w14:paraId="026B551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96.8</w:t>
            </w:r>
          </w:p>
        </w:tc>
      </w:tr>
    </w:tbl>
    <w:p w14:paraId="4554F2B5" w14:textId="77777777" w:rsidR="007A2836" w:rsidRPr="006A4151" w:rsidRDefault="007A2836"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Эх сурвалж: Үндэсний статистикийн хороо</w:t>
      </w:r>
    </w:p>
    <w:p w14:paraId="13F68454" w14:textId="77777777" w:rsidR="0034133E" w:rsidRPr="006A4151" w:rsidRDefault="0034133E" w:rsidP="00314B8D">
      <w:pPr>
        <w:spacing w:after="0" w:line="240" w:lineRule="auto"/>
        <w:ind w:firstLine="720"/>
        <w:jc w:val="both"/>
        <w:rPr>
          <w:rFonts w:ascii="Arial" w:hAnsi="Arial" w:cs="Arial"/>
          <w:sz w:val="24"/>
          <w:szCs w:val="24"/>
          <w:lang w:val="mn-MN"/>
        </w:rPr>
      </w:pPr>
    </w:p>
    <w:p w14:paraId="66EFF02E" w14:textId="2EE100C7"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Аж ахуйн нэгжийн үйл ажиллагааг дэмжих бодлогын нэг хэрэгсэл бол зээл, санхүүжилтийн үйлчилгээг эрсдэлийн удирдлагад суурилж нэвтрүүлэх бөгөөд үр дүнг нэгдсэн зэрэглэл тогтоох </w:t>
      </w:r>
      <w:r w:rsidR="004B5E59" w:rsidRPr="006A4151">
        <w:rPr>
          <w:rFonts w:ascii="Arial" w:hAnsi="Arial" w:cs="Arial"/>
          <w:sz w:val="24"/>
          <w:szCs w:val="24"/>
          <w:lang w:val="mn-MN"/>
        </w:rPr>
        <w:t xml:space="preserve">онооны </w:t>
      </w:r>
      <w:r w:rsidRPr="006A4151">
        <w:rPr>
          <w:rFonts w:ascii="Arial" w:hAnsi="Arial" w:cs="Arial"/>
          <w:sz w:val="24"/>
          <w:szCs w:val="24"/>
          <w:lang w:val="mn-MN"/>
        </w:rPr>
        <w:t>аргачлалаар үнэлэх явдал юм.</w:t>
      </w:r>
      <w:r w:rsidR="00C75CEB" w:rsidRPr="006A4151">
        <w:rPr>
          <w:rFonts w:ascii="Arial" w:hAnsi="Arial" w:cs="Arial"/>
          <w:sz w:val="24"/>
          <w:szCs w:val="24"/>
          <w:lang w:val="mn-MN"/>
        </w:rPr>
        <w:t xml:space="preserve"> </w:t>
      </w:r>
      <w:r w:rsidRPr="006A4151">
        <w:rPr>
          <w:rFonts w:ascii="Arial" w:hAnsi="Arial" w:cs="Arial"/>
          <w:sz w:val="24"/>
          <w:szCs w:val="24"/>
          <w:lang w:val="mn-MN"/>
        </w:rPr>
        <w:t>Тэгснээр зээлийн мэдээллийг ашиглаж аж ахуйн нэгжийн үйл ажиллагаатай уялдсан санхүүгийн үйлчилгээг бий бол</w:t>
      </w:r>
      <w:r w:rsidR="00C75CEB" w:rsidRPr="006A4151">
        <w:rPr>
          <w:rFonts w:ascii="Arial" w:hAnsi="Arial" w:cs="Arial"/>
          <w:sz w:val="24"/>
          <w:szCs w:val="24"/>
          <w:lang w:val="mn-MN"/>
        </w:rPr>
        <w:t>го</w:t>
      </w:r>
      <w:r w:rsidRPr="006A4151">
        <w:rPr>
          <w:rFonts w:ascii="Arial" w:hAnsi="Arial" w:cs="Arial"/>
          <w:sz w:val="24"/>
          <w:szCs w:val="24"/>
          <w:lang w:val="mn-MN"/>
        </w:rPr>
        <w:t xml:space="preserve">но.     </w:t>
      </w:r>
    </w:p>
    <w:p w14:paraId="67D2F4D9" w14:textId="11B20BA6"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lastRenderedPageBreak/>
        <w:t xml:space="preserve">Улсын Их Хурлын 2020 оны 52 </w:t>
      </w:r>
      <w:r w:rsidR="00C75CEB" w:rsidRPr="006A4151">
        <w:rPr>
          <w:rFonts w:ascii="Arial" w:hAnsi="Arial" w:cs="Arial"/>
          <w:sz w:val="24"/>
          <w:szCs w:val="24"/>
          <w:lang w:val="mn-MN"/>
        </w:rPr>
        <w:t>тоот</w:t>
      </w:r>
      <w:r w:rsidRPr="006A4151">
        <w:rPr>
          <w:rFonts w:ascii="Arial" w:hAnsi="Arial" w:cs="Arial"/>
          <w:sz w:val="24"/>
          <w:szCs w:val="24"/>
          <w:lang w:val="mn-MN"/>
        </w:rPr>
        <w:t xml:space="preserve"> тогтоолоор “Алсын хараа – 2050” Монгол Улсын урт хугацааны хөгжлийн бодлогы</w:t>
      </w:r>
      <w:r w:rsidR="00C75CEB" w:rsidRPr="006A4151">
        <w:rPr>
          <w:rFonts w:ascii="Arial" w:hAnsi="Arial" w:cs="Arial"/>
          <w:sz w:val="24"/>
          <w:szCs w:val="24"/>
          <w:lang w:val="mn-MN"/>
        </w:rPr>
        <w:t>г</w:t>
      </w:r>
      <w:r w:rsidRPr="006A4151">
        <w:rPr>
          <w:rFonts w:ascii="Arial" w:hAnsi="Arial" w:cs="Arial"/>
          <w:sz w:val="24"/>
          <w:szCs w:val="24"/>
          <w:lang w:val="mn-MN"/>
        </w:rPr>
        <w:t xml:space="preserve"> баталсан.</w:t>
      </w:r>
      <w:r w:rsidR="00C75CEB" w:rsidRPr="006A4151">
        <w:rPr>
          <w:rFonts w:ascii="Arial" w:hAnsi="Arial" w:cs="Arial"/>
          <w:sz w:val="24"/>
          <w:szCs w:val="24"/>
          <w:lang w:val="mn-MN"/>
        </w:rPr>
        <w:t xml:space="preserve"> </w:t>
      </w:r>
      <w:bookmarkStart w:id="2" w:name="_Hlk165319469"/>
      <w:r w:rsidRPr="006A4151">
        <w:rPr>
          <w:rFonts w:ascii="Arial" w:hAnsi="Arial" w:cs="Arial"/>
          <w:sz w:val="24"/>
          <w:szCs w:val="24"/>
          <w:lang w:val="mn-MN"/>
        </w:rPr>
        <w:t>Энэхүү баримт бичгээр дундаж давх</w:t>
      </w:r>
      <w:r w:rsidR="00C75CEB" w:rsidRPr="006A4151">
        <w:rPr>
          <w:rFonts w:ascii="Arial" w:hAnsi="Arial" w:cs="Arial"/>
          <w:sz w:val="24"/>
          <w:szCs w:val="24"/>
          <w:lang w:val="mn-MN"/>
        </w:rPr>
        <w:t>арг</w:t>
      </w:r>
      <w:r w:rsidRPr="006A4151">
        <w:rPr>
          <w:rFonts w:ascii="Arial" w:hAnsi="Arial" w:cs="Arial"/>
          <w:sz w:val="24"/>
          <w:szCs w:val="24"/>
          <w:lang w:val="mn-MN"/>
        </w:rPr>
        <w:t xml:space="preserve">ыг бэхжүүлсэн нийгэм, эдийн засгийн орчныг бий болгож дундаж давхаргыг тэлэхэд чиглэсэн өрх, гэр бүлд хүртээмжтэй банк, санхүүгийн үйлчилгээ бүтээгдэхүүнээр ханган, эрсдэлээс хамгаалах бодлого хэрэгжиж, өрх, гэр бүл өөрийгөө тэтгэн амьдрах нөхцөлийг бүрдүүлэх зорилт дэвжүүлсэн. </w:t>
      </w:r>
      <w:r w:rsidR="00C75CEB" w:rsidRPr="006A4151">
        <w:rPr>
          <w:rFonts w:ascii="Arial" w:hAnsi="Arial" w:cs="Arial"/>
          <w:sz w:val="24"/>
          <w:szCs w:val="24"/>
          <w:lang w:val="mn-MN"/>
        </w:rPr>
        <w:t xml:space="preserve"> </w:t>
      </w:r>
      <w:r w:rsidRPr="006A4151">
        <w:rPr>
          <w:rFonts w:ascii="Arial" w:hAnsi="Arial" w:cs="Arial"/>
          <w:sz w:val="24"/>
          <w:szCs w:val="24"/>
          <w:lang w:val="mn-MN"/>
        </w:rPr>
        <w:t>Монгол Улсын хүн амын тоо 2035 онд 4.02 сая хүрэх төсөөлөлтэй байгаа бол насны бүлгээр ангилбал өсөлтүүд голцуу зээлийн харилцаанд орох насны бүлэгт хамаа</w:t>
      </w:r>
      <w:r w:rsidR="00C75CEB" w:rsidRPr="006A4151">
        <w:rPr>
          <w:rFonts w:ascii="Arial" w:hAnsi="Arial" w:cs="Arial"/>
          <w:sz w:val="24"/>
          <w:szCs w:val="24"/>
          <w:lang w:val="mn-MN"/>
        </w:rPr>
        <w:t>р</w:t>
      </w:r>
      <w:r w:rsidRPr="006A4151">
        <w:rPr>
          <w:rFonts w:ascii="Arial" w:hAnsi="Arial" w:cs="Arial"/>
          <w:sz w:val="24"/>
          <w:szCs w:val="24"/>
          <w:lang w:val="mn-MN"/>
        </w:rPr>
        <w:t xml:space="preserve">ч байгаа тул цаашид банк, санхүүгийн үйл ажиллагаа цахим руу шилжих, их өгөгдөл буюу зээлдэгчийн зээлийн мэдээлэл дээр суурилсан шийдвэрийг гаргах шаардлагатайг илтгэж байна. </w:t>
      </w:r>
    </w:p>
    <w:bookmarkEnd w:id="2"/>
    <w:p w14:paraId="23080FA3" w14:textId="77777777" w:rsidR="007A2836" w:rsidRPr="006A4151" w:rsidRDefault="007A2836" w:rsidP="00314B8D">
      <w:pPr>
        <w:spacing w:after="0" w:line="240" w:lineRule="auto"/>
        <w:jc w:val="both"/>
        <w:rPr>
          <w:rFonts w:ascii="Arial" w:hAnsi="Arial" w:cs="Arial"/>
          <w:sz w:val="24"/>
          <w:szCs w:val="24"/>
          <w:lang w:val="mn-MN"/>
        </w:rPr>
      </w:pPr>
    </w:p>
    <w:p w14:paraId="074C9BC9" w14:textId="77777777" w:rsidR="007A2836" w:rsidRPr="006A4151" w:rsidRDefault="007A2836"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 xml:space="preserve">Хүн амын тоо насны бүлгээр: </w:t>
      </w:r>
    </w:p>
    <w:tbl>
      <w:tblPr>
        <w:tblStyle w:val="TableGrid"/>
        <w:tblW w:w="0" w:type="auto"/>
        <w:tblInd w:w="108" w:type="dxa"/>
        <w:tblLook w:val="04A0" w:firstRow="1" w:lastRow="0" w:firstColumn="1" w:lastColumn="0" w:noHBand="0" w:noVBand="1"/>
      </w:tblPr>
      <w:tblGrid>
        <w:gridCol w:w="1687"/>
        <w:gridCol w:w="1284"/>
        <w:gridCol w:w="1284"/>
        <w:gridCol w:w="1399"/>
      </w:tblGrid>
      <w:tr w:rsidR="007A2836" w:rsidRPr="006A4151" w14:paraId="3A28E5C4" w14:textId="77777777" w:rsidTr="006C3121">
        <w:trPr>
          <w:trHeight w:val="58"/>
        </w:trPr>
        <w:tc>
          <w:tcPr>
            <w:tcW w:w="1687" w:type="dxa"/>
            <w:hideMark/>
          </w:tcPr>
          <w:p w14:paraId="21013102" w14:textId="77777777" w:rsidR="007A2836" w:rsidRPr="006A4151" w:rsidRDefault="007A2836" w:rsidP="00314B8D">
            <w:pPr>
              <w:jc w:val="center"/>
              <w:rPr>
                <w:rFonts w:ascii="Arial" w:hAnsi="Arial" w:cs="Arial"/>
                <w:b/>
                <w:bCs/>
                <w:sz w:val="24"/>
                <w:szCs w:val="24"/>
                <w:lang w:val="mn-MN"/>
              </w:rPr>
            </w:pPr>
            <w:r w:rsidRPr="006A4151">
              <w:rPr>
                <w:rFonts w:ascii="Arial" w:hAnsi="Arial" w:cs="Arial"/>
                <w:b/>
                <w:bCs/>
                <w:sz w:val="24"/>
                <w:szCs w:val="24"/>
                <w:lang w:val="mn-MN"/>
              </w:rPr>
              <w:t>Насны бүлэг</w:t>
            </w:r>
          </w:p>
        </w:tc>
        <w:tc>
          <w:tcPr>
            <w:tcW w:w="1284" w:type="dxa"/>
            <w:hideMark/>
          </w:tcPr>
          <w:p w14:paraId="45C1DC0A" w14:textId="77777777" w:rsidR="007A2836" w:rsidRPr="006A4151" w:rsidRDefault="007A2836" w:rsidP="00314B8D">
            <w:pPr>
              <w:jc w:val="center"/>
              <w:rPr>
                <w:rFonts w:ascii="Arial" w:hAnsi="Arial" w:cs="Arial"/>
                <w:b/>
                <w:bCs/>
                <w:sz w:val="24"/>
                <w:szCs w:val="24"/>
                <w:lang w:val="mn-MN"/>
              </w:rPr>
            </w:pPr>
            <w:r w:rsidRPr="006A4151">
              <w:rPr>
                <w:rFonts w:ascii="Arial" w:hAnsi="Arial" w:cs="Arial"/>
                <w:b/>
                <w:bCs/>
                <w:sz w:val="24"/>
                <w:szCs w:val="24"/>
                <w:lang w:val="mn-MN"/>
              </w:rPr>
              <w:t>2020</w:t>
            </w:r>
          </w:p>
        </w:tc>
        <w:tc>
          <w:tcPr>
            <w:tcW w:w="1284" w:type="dxa"/>
            <w:hideMark/>
          </w:tcPr>
          <w:p w14:paraId="39233BF5" w14:textId="77777777" w:rsidR="007A2836" w:rsidRPr="006A4151" w:rsidRDefault="007A2836" w:rsidP="00314B8D">
            <w:pPr>
              <w:jc w:val="center"/>
              <w:rPr>
                <w:rFonts w:ascii="Arial" w:hAnsi="Arial" w:cs="Arial"/>
                <w:b/>
                <w:bCs/>
                <w:sz w:val="24"/>
                <w:szCs w:val="24"/>
                <w:lang w:val="mn-MN"/>
              </w:rPr>
            </w:pPr>
            <w:r w:rsidRPr="006A4151">
              <w:rPr>
                <w:rFonts w:ascii="Arial" w:hAnsi="Arial" w:cs="Arial"/>
                <w:b/>
                <w:bCs/>
                <w:sz w:val="24"/>
                <w:szCs w:val="24"/>
                <w:lang w:val="mn-MN"/>
              </w:rPr>
              <w:t>2035</w:t>
            </w:r>
          </w:p>
        </w:tc>
        <w:tc>
          <w:tcPr>
            <w:tcW w:w="1399" w:type="dxa"/>
            <w:hideMark/>
          </w:tcPr>
          <w:p w14:paraId="17BFF50E" w14:textId="77777777" w:rsidR="007A2836" w:rsidRPr="006A4151" w:rsidRDefault="007A2836" w:rsidP="00314B8D">
            <w:pPr>
              <w:jc w:val="center"/>
              <w:rPr>
                <w:rFonts w:ascii="Arial" w:hAnsi="Arial" w:cs="Arial"/>
                <w:b/>
                <w:bCs/>
                <w:sz w:val="24"/>
                <w:szCs w:val="24"/>
                <w:lang w:val="mn-MN"/>
              </w:rPr>
            </w:pPr>
            <w:r w:rsidRPr="006A4151">
              <w:rPr>
                <w:rFonts w:ascii="Arial" w:hAnsi="Arial" w:cs="Arial"/>
                <w:b/>
                <w:bCs/>
                <w:sz w:val="24"/>
                <w:szCs w:val="24"/>
                <w:lang w:val="mn-MN"/>
              </w:rPr>
              <w:t>Өөрчлөлт</w:t>
            </w:r>
          </w:p>
        </w:tc>
      </w:tr>
      <w:tr w:rsidR="007A2836" w:rsidRPr="006A4151" w14:paraId="4D014DF8" w14:textId="77777777" w:rsidTr="006C3121">
        <w:trPr>
          <w:trHeight w:val="58"/>
        </w:trPr>
        <w:tc>
          <w:tcPr>
            <w:tcW w:w="1687" w:type="dxa"/>
            <w:noWrap/>
            <w:hideMark/>
          </w:tcPr>
          <w:p w14:paraId="4E03553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85+</w:t>
            </w:r>
          </w:p>
        </w:tc>
        <w:tc>
          <w:tcPr>
            <w:tcW w:w="1284" w:type="dxa"/>
            <w:noWrap/>
            <w:hideMark/>
          </w:tcPr>
          <w:p w14:paraId="70E8DD9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9,596</w:t>
            </w:r>
          </w:p>
        </w:tc>
        <w:tc>
          <w:tcPr>
            <w:tcW w:w="1284" w:type="dxa"/>
            <w:noWrap/>
            <w:hideMark/>
          </w:tcPr>
          <w:p w14:paraId="308AF0E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13,328</w:t>
            </w:r>
          </w:p>
        </w:tc>
        <w:tc>
          <w:tcPr>
            <w:tcW w:w="1399" w:type="dxa"/>
            <w:noWrap/>
            <w:hideMark/>
          </w:tcPr>
          <w:p w14:paraId="5D48CD8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39%</w:t>
            </w:r>
          </w:p>
        </w:tc>
      </w:tr>
      <w:tr w:rsidR="007A2836" w:rsidRPr="006A4151" w14:paraId="60DD5809" w14:textId="77777777" w:rsidTr="006C3121">
        <w:trPr>
          <w:trHeight w:val="58"/>
        </w:trPr>
        <w:tc>
          <w:tcPr>
            <w:tcW w:w="1687" w:type="dxa"/>
            <w:noWrap/>
            <w:hideMark/>
          </w:tcPr>
          <w:p w14:paraId="4618F71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80-74</w:t>
            </w:r>
          </w:p>
        </w:tc>
        <w:tc>
          <w:tcPr>
            <w:tcW w:w="1284" w:type="dxa"/>
            <w:noWrap/>
            <w:hideMark/>
          </w:tcPr>
          <w:p w14:paraId="46CBF89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14,143</w:t>
            </w:r>
          </w:p>
        </w:tc>
        <w:tc>
          <w:tcPr>
            <w:tcW w:w="1284" w:type="dxa"/>
            <w:noWrap/>
            <w:hideMark/>
          </w:tcPr>
          <w:p w14:paraId="1A0C540F"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24,784</w:t>
            </w:r>
          </w:p>
        </w:tc>
        <w:tc>
          <w:tcPr>
            <w:tcW w:w="1399" w:type="dxa"/>
            <w:noWrap/>
            <w:hideMark/>
          </w:tcPr>
          <w:p w14:paraId="6601747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75%</w:t>
            </w:r>
          </w:p>
        </w:tc>
      </w:tr>
      <w:tr w:rsidR="007A2836" w:rsidRPr="006A4151" w14:paraId="1A0C704C" w14:textId="77777777" w:rsidTr="006C3121">
        <w:trPr>
          <w:trHeight w:val="58"/>
        </w:trPr>
        <w:tc>
          <w:tcPr>
            <w:tcW w:w="1687" w:type="dxa"/>
            <w:noWrap/>
            <w:hideMark/>
          </w:tcPr>
          <w:p w14:paraId="26873F91"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75-79</w:t>
            </w:r>
          </w:p>
        </w:tc>
        <w:tc>
          <w:tcPr>
            <w:tcW w:w="1284" w:type="dxa"/>
            <w:noWrap/>
            <w:hideMark/>
          </w:tcPr>
          <w:p w14:paraId="2D9E5F8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24,683</w:t>
            </w:r>
          </w:p>
        </w:tc>
        <w:tc>
          <w:tcPr>
            <w:tcW w:w="1284" w:type="dxa"/>
            <w:noWrap/>
            <w:hideMark/>
          </w:tcPr>
          <w:p w14:paraId="2FC3FE0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59,338</w:t>
            </w:r>
          </w:p>
        </w:tc>
        <w:tc>
          <w:tcPr>
            <w:tcW w:w="1399" w:type="dxa"/>
            <w:noWrap/>
            <w:hideMark/>
          </w:tcPr>
          <w:p w14:paraId="0CF47A81"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140%</w:t>
            </w:r>
          </w:p>
        </w:tc>
      </w:tr>
      <w:tr w:rsidR="007A2836" w:rsidRPr="006A4151" w14:paraId="68500F22" w14:textId="77777777" w:rsidTr="006C3121">
        <w:trPr>
          <w:trHeight w:val="58"/>
        </w:trPr>
        <w:tc>
          <w:tcPr>
            <w:tcW w:w="1687" w:type="dxa"/>
            <w:noWrap/>
            <w:hideMark/>
          </w:tcPr>
          <w:p w14:paraId="6A3CC76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70-74</w:t>
            </w:r>
          </w:p>
        </w:tc>
        <w:tc>
          <w:tcPr>
            <w:tcW w:w="1284" w:type="dxa"/>
            <w:noWrap/>
            <w:hideMark/>
          </w:tcPr>
          <w:p w14:paraId="38B9E82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34,515</w:t>
            </w:r>
          </w:p>
        </w:tc>
        <w:tc>
          <w:tcPr>
            <w:tcW w:w="1284" w:type="dxa"/>
            <w:noWrap/>
            <w:hideMark/>
          </w:tcPr>
          <w:p w14:paraId="4F0BC2B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100,918</w:t>
            </w:r>
          </w:p>
        </w:tc>
        <w:tc>
          <w:tcPr>
            <w:tcW w:w="1399" w:type="dxa"/>
            <w:noWrap/>
            <w:hideMark/>
          </w:tcPr>
          <w:p w14:paraId="11398FD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192%</w:t>
            </w:r>
          </w:p>
        </w:tc>
      </w:tr>
      <w:tr w:rsidR="007A2836" w:rsidRPr="006A4151" w14:paraId="77E1CC51" w14:textId="77777777" w:rsidTr="006C3121">
        <w:trPr>
          <w:trHeight w:val="63"/>
        </w:trPr>
        <w:tc>
          <w:tcPr>
            <w:tcW w:w="1687" w:type="dxa"/>
            <w:noWrap/>
            <w:hideMark/>
          </w:tcPr>
          <w:p w14:paraId="626177FF"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65-69</w:t>
            </w:r>
          </w:p>
        </w:tc>
        <w:tc>
          <w:tcPr>
            <w:tcW w:w="1284" w:type="dxa"/>
            <w:noWrap/>
            <w:hideMark/>
          </w:tcPr>
          <w:p w14:paraId="50455A0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56,726</w:t>
            </w:r>
          </w:p>
        </w:tc>
        <w:tc>
          <w:tcPr>
            <w:tcW w:w="1284" w:type="dxa"/>
            <w:noWrap/>
            <w:hideMark/>
          </w:tcPr>
          <w:p w14:paraId="0F9AFFE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133,221</w:t>
            </w:r>
          </w:p>
        </w:tc>
        <w:tc>
          <w:tcPr>
            <w:tcW w:w="1399" w:type="dxa"/>
            <w:noWrap/>
            <w:hideMark/>
          </w:tcPr>
          <w:p w14:paraId="4858207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135%</w:t>
            </w:r>
          </w:p>
        </w:tc>
      </w:tr>
      <w:tr w:rsidR="007A2836" w:rsidRPr="006A4151" w14:paraId="5E6AA121" w14:textId="77777777" w:rsidTr="006C3121">
        <w:trPr>
          <w:trHeight w:val="58"/>
        </w:trPr>
        <w:tc>
          <w:tcPr>
            <w:tcW w:w="1687" w:type="dxa"/>
            <w:noWrap/>
            <w:hideMark/>
          </w:tcPr>
          <w:p w14:paraId="2C6838E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60-64</w:t>
            </w:r>
          </w:p>
        </w:tc>
        <w:tc>
          <w:tcPr>
            <w:tcW w:w="1284" w:type="dxa"/>
            <w:noWrap/>
            <w:hideMark/>
          </w:tcPr>
          <w:p w14:paraId="355B20E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100,790</w:t>
            </w:r>
          </w:p>
        </w:tc>
        <w:tc>
          <w:tcPr>
            <w:tcW w:w="1284" w:type="dxa"/>
            <w:noWrap/>
            <w:hideMark/>
          </w:tcPr>
          <w:p w14:paraId="0409050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169,495</w:t>
            </w:r>
          </w:p>
        </w:tc>
        <w:tc>
          <w:tcPr>
            <w:tcW w:w="1399" w:type="dxa"/>
            <w:noWrap/>
            <w:hideMark/>
          </w:tcPr>
          <w:p w14:paraId="6911796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68%</w:t>
            </w:r>
          </w:p>
        </w:tc>
      </w:tr>
      <w:tr w:rsidR="007A2836" w:rsidRPr="006A4151" w14:paraId="0D8F014E" w14:textId="77777777" w:rsidTr="006C3121">
        <w:trPr>
          <w:trHeight w:val="300"/>
        </w:trPr>
        <w:tc>
          <w:tcPr>
            <w:tcW w:w="1687" w:type="dxa"/>
            <w:noWrap/>
            <w:hideMark/>
          </w:tcPr>
          <w:p w14:paraId="3BB46AD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55-59</w:t>
            </w:r>
          </w:p>
        </w:tc>
        <w:tc>
          <w:tcPr>
            <w:tcW w:w="1284" w:type="dxa"/>
            <w:noWrap/>
            <w:hideMark/>
          </w:tcPr>
          <w:p w14:paraId="1373C3F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141,592</w:t>
            </w:r>
          </w:p>
        </w:tc>
        <w:tc>
          <w:tcPr>
            <w:tcW w:w="1284" w:type="dxa"/>
            <w:noWrap/>
            <w:hideMark/>
          </w:tcPr>
          <w:p w14:paraId="5B3209B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199,831</w:t>
            </w:r>
          </w:p>
        </w:tc>
        <w:tc>
          <w:tcPr>
            <w:tcW w:w="1399" w:type="dxa"/>
            <w:noWrap/>
            <w:hideMark/>
          </w:tcPr>
          <w:p w14:paraId="29AA83CC"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41%</w:t>
            </w:r>
          </w:p>
        </w:tc>
      </w:tr>
      <w:tr w:rsidR="007A2836" w:rsidRPr="006A4151" w14:paraId="6C4C6407" w14:textId="77777777" w:rsidTr="006C3121">
        <w:trPr>
          <w:trHeight w:val="58"/>
        </w:trPr>
        <w:tc>
          <w:tcPr>
            <w:tcW w:w="1687" w:type="dxa"/>
            <w:noWrap/>
            <w:hideMark/>
          </w:tcPr>
          <w:p w14:paraId="4231B8C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50-54</w:t>
            </w:r>
          </w:p>
        </w:tc>
        <w:tc>
          <w:tcPr>
            <w:tcW w:w="1284" w:type="dxa"/>
            <w:noWrap/>
            <w:hideMark/>
          </w:tcPr>
          <w:p w14:paraId="088B2B1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164,767</w:t>
            </w:r>
          </w:p>
        </w:tc>
        <w:tc>
          <w:tcPr>
            <w:tcW w:w="1284" w:type="dxa"/>
            <w:noWrap/>
            <w:hideMark/>
          </w:tcPr>
          <w:p w14:paraId="5E003DE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231,542</w:t>
            </w:r>
          </w:p>
        </w:tc>
        <w:tc>
          <w:tcPr>
            <w:tcW w:w="1399" w:type="dxa"/>
            <w:noWrap/>
            <w:hideMark/>
          </w:tcPr>
          <w:p w14:paraId="4A52F9F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41%</w:t>
            </w:r>
          </w:p>
        </w:tc>
      </w:tr>
      <w:tr w:rsidR="007A2836" w:rsidRPr="006A4151" w14:paraId="4642D3A6" w14:textId="77777777" w:rsidTr="006C3121">
        <w:trPr>
          <w:trHeight w:val="58"/>
        </w:trPr>
        <w:tc>
          <w:tcPr>
            <w:tcW w:w="1687" w:type="dxa"/>
            <w:noWrap/>
            <w:hideMark/>
          </w:tcPr>
          <w:p w14:paraId="49A63E9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45-49</w:t>
            </w:r>
          </w:p>
        </w:tc>
        <w:tc>
          <w:tcPr>
            <w:tcW w:w="1284" w:type="dxa"/>
            <w:noWrap/>
            <w:hideMark/>
          </w:tcPr>
          <w:p w14:paraId="09BB8C1C"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193,511</w:t>
            </w:r>
          </w:p>
        </w:tc>
        <w:tc>
          <w:tcPr>
            <w:tcW w:w="1284" w:type="dxa"/>
            <w:noWrap/>
            <w:hideMark/>
          </w:tcPr>
          <w:p w14:paraId="7AFAC79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280,309</w:t>
            </w:r>
          </w:p>
        </w:tc>
        <w:tc>
          <w:tcPr>
            <w:tcW w:w="1399" w:type="dxa"/>
            <w:noWrap/>
            <w:hideMark/>
          </w:tcPr>
          <w:p w14:paraId="01C6E4C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45%</w:t>
            </w:r>
          </w:p>
        </w:tc>
      </w:tr>
      <w:tr w:rsidR="007A2836" w:rsidRPr="006A4151" w14:paraId="2207F7FA" w14:textId="77777777" w:rsidTr="006C3121">
        <w:trPr>
          <w:trHeight w:val="56"/>
        </w:trPr>
        <w:tc>
          <w:tcPr>
            <w:tcW w:w="1687" w:type="dxa"/>
            <w:noWrap/>
            <w:hideMark/>
          </w:tcPr>
          <w:p w14:paraId="0CBE53BD"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40-44</w:t>
            </w:r>
          </w:p>
        </w:tc>
        <w:tc>
          <w:tcPr>
            <w:tcW w:w="1284" w:type="dxa"/>
            <w:noWrap/>
            <w:hideMark/>
          </w:tcPr>
          <w:p w14:paraId="7C9F284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216,911</w:t>
            </w:r>
          </w:p>
        </w:tc>
        <w:tc>
          <w:tcPr>
            <w:tcW w:w="1284" w:type="dxa"/>
            <w:noWrap/>
            <w:hideMark/>
          </w:tcPr>
          <w:p w14:paraId="00D891CC"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248,166</w:t>
            </w:r>
          </w:p>
        </w:tc>
        <w:tc>
          <w:tcPr>
            <w:tcW w:w="1399" w:type="dxa"/>
            <w:noWrap/>
            <w:hideMark/>
          </w:tcPr>
          <w:p w14:paraId="0F5DF18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14%</w:t>
            </w:r>
          </w:p>
        </w:tc>
      </w:tr>
      <w:tr w:rsidR="007A2836" w:rsidRPr="006A4151" w14:paraId="4F57A9CF" w14:textId="77777777" w:rsidTr="006C3121">
        <w:trPr>
          <w:trHeight w:val="58"/>
        </w:trPr>
        <w:tc>
          <w:tcPr>
            <w:tcW w:w="1687" w:type="dxa"/>
            <w:noWrap/>
            <w:hideMark/>
          </w:tcPr>
          <w:p w14:paraId="26C103A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35-39</w:t>
            </w:r>
          </w:p>
        </w:tc>
        <w:tc>
          <w:tcPr>
            <w:tcW w:w="1284" w:type="dxa"/>
            <w:noWrap/>
            <w:hideMark/>
          </w:tcPr>
          <w:p w14:paraId="55B701D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243,496</w:t>
            </w:r>
          </w:p>
        </w:tc>
        <w:tc>
          <w:tcPr>
            <w:tcW w:w="1284" w:type="dxa"/>
            <w:noWrap/>
            <w:hideMark/>
          </w:tcPr>
          <w:p w14:paraId="68CE6C3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221,176</w:t>
            </w:r>
          </w:p>
        </w:tc>
        <w:tc>
          <w:tcPr>
            <w:tcW w:w="1399" w:type="dxa"/>
            <w:noWrap/>
            <w:hideMark/>
          </w:tcPr>
          <w:p w14:paraId="521A205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-9%</w:t>
            </w:r>
          </w:p>
        </w:tc>
      </w:tr>
      <w:tr w:rsidR="007A2836" w:rsidRPr="006A4151" w14:paraId="1A309789" w14:textId="77777777" w:rsidTr="006C3121">
        <w:trPr>
          <w:trHeight w:val="58"/>
        </w:trPr>
        <w:tc>
          <w:tcPr>
            <w:tcW w:w="1687" w:type="dxa"/>
            <w:noWrap/>
            <w:hideMark/>
          </w:tcPr>
          <w:p w14:paraId="711A3BD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30-34</w:t>
            </w:r>
          </w:p>
        </w:tc>
        <w:tc>
          <w:tcPr>
            <w:tcW w:w="1284" w:type="dxa"/>
            <w:noWrap/>
            <w:hideMark/>
          </w:tcPr>
          <w:p w14:paraId="1677B36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289,242</w:t>
            </w:r>
          </w:p>
        </w:tc>
        <w:tc>
          <w:tcPr>
            <w:tcW w:w="1284" w:type="dxa"/>
            <w:noWrap/>
            <w:hideMark/>
          </w:tcPr>
          <w:p w14:paraId="092A44B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213,196</w:t>
            </w:r>
          </w:p>
        </w:tc>
        <w:tc>
          <w:tcPr>
            <w:tcW w:w="1399" w:type="dxa"/>
            <w:noWrap/>
            <w:hideMark/>
          </w:tcPr>
          <w:p w14:paraId="359B1991"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-26%</w:t>
            </w:r>
          </w:p>
        </w:tc>
      </w:tr>
      <w:tr w:rsidR="007A2836" w:rsidRPr="006A4151" w14:paraId="34BF1AAA" w14:textId="77777777" w:rsidTr="006C3121">
        <w:trPr>
          <w:trHeight w:val="58"/>
        </w:trPr>
        <w:tc>
          <w:tcPr>
            <w:tcW w:w="1687" w:type="dxa"/>
            <w:noWrap/>
            <w:hideMark/>
          </w:tcPr>
          <w:p w14:paraId="55321DA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25-29</w:t>
            </w:r>
          </w:p>
        </w:tc>
        <w:tc>
          <w:tcPr>
            <w:tcW w:w="1284" w:type="dxa"/>
            <w:noWrap/>
            <w:hideMark/>
          </w:tcPr>
          <w:p w14:paraId="7EA8D3C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253,176</w:t>
            </w:r>
          </w:p>
        </w:tc>
        <w:tc>
          <w:tcPr>
            <w:tcW w:w="1284" w:type="dxa"/>
            <w:noWrap/>
            <w:hideMark/>
          </w:tcPr>
          <w:p w14:paraId="2DD07A8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282,154</w:t>
            </w:r>
          </w:p>
        </w:tc>
        <w:tc>
          <w:tcPr>
            <w:tcW w:w="1399" w:type="dxa"/>
            <w:noWrap/>
            <w:hideMark/>
          </w:tcPr>
          <w:p w14:paraId="31F8E6E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11%</w:t>
            </w:r>
          </w:p>
        </w:tc>
      </w:tr>
      <w:tr w:rsidR="007A2836" w:rsidRPr="006A4151" w14:paraId="0DBDAC82" w14:textId="77777777" w:rsidTr="006C3121">
        <w:trPr>
          <w:trHeight w:val="58"/>
        </w:trPr>
        <w:tc>
          <w:tcPr>
            <w:tcW w:w="1687" w:type="dxa"/>
            <w:noWrap/>
            <w:hideMark/>
          </w:tcPr>
          <w:p w14:paraId="226EB11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20-24</w:t>
            </w:r>
          </w:p>
        </w:tc>
        <w:tc>
          <w:tcPr>
            <w:tcW w:w="1284" w:type="dxa"/>
            <w:noWrap/>
            <w:hideMark/>
          </w:tcPr>
          <w:p w14:paraId="0B8BB3B1"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224,202</w:t>
            </w:r>
          </w:p>
        </w:tc>
        <w:tc>
          <w:tcPr>
            <w:tcW w:w="1284" w:type="dxa"/>
            <w:noWrap/>
            <w:hideMark/>
          </w:tcPr>
          <w:p w14:paraId="097950F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373,699</w:t>
            </w:r>
          </w:p>
        </w:tc>
        <w:tc>
          <w:tcPr>
            <w:tcW w:w="1399" w:type="dxa"/>
            <w:noWrap/>
            <w:hideMark/>
          </w:tcPr>
          <w:p w14:paraId="0E23C80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67%</w:t>
            </w:r>
          </w:p>
        </w:tc>
      </w:tr>
      <w:tr w:rsidR="007A2836" w:rsidRPr="006A4151" w14:paraId="2399CE1F" w14:textId="77777777" w:rsidTr="006C3121">
        <w:trPr>
          <w:trHeight w:val="58"/>
        </w:trPr>
        <w:tc>
          <w:tcPr>
            <w:tcW w:w="1687" w:type="dxa"/>
            <w:noWrap/>
            <w:hideMark/>
          </w:tcPr>
          <w:p w14:paraId="408FA34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15-19</w:t>
            </w:r>
          </w:p>
        </w:tc>
        <w:tc>
          <w:tcPr>
            <w:tcW w:w="1284" w:type="dxa"/>
            <w:noWrap/>
            <w:hideMark/>
          </w:tcPr>
          <w:p w14:paraId="6177F9DD"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215,334</w:t>
            </w:r>
          </w:p>
        </w:tc>
        <w:tc>
          <w:tcPr>
            <w:tcW w:w="1284" w:type="dxa"/>
            <w:noWrap/>
            <w:hideMark/>
          </w:tcPr>
          <w:p w14:paraId="52B9850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380,491</w:t>
            </w:r>
          </w:p>
        </w:tc>
        <w:tc>
          <w:tcPr>
            <w:tcW w:w="1399" w:type="dxa"/>
            <w:noWrap/>
            <w:hideMark/>
          </w:tcPr>
          <w:p w14:paraId="32312D0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77%</w:t>
            </w:r>
          </w:p>
        </w:tc>
      </w:tr>
      <w:tr w:rsidR="007A2836" w:rsidRPr="006A4151" w14:paraId="145B7B81" w14:textId="77777777" w:rsidTr="006C3121">
        <w:trPr>
          <w:trHeight w:val="58"/>
        </w:trPr>
        <w:tc>
          <w:tcPr>
            <w:tcW w:w="1687" w:type="dxa"/>
            <w:noWrap/>
            <w:hideMark/>
          </w:tcPr>
          <w:p w14:paraId="5E854DE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10-14</w:t>
            </w:r>
          </w:p>
        </w:tc>
        <w:tc>
          <w:tcPr>
            <w:tcW w:w="1284" w:type="dxa"/>
            <w:noWrap/>
            <w:hideMark/>
          </w:tcPr>
          <w:p w14:paraId="3B0AA48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284,193</w:t>
            </w:r>
          </w:p>
        </w:tc>
        <w:tc>
          <w:tcPr>
            <w:tcW w:w="1284" w:type="dxa"/>
            <w:noWrap/>
            <w:hideMark/>
          </w:tcPr>
          <w:p w14:paraId="2256DAC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366,018</w:t>
            </w:r>
          </w:p>
        </w:tc>
        <w:tc>
          <w:tcPr>
            <w:tcW w:w="1399" w:type="dxa"/>
            <w:noWrap/>
            <w:hideMark/>
          </w:tcPr>
          <w:p w14:paraId="791421A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29%</w:t>
            </w:r>
          </w:p>
        </w:tc>
      </w:tr>
      <w:tr w:rsidR="007A2836" w:rsidRPr="006A4151" w14:paraId="5992931A" w14:textId="77777777" w:rsidTr="006C3121">
        <w:trPr>
          <w:trHeight w:val="300"/>
        </w:trPr>
        <w:tc>
          <w:tcPr>
            <w:tcW w:w="1687" w:type="dxa"/>
            <w:noWrap/>
            <w:hideMark/>
          </w:tcPr>
          <w:p w14:paraId="149DBF2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5-9</w:t>
            </w:r>
          </w:p>
        </w:tc>
        <w:tc>
          <w:tcPr>
            <w:tcW w:w="1284" w:type="dxa"/>
            <w:noWrap/>
            <w:hideMark/>
          </w:tcPr>
          <w:p w14:paraId="02BA48D5"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375,591</w:t>
            </w:r>
          </w:p>
        </w:tc>
        <w:tc>
          <w:tcPr>
            <w:tcW w:w="1284" w:type="dxa"/>
            <w:noWrap/>
            <w:hideMark/>
          </w:tcPr>
          <w:p w14:paraId="3F88BFD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352,035</w:t>
            </w:r>
          </w:p>
        </w:tc>
        <w:tc>
          <w:tcPr>
            <w:tcW w:w="1399" w:type="dxa"/>
            <w:noWrap/>
            <w:hideMark/>
          </w:tcPr>
          <w:p w14:paraId="7C335D6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-6%</w:t>
            </w:r>
          </w:p>
        </w:tc>
      </w:tr>
      <w:tr w:rsidR="007A2836" w:rsidRPr="006A4151" w14:paraId="16287E9E" w14:textId="77777777" w:rsidTr="003D68E1">
        <w:trPr>
          <w:trHeight w:val="61"/>
        </w:trPr>
        <w:tc>
          <w:tcPr>
            <w:tcW w:w="1687" w:type="dxa"/>
            <w:noWrap/>
            <w:hideMark/>
          </w:tcPr>
          <w:p w14:paraId="67223B4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0-4</w:t>
            </w:r>
          </w:p>
        </w:tc>
        <w:tc>
          <w:tcPr>
            <w:tcW w:w="1284" w:type="dxa"/>
            <w:noWrap/>
            <w:hideMark/>
          </w:tcPr>
          <w:p w14:paraId="27486BF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382,684</w:t>
            </w:r>
          </w:p>
        </w:tc>
        <w:tc>
          <w:tcPr>
            <w:tcW w:w="1284" w:type="dxa"/>
            <w:noWrap/>
            <w:hideMark/>
          </w:tcPr>
          <w:p w14:paraId="2063529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375,437</w:t>
            </w:r>
          </w:p>
        </w:tc>
        <w:tc>
          <w:tcPr>
            <w:tcW w:w="1399" w:type="dxa"/>
            <w:noWrap/>
            <w:hideMark/>
          </w:tcPr>
          <w:p w14:paraId="1D63BBC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w:t>
            </w:r>
          </w:p>
        </w:tc>
      </w:tr>
      <w:tr w:rsidR="007A2836" w:rsidRPr="006A4151" w14:paraId="25D10370" w14:textId="77777777" w:rsidTr="006C3121">
        <w:trPr>
          <w:trHeight w:val="58"/>
        </w:trPr>
        <w:tc>
          <w:tcPr>
            <w:tcW w:w="1687" w:type="dxa"/>
            <w:noWrap/>
            <w:hideMark/>
          </w:tcPr>
          <w:p w14:paraId="2A8E306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Нийт</w:t>
            </w:r>
          </w:p>
        </w:tc>
        <w:tc>
          <w:tcPr>
            <w:tcW w:w="1284" w:type="dxa"/>
            <w:noWrap/>
            <w:hideMark/>
          </w:tcPr>
          <w:p w14:paraId="2BE340A0"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3,227,172</w:t>
            </w:r>
          </w:p>
        </w:tc>
        <w:tc>
          <w:tcPr>
            <w:tcW w:w="1284" w:type="dxa"/>
            <w:noWrap/>
            <w:hideMark/>
          </w:tcPr>
          <w:p w14:paraId="4832FADD"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4,027,173</w:t>
            </w:r>
          </w:p>
        </w:tc>
        <w:tc>
          <w:tcPr>
            <w:tcW w:w="1399" w:type="dxa"/>
            <w:noWrap/>
            <w:hideMark/>
          </w:tcPr>
          <w:p w14:paraId="66CEC7B9"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w:t>
            </w:r>
          </w:p>
        </w:tc>
      </w:tr>
    </w:tbl>
    <w:p w14:paraId="5E7DA37F" w14:textId="77777777" w:rsidR="007A2836" w:rsidRPr="006A4151" w:rsidRDefault="007A2836"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Эх сурвалж: Үндэсний статистикийн хороо</w:t>
      </w:r>
    </w:p>
    <w:p w14:paraId="14F627BD" w14:textId="77777777" w:rsidR="007A2836" w:rsidRPr="006A4151" w:rsidRDefault="007A2836" w:rsidP="00314B8D">
      <w:pPr>
        <w:spacing w:after="0" w:line="240" w:lineRule="auto"/>
        <w:jc w:val="both"/>
        <w:rPr>
          <w:rFonts w:ascii="Arial" w:hAnsi="Arial" w:cs="Arial"/>
          <w:sz w:val="24"/>
          <w:szCs w:val="24"/>
          <w:lang w:val="mn-MN"/>
        </w:rPr>
      </w:pPr>
    </w:p>
    <w:p w14:paraId="425F4704" w14:textId="0562B97A"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Монгол Улсын насжилт уртсаж </w:t>
      </w:r>
      <w:r w:rsidR="003E51A8" w:rsidRPr="006A4151">
        <w:rPr>
          <w:rFonts w:ascii="Arial" w:hAnsi="Arial" w:cs="Arial"/>
          <w:sz w:val="24"/>
          <w:szCs w:val="24"/>
          <w:lang w:val="mn-MN"/>
        </w:rPr>
        <w:t xml:space="preserve">улмаар </w:t>
      </w:r>
      <w:r w:rsidRPr="006A4151">
        <w:rPr>
          <w:rFonts w:ascii="Arial" w:hAnsi="Arial" w:cs="Arial"/>
          <w:sz w:val="24"/>
          <w:szCs w:val="24"/>
          <w:lang w:val="mn-MN"/>
        </w:rPr>
        <w:t xml:space="preserve">хөдөлмөр эрхлэх иргэдийн тоо нэмэгдэж байгаа бөгөөд банк, санхүүгийн салбарын үйл ажиллааг зээлдэгчийн зээлийн мэдээлэл дээр суурилсан үнэлгээ, зэрэглэл тогтоох </w:t>
      </w:r>
      <w:r w:rsidR="004B5E59"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баталж </w:t>
      </w:r>
      <w:r w:rsidR="00A01896" w:rsidRPr="006A4151">
        <w:rPr>
          <w:rFonts w:ascii="Arial" w:hAnsi="Arial" w:cs="Arial"/>
          <w:sz w:val="24"/>
          <w:szCs w:val="24"/>
          <w:lang w:val="mn-MN"/>
        </w:rPr>
        <w:t>хэрэгжүүлснээр</w:t>
      </w:r>
      <w:r w:rsidRPr="006A4151">
        <w:rPr>
          <w:rFonts w:ascii="Arial" w:hAnsi="Arial" w:cs="Arial"/>
          <w:sz w:val="24"/>
          <w:szCs w:val="24"/>
          <w:lang w:val="mn-MN"/>
        </w:rPr>
        <w:t xml:space="preserve"> банк, санхүүгийн салбарын үйл ажиллагаа тухайн эдийн засаг, нийгмийн нөхцөл байдалтай уялдаж санхүүжилтийн хүртээмж, салбарын тогтвортой байдлыг хангах</w:t>
      </w:r>
      <w:r w:rsidR="003E51A8" w:rsidRPr="006A4151">
        <w:rPr>
          <w:rFonts w:ascii="Arial" w:hAnsi="Arial" w:cs="Arial"/>
          <w:sz w:val="24"/>
          <w:szCs w:val="24"/>
          <w:lang w:val="mn-MN"/>
        </w:rPr>
        <w:t>ад чухал</w:t>
      </w:r>
      <w:r w:rsidRPr="006A4151">
        <w:rPr>
          <w:rFonts w:ascii="Arial" w:hAnsi="Arial" w:cs="Arial"/>
          <w:sz w:val="24"/>
          <w:szCs w:val="24"/>
          <w:lang w:val="mn-MN"/>
        </w:rPr>
        <w:t xml:space="preserve"> ач холбогдолтой юм.</w:t>
      </w:r>
    </w:p>
    <w:p w14:paraId="5C34379F" w14:textId="77777777" w:rsidR="007A2836" w:rsidRPr="006A4151" w:rsidRDefault="007A2836" w:rsidP="00314B8D">
      <w:pPr>
        <w:spacing w:after="0" w:line="240" w:lineRule="auto"/>
        <w:jc w:val="both"/>
        <w:rPr>
          <w:rFonts w:ascii="Arial" w:hAnsi="Arial" w:cs="Arial"/>
          <w:sz w:val="24"/>
          <w:szCs w:val="24"/>
          <w:lang w:val="mn-MN"/>
        </w:rPr>
      </w:pPr>
    </w:p>
    <w:p w14:paraId="5A46C06D" w14:textId="1142D99D"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Төсвийн орлого нэмэгдэж төрийн албан хаагчдын цалинг нэмэгдүүлсэн бөгөөд </w:t>
      </w:r>
      <w:r w:rsidR="003E51A8" w:rsidRPr="006A4151">
        <w:rPr>
          <w:rFonts w:ascii="Arial" w:hAnsi="Arial" w:cs="Arial"/>
          <w:sz w:val="24"/>
          <w:szCs w:val="24"/>
          <w:lang w:val="mn-MN"/>
        </w:rPr>
        <w:t xml:space="preserve">ажиллах </w:t>
      </w:r>
      <w:r w:rsidRPr="006A4151">
        <w:rPr>
          <w:rFonts w:ascii="Arial" w:hAnsi="Arial" w:cs="Arial"/>
          <w:sz w:val="24"/>
          <w:szCs w:val="24"/>
          <w:lang w:val="mn-MN"/>
        </w:rPr>
        <w:t>хүчний дотооддоо өрсөлдөх чадварыг сайжруулах чиглэлээр аж ахуйн нэгжүүд мэргэжлийн, ур чадвартай ажиллах хүчнийг өрсөлдөхүйц цалин, урамшууллаар татах тогтолцоо бий болсон.</w:t>
      </w:r>
      <w:r w:rsidR="003E51A8" w:rsidRPr="006A4151">
        <w:rPr>
          <w:rFonts w:ascii="Arial" w:hAnsi="Arial" w:cs="Arial"/>
          <w:sz w:val="24"/>
          <w:szCs w:val="24"/>
          <w:lang w:val="mn-MN"/>
        </w:rPr>
        <w:t xml:space="preserve"> </w:t>
      </w:r>
      <w:r w:rsidRPr="006A4151">
        <w:rPr>
          <w:rFonts w:ascii="Arial" w:hAnsi="Arial" w:cs="Arial"/>
          <w:sz w:val="24"/>
          <w:szCs w:val="24"/>
          <w:lang w:val="mn-MN"/>
        </w:rPr>
        <w:t>Харамсалтай</w:t>
      </w:r>
      <w:r w:rsidR="003E51A8" w:rsidRPr="006A4151">
        <w:rPr>
          <w:rFonts w:ascii="Arial" w:hAnsi="Arial" w:cs="Arial"/>
          <w:sz w:val="24"/>
          <w:szCs w:val="24"/>
          <w:lang w:val="mn-MN"/>
        </w:rPr>
        <w:t xml:space="preserve"> </w:t>
      </w:r>
      <w:r w:rsidRPr="006A4151">
        <w:rPr>
          <w:rFonts w:ascii="Arial" w:hAnsi="Arial" w:cs="Arial"/>
          <w:sz w:val="24"/>
          <w:szCs w:val="24"/>
          <w:lang w:val="mn-MN"/>
        </w:rPr>
        <w:t>н</w:t>
      </w:r>
      <w:r w:rsidR="003E51A8" w:rsidRPr="006A4151">
        <w:rPr>
          <w:rFonts w:ascii="Arial" w:hAnsi="Arial" w:cs="Arial"/>
          <w:sz w:val="24"/>
          <w:szCs w:val="24"/>
          <w:lang w:val="mn-MN"/>
        </w:rPr>
        <w:t>ь</w:t>
      </w:r>
      <w:r w:rsidRPr="006A4151">
        <w:rPr>
          <w:rFonts w:ascii="Arial" w:hAnsi="Arial" w:cs="Arial"/>
          <w:sz w:val="24"/>
          <w:szCs w:val="24"/>
          <w:lang w:val="mn-MN"/>
        </w:rPr>
        <w:t xml:space="preserve"> нэг өрхийн дундаж орлого бусад нийгэм, эдийн засгийн өөрчлөлтүүдтэй уялдаж нэмэгдэхгүй байгаа</w:t>
      </w:r>
      <w:r w:rsidR="003E51A8" w:rsidRPr="006A4151">
        <w:rPr>
          <w:rFonts w:ascii="Arial" w:hAnsi="Arial" w:cs="Arial"/>
          <w:sz w:val="24"/>
          <w:szCs w:val="24"/>
          <w:lang w:val="mn-MN"/>
        </w:rPr>
        <w:t xml:space="preserve"> нь </w:t>
      </w:r>
      <w:r w:rsidRPr="006A4151">
        <w:rPr>
          <w:rFonts w:ascii="Arial" w:hAnsi="Arial" w:cs="Arial"/>
          <w:sz w:val="24"/>
          <w:szCs w:val="24"/>
          <w:lang w:val="mn-MN"/>
        </w:rPr>
        <w:t xml:space="preserve">өрхийн хуримтлал бага, зээлийн санхүүжилтээр хэрэглэлээ тэтгэх, өрхийн </w:t>
      </w:r>
      <w:r w:rsidRPr="006A4151">
        <w:rPr>
          <w:rFonts w:ascii="Arial" w:hAnsi="Arial" w:cs="Arial"/>
          <w:sz w:val="24"/>
          <w:szCs w:val="24"/>
          <w:lang w:val="mn-MN"/>
        </w:rPr>
        <w:lastRenderedPageBreak/>
        <w:t xml:space="preserve">орлого, зардалд суурилсан банк, санхүүгийн үйлчилгээ, бүтээгдэхүүний хүртээмжийн асуудалтай холбоотой юм. </w:t>
      </w:r>
      <w:r w:rsidR="003E51A8" w:rsidRPr="006A4151">
        <w:rPr>
          <w:rFonts w:ascii="Arial" w:hAnsi="Arial" w:cs="Arial"/>
          <w:sz w:val="24"/>
          <w:szCs w:val="24"/>
          <w:lang w:val="mn-MN"/>
        </w:rPr>
        <w:t xml:space="preserve"> </w:t>
      </w:r>
      <w:r w:rsidRPr="006A4151">
        <w:rPr>
          <w:rFonts w:ascii="Arial" w:hAnsi="Arial" w:cs="Arial"/>
          <w:sz w:val="24"/>
          <w:szCs w:val="24"/>
          <w:lang w:val="mn-MN"/>
        </w:rPr>
        <w:t>Тиймээс өрхийн орлого, зардалд суурилсан санхүүгийн үйлчилгээг сайжруулах шаардлагатай</w:t>
      </w:r>
      <w:r w:rsidR="003E51A8" w:rsidRPr="006A4151">
        <w:rPr>
          <w:rFonts w:ascii="Arial" w:hAnsi="Arial" w:cs="Arial"/>
          <w:sz w:val="24"/>
          <w:szCs w:val="24"/>
          <w:lang w:val="mn-MN"/>
        </w:rPr>
        <w:t xml:space="preserve"> байна</w:t>
      </w:r>
      <w:r w:rsidRPr="006A4151">
        <w:rPr>
          <w:rFonts w:ascii="Arial" w:hAnsi="Arial" w:cs="Arial"/>
          <w:sz w:val="24"/>
          <w:szCs w:val="24"/>
          <w:lang w:val="mn-MN"/>
        </w:rPr>
        <w:t xml:space="preserve">.  </w:t>
      </w:r>
    </w:p>
    <w:p w14:paraId="6751047D" w14:textId="77777777" w:rsidR="007A2836" w:rsidRPr="006A4151" w:rsidRDefault="007A2836" w:rsidP="00314B8D">
      <w:pPr>
        <w:spacing w:after="0" w:line="240" w:lineRule="auto"/>
        <w:jc w:val="both"/>
        <w:rPr>
          <w:rFonts w:ascii="Arial" w:hAnsi="Arial" w:cs="Arial"/>
          <w:sz w:val="24"/>
          <w:szCs w:val="24"/>
          <w:lang w:val="mn-MN"/>
        </w:rPr>
      </w:pPr>
    </w:p>
    <w:p w14:paraId="2A262905" w14:textId="77777777" w:rsidR="007A2836" w:rsidRPr="006A4151" w:rsidRDefault="007A2836"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Өрхийн сарын дундаж орлого:</w:t>
      </w:r>
    </w:p>
    <w:tbl>
      <w:tblPr>
        <w:tblStyle w:val="TableGrid"/>
        <w:tblW w:w="8910" w:type="dxa"/>
        <w:tblInd w:w="108" w:type="dxa"/>
        <w:tblLook w:val="04A0" w:firstRow="1" w:lastRow="0" w:firstColumn="1" w:lastColumn="0" w:noHBand="0" w:noVBand="1"/>
      </w:tblPr>
      <w:tblGrid>
        <w:gridCol w:w="2177"/>
        <w:gridCol w:w="1373"/>
        <w:gridCol w:w="1369"/>
        <w:gridCol w:w="1358"/>
        <w:gridCol w:w="1349"/>
        <w:gridCol w:w="1284"/>
      </w:tblGrid>
      <w:tr w:rsidR="007A2836" w:rsidRPr="006A4151" w14:paraId="2C2680F2" w14:textId="77777777" w:rsidTr="006C3121">
        <w:trPr>
          <w:trHeight w:val="63"/>
        </w:trPr>
        <w:tc>
          <w:tcPr>
            <w:tcW w:w="2177" w:type="dxa"/>
            <w:hideMark/>
          </w:tcPr>
          <w:p w14:paraId="1500771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Он</w:t>
            </w:r>
          </w:p>
        </w:tc>
        <w:tc>
          <w:tcPr>
            <w:tcW w:w="1373" w:type="dxa"/>
            <w:hideMark/>
          </w:tcPr>
          <w:p w14:paraId="4DE571C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2019</w:t>
            </w:r>
          </w:p>
        </w:tc>
        <w:tc>
          <w:tcPr>
            <w:tcW w:w="1369" w:type="dxa"/>
            <w:hideMark/>
          </w:tcPr>
          <w:p w14:paraId="764A3FD2"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2020</w:t>
            </w:r>
          </w:p>
        </w:tc>
        <w:tc>
          <w:tcPr>
            <w:tcW w:w="1358" w:type="dxa"/>
            <w:hideMark/>
          </w:tcPr>
          <w:p w14:paraId="197F5068"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2021</w:t>
            </w:r>
          </w:p>
        </w:tc>
        <w:tc>
          <w:tcPr>
            <w:tcW w:w="1349" w:type="dxa"/>
            <w:hideMark/>
          </w:tcPr>
          <w:p w14:paraId="443C55A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2022</w:t>
            </w:r>
          </w:p>
        </w:tc>
        <w:tc>
          <w:tcPr>
            <w:tcW w:w="1284" w:type="dxa"/>
            <w:hideMark/>
          </w:tcPr>
          <w:p w14:paraId="59AF10D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2023</w:t>
            </w:r>
          </w:p>
        </w:tc>
      </w:tr>
      <w:tr w:rsidR="007A2836" w:rsidRPr="006A4151" w14:paraId="14B4C316" w14:textId="77777777" w:rsidTr="006C3121">
        <w:trPr>
          <w:trHeight w:val="233"/>
        </w:trPr>
        <w:tc>
          <w:tcPr>
            <w:tcW w:w="2177" w:type="dxa"/>
            <w:noWrap/>
            <w:hideMark/>
          </w:tcPr>
          <w:p w14:paraId="5C2D8028" w14:textId="77777777" w:rsidR="007A2836" w:rsidRPr="006A4151" w:rsidRDefault="007A2836" w:rsidP="00314B8D">
            <w:pPr>
              <w:jc w:val="both"/>
              <w:rPr>
                <w:rFonts w:ascii="Arial" w:hAnsi="Arial" w:cs="Arial"/>
                <w:b/>
                <w:bCs/>
                <w:sz w:val="24"/>
                <w:szCs w:val="24"/>
                <w:lang w:val="mn-MN"/>
              </w:rPr>
            </w:pPr>
            <w:r w:rsidRPr="006A4151">
              <w:rPr>
                <w:rFonts w:ascii="Arial" w:hAnsi="Arial" w:cs="Arial"/>
                <w:b/>
                <w:bCs/>
                <w:sz w:val="24"/>
                <w:szCs w:val="24"/>
                <w:lang w:val="mn-MN"/>
              </w:rPr>
              <w:t>Нэг өрхийн сарын дундаж орлого (төгрөг)</w:t>
            </w:r>
          </w:p>
        </w:tc>
        <w:tc>
          <w:tcPr>
            <w:tcW w:w="1373" w:type="dxa"/>
            <w:noWrap/>
            <w:hideMark/>
          </w:tcPr>
          <w:p w14:paraId="589A59D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1,375,080</w:t>
            </w:r>
          </w:p>
        </w:tc>
        <w:tc>
          <w:tcPr>
            <w:tcW w:w="1369" w:type="dxa"/>
            <w:noWrap/>
            <w:hideMark/>
          </w:tcPr>
          <w:p w14:paraId="3476839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1,424,598</w:t>
            </w:r>
          </w:p>
        </w:tc>
        <w:tc>
          <w:tcPr>
            <w:tcW w:w="1358" w:type="dxa"/>
            <w:noWrap/>
            <w:hideMark/>
          </w:tcPr>
          <w:p w14:paraId="41A35847"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1,642,915</w:t>
            </w:r>
          </w:p>
        </w:tc>
        <w:tc>
          <w:tcPr>
            <w:tcW w:w="1349" w:type="dxa"/>
            <w:noWrap/>
            <w:hideMark/>
          </w:tcPr>
          <w:p w14:paraId="327E718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1,846,967</w:t>
            </w:r>
          </w:p>
        </w:tc>
        <w:tc>
          <w:tcPr>
            <w:tcW w:w="1284" w:type="dxa"/>
            <w:noWrap/>
            <w:hideMark/>
          </w:tcPr>
          <w:p w14:paraId="37D580A3"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2,286,259</w:t>
            </w:r>
          </w:p>
        </w:tc>
      </w:tr>
    </w:tbl>
    <w:p w14:paraId="75ACDC9C" w14:textId="77777777" w:rsidR="007A2836" w:rsidRPr="006A4151" w:rsidRDefault="007A2836"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Эх сурвалж: Үндэсний статистикийн хороо</w:t>
      </w:r>
    </w:p>
    <w:p w14:paraId="039840AA" w14:textId="77777777" w:rsidR="007A2836" w:rsidRPr="006A4151" w:rsidRDefault="007A2836" w:rsidP="00314B8D">
      <w:pPr>
        <w:spacing w:after="0" w:line="240" w:lineRule="auto"/>
        <w:jc w:val="both"/>
        <w:rPr>
          <w:rFonts w:ascii="Arial" w:hAnsi="Arial" w:cs="Arial"/>
          <w:sz w:val="24"/>
          <w:szCs w:val="24"/>
          <w:lang w:val="mn-MN"/>
        </w:rPr>
      </w:pPr>
    </w:p>
    <w:p w14:paraId="02F57422" w14:textId="62436479"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Нийгэм, эдийн засгийн харилцаа </w:t>
      </w:r>
      <w:r w:rsidR="003E51A8" w:rsidRPr="006A4151">
        <w:rPr>
          <w:rFonts w:ascii="Arial" w:hAnsi="Arial" w:cs="Arial"/>
          <w:sz w:val="24"/>
          <w:szCs w:val="24"/>
          <w:lang w:val="mn-MN"/>
        </w:rPr>
        <w:t xml:space="preserve">улам </w:t>
      </w:r>
      <w:r w:rsidRPr="006A4151">
        <w:rPr>
          <w:rFonts w:ascii="Arial" w:hAnsi="Arial" w:cs="Arial"/>
          <w:sz w:val="24"/>
          <w:szCs w:val="24"/>
          <w:lang w:val="mn-MN"/>
        </w:rPr>
        <w:t xml:space="preserve">өргөжиж түүнээс бий болж байгаа их өгөгдөл, тоон мэдээллийг нэгдсэн системд </w:t>
      </w:r>
      <w:r w:rsidR="003E51A8" w:rsidRPr="006A4151">
        <w:rPr>
          <w:rFonts w:ascii="Arial" w:hAnsi="Arial" w:cs="Arial"/>
          <w:sz w:val="24"/>
          <w:szCs w:val="24"/>
          <w:lang w:val="mn-MN"/>
        </w:rPr>
        <w:t xml:space="preserve">оруулж </w:t>
      </w:r>
      <w:r w:rsidRPr="006A4151">
        <w:rPr>
          <w:rFonts w:ascii="Arial" w:hAnsi="Arial" w:cs="Arial"/>
          <w:sz w:val="24"/>
          <w:szCs w:val="24"/>
          <w:lang w:val="mn-MN"/>
        </w:rPr>
        <w:t xml:space="preserve">хадгалах чиглэлээр олон ажлууд хийгдэж байгаагийн нэг жишээ бол e-mongolia юм. </w:t>
      </w:r>
      <w:r w:rsidR="003E51A8" w:rsidRPr="006A4151">
        <w:rPr>
          <w:rFonts w:ascii="Arial" w:hAnsi="Arial" w:cs="Arial"/>
          <w:sz w:val="24"/>
          <w:szCs w:val="24"/>
          <w:lang w:val="mn-MN"/>
        </w:rPr>
        <w:t xml:space="preserve"> </w:t>
      </w:r>
      <w:r w:rsidRPr="006A4151">
        <w:rPr>
          <w:rFonts w:ascii="Arial" w:hAnsi="Arial" w:cs="Arial"/>
          <w:sz w:val="24"/>
          <w:szCs w:val="24"/>
          <w:lang w:val="mn-MN"/>
        </w:rPr>
        <w:t>Зээлдэгчийн зээлийн мэдээллийг санд төвлөрүүлэх нарийвчилсан зохицуулалт байгаа ч зээлдэгчийн зээлийн мэдээллийг ашиглаж зээлдэгчийн зээлжих чадварт үнэлгээ хийх</w:t>
      </w:r>
      <w:r w:rsidR="002F5583" w:rsidRPr="006A4151">
        <w:rPr>
          <w:rFonts w:ascii="Arial" w:hAnsi="Arial" w:cs="Arial"/>
          <w:sz w:val="24"/>
          <w:szCs w:val="24"/>
          <w:lang w:val="mn-MN"/>
        </w:rPr>
        <w:t xml:space="preserve"> онооны</w:t>
      </w:r>
      <w:r w:rsidRPr="006A4151">
        <w:rPr>
          <w:rFonts w:ascii="Arial" w:hAnsi="Arial" w:cs="Arial"/>
          <w:sz w:val="24"/>
          <w:szCs w:val="24"/>
          <w:lang w:val="mn-MN"/>
        </w:rPr>
        <w:t xml:space="preserve"> аргачлалыг эрх бүхий байгууллагаар батлуулах зохицуулалт байхгүй байна. </w:t>
      </w:r>
      <w:r w:rsidR="003E51A8" w:rsidRPr="006A4151">
        <w:rPr>
          <w:rFonts w:ascii="Arial" w:hAnsi="Arial" w:cs="Arial"/>
          <w:sz w:val="24"/>
          <w:szCs w:val="24"/>
          <w:lang w:val="mn-MN"/>
        </w:rPr>
        <w:t xml:space="preserve"> </w:t>
      </w:r>
      <w:r w:rsidRPr="006A4151">
        <w:rPr>
          <w:rFonts w:ascii="Arial" w:hAnsi="Arial" w:cs="Arial"/>
          <w:sz w:val="24"/>
          <w:szCs w:val="24"/>
          <w:lang w:val="mn-MN"/>
        </w:rPr>
        <w:t xml:space="preserve">Эдийн засгийн өсөлт, хүн амын насны бүтэц, аж ахуйн нэгжийн үйл ажиллагааны цар хүрээнд нийцсэн банк, санхүүгийн салбарын бүтээгдэхүүн үйлчилгээг их өгөгдөл, тоон мэдээлэл болон зээлийн мэдээллийн санд хадалдагдаж буй зээлдэгчийн зээлийн мэдээлэлд үндэслэж гаргах учиртай. Зээлдэгчийн зээлжих чадварт зэрэглэл тогтоох асуудлыг эрх бүхий </w:t>
      </w:r>
      <w:r w:rsidR="002273F1" w:rsidRPr="006A4151">
        <w:rPr>
          <w:rFonts w:ascii="Arial" w:hAnsi="Arial" w:cs="Arial"/>
          <w:sz w:val="24"/>
          <w:szCs w:val="24"/>
          <w:lang w:val="mn-MN"/>
        </w:rPr>
        <w:t xml:space="preserve">бодлого тодорхойлогч </w:t>
      </w:r>
      <w:r w:rsidRPr="006A4151">
        <w:rPr>
          <w:rFonts w:ascii="Arial" w:hAnsi="Arial" w:cs="Arial"/>
          <w:sz w:val="24"/>
          <w:szCs w:val="24"/>
          <w:lang w:val="mn-MN"/>
        </w:rPr>
        <w:t>байгууллагаас баталж нэгдсэн арга, аргачлалтай болсноор үнэлгээнд суурилсан банк, санхүүгийн үйлчилгээ нэвтрүүлэх боломж бүрдэж салбарын өсөлтийг хадгалах, эдийн засгийн өсөлтийг нэмэгдүүлэх нөхцөлийг бүрдүүлэх боломжтой</w:t>
      </w:r>
      <w:r w:rsidR="003E51A8" w:rsidRPr="006A4151">
        <w:rPr>
          <w:rFonts w:ascii="Arial" w:hAnsi="Arial" w:cs="Arial"/>
          <w:sz w:val="24"/>
          <w:szCs w:val="24"/>
          <w:lang w:val="mn-MN"/>
        </w:rPr>
        <w:t xml:space="preserve"> болно</w:t>
      </w:r>
      <w:r w:rsidRPr="006A4151">
        <w:rPr>
          <w:rFonts w:ascii="Arial" w:hAnsi="Arial" w:cs="Arial"/>
          <w:sz w:val="24"/>
          <w:szCs w:val="24"/>
          <w:lang w:val="mn-MN"/>
        </w:rPr>
        <w:t xml:space="preserve">.   </w:t>
      </w:r>
    </w:p>
    <w:p w14:paraId="551414C7" w14:textId="77777777" w:rsidR="002273F1" w:rsidRPr="006A4151" w:rsidRDefault="002273F1" w:rsidP="00314B8D">
      <w:pPr>
        <w:spacing w:after="0" w:line="240" w:lineRule="auto"/>
        <w:ind w:firstLine="720"/>
        <w:jc w:val="both"/>
        <w:rPr>
          <w:rFonts w:ascii="Arial" w:hAnsi="Arial" w:cs="Arial"/>
          <w:sz w:val="24"/>
          <w:szCs w:val="24"/>
          <w:lang w:val="mn-MN"/>
        </w:rPr>
      </w:pPr>
    </w:p>
    <w:p w14:paraId="273EAAEE" w14:textId="603EB772" w:rsidR="007A2836" w:rsidRPr="006A4151" w:rsidRDefault="007A2836" w:rsidP="00314B8D">
      <w:pPr>
        <w:spacing w:after="0" w:line="240" w:lineRule="auto"/>
        <w:ind w:firstLine="720"/>
        <w:jc w:val="both"/>
        <w:rPr>
          <w:rFonts w:ascii="Arial" w:hAnsi="Arial" w:cs="Arial"/>
          <w:sz w:val="24"/>
          <w:szCs w:val="24"/>
          <w:lang w:val="mn-MN"/>
        </w:rPr>
      </w:pPr>
      <w:bookmarkStart w:id="3" w:name="_Hlk165319600"/>
      <w:r w:rsidRPr="006A4151">
        <w:rPr>
          <w:rFonts w:ascii="Arial" w:hAnsi="Arial" w:cs="Arial"/>
          <w:sz w:val="24"/>
          <w:szCs w:val="24"/>
          <w:lang w:val="mn-MN"/>
        </w:rPr>
        <w:t xml:space="preserve">Банкны салбарын нийт актив хөрөнгийн хэмжээ </w:t>
      </w:r>
      <w:r w:rsidR="008F3C93" w:rsidRPr="006A4151">
        <w:rPr>
          <w:rFonts w:ascii="Arial" w:hAnsi="Arial" w:cs="Arial"/>
          <w:sz w:val="24"/>
          <w:szCs w:val="24"/>
          <w:lang w:val="mn-MN"/>
        </w:rPr>
        <w:t xml:space="preserve">2024 </w:t>
      </w:r>
      <w:r w:rsidRPr="006A4151">
        <w:rPr>
          <w:rFonts w:ascii="Arial" w:hAnsi="Arial" w:cs="Arial"/>
          <w:sz w:val="24"/>
          <w:szCs w:val="24"/>
          <w:lang w:val="mn-MN"/>
        </w:rPr>
        <w:t xml:space="preserve">оны </w:t>
      </w:r>
      <w:r w:rsidR="008F3C93" w:rsidRPr="006A4151">
        <w:rPr>
          <w:rFonts w:ascii="Arial" w:hAnsi="Arial" w:cs="Arial"/>
          <w:sz w:val="24"/>
          <w:szCs w:val="24"/>
          <w:lang w:val="mn-MN"/>
        </w:rPr>
        <w:t>1 дүгээр</w:t>
      </w:r>
      <w:r w:rsidRPr="006A4151">
        <w:rPr>
          <w:rFonts w:ascii="Arial" w:hAnsi="Arial" w:cs="Arial"/>
          <w:sz w:val="24"/>
          <w:szCs w:val="24"/>
          <w:lang w:val="mn-MN"/>
        </w:rPr>
        <w:t xml:space="preserve"> сарын байдлаар</w:t>
      </w:r>
      <w:r w:rsidR="008F3C93" w:rsidRPr="006A4151">
        <w:rPr>
          <w:rFonts w:ascii="Arial" w:hAnsi="Arial" w:cs="Arial"/>
          <w:sz w:val="24"/>
          <w:szCs w:val="24"/>
          <w:lang w:val="mn-MN"/>
        </w:rPr>
        <w:t xml:space="preserve"> 54.2 </w:t>
      </w:r>
      <w:r w:rsidRPr="006A4151">
        <w:rPr>
          <w:rFonts w:ascii="Arial" w:hAnsi="Arial" w:cs="Arial"/>
          <w:sz w:val="24"/>
          <w:szCs w:val="24"/>
          <w:lang w:val="mn-MN"/>
        </w:rPr>
        <w:t>их наяд төгрөгт хүрсэн бол мөн хугацаанд арилжааны банкны өөрийн хөрөнгийн хэмжээ</w:t>
      </w:r>
      <w:r w:rsidR="002A1684" w:rsidRPr="006A4151">
        <w:rPr>
          <w:rFonts w:ascii="Arial" w:hAnsi="Arial" w:cs="Arial"/>
          <w:sz w:val="24"/>
          <w:szCs w:val="24"/>
          <w:lang w:val="mn-MN"/>
        </w:rPr>
        <w:t xml:space="preserve"> </w:t>
      </w:r>
      <w:r w:rsidRPr="006A4151">
        <w:rPr>
          <w:rFonts w:ascii="Arial" w:hAnsi="Arial" w:cs="Arial"/>
          <w:sz w:val="24"/>
          <w:szCs w:val="24"/>
          <w:lang w:val="mn-MN"/>
        </w:rPr>
        <w:t>5.8 их наяд төгрөг болж нэмэгдсэн байна.</w:t>
      </w:r>
      <w:r w:rsidR="00CB2706" w:rsidRPr="006A4151">
        <w:rPr>
          <w:rFonts w:ascii="Arial" w:hAnsi="Arial" w:cs="Arial"/>
          <w:sz w:val="24"/>
          <w:szCs w:val="24"/>
          <w:lang w:val="mn-MN"/>
        </w:rPr>
        <w:t xml:space="preserve"> Арилжааны банкны өөрийн хөрөнгийн хэмжээ </w:t>
      </w:r>
      <w:r w:rsidRPr="006A4151">
        <w:rPr>
          <w:rFonts w:ascii="Arial" w:hAnsi="Arial" w:cs="Arial"/>
          <w:sz w:val="24"/>
          <w:szCs w:val="24"/>
          <w:lang w:val="mn-MN"/>
        </w:rPr>
        <w:t xml:space="preserve">2011 оны 12 дугаар сарын 31-ний </w:t>
      </w:r>
      <w:r w:rsidR="00CB2706" w:rsidRPr="006A4151">
        <w:rPr>
          <w:rFonts w:ascii="Arial" w:hAnsi="Arial" w:cs="Arial"/>
          <w:sz w:val="24"/>
          <w:szCs w:val="24"/>
          <w:lang w:val="mn-MN"/>
        </w:rPr>
        <w:t xml:space="preserve">байдлаар  </w:t>
      </w:r>
      <w:r w:rsidRPr="006A4151">
        <w:rPr>
          <w:rFonts w:ascii="Arial" w:hAnsi="Arial" w:cs="Arial"/>
          <w:sz w:val="24"/>
          <w:szCs w:val="24"/>
          <w:lang w:val="mn-MN"/>
        </w:rPr>
        <w:t>0.7 их наяд төгрөг байсан бол банкны салбарын үйл ажиллагаа өргөжиж,</w:t>
      </w:r>
      <w:r w:rsidR="00CB2706" w:rsidRPr="006A4151">
        <w:rPr>
          <w:rFonts w:ascii="Arial" w:hAnsi="Arial" w:cs="Arial"/>
          <w:sz w:val="24"/>
          <w:szCs w:val="24"/>
          <w:lang w:val="mn-MN"/>
        </w:rPr>
        <w:t xml:space="preserve"> ашигт ажиллагаа нэмэгдэн</w:t>
      </w:r>
      <w:r w:rsidRPr="006A4151">
        <w:rPr>
          <w:rFonts w:ascii="Arial" w:hAnsi="Arial" w:cs="Arial"/>
          <w:sz w:val="24"/>
          <w:szCs w:val="24"/>
          <w:lang w:val="mn-MN"/>
        </w:rPr>
        <w:t xml:space="preserve"> нээлттэй </w:t>
      </w:r>
      <w:r w:rsidR="00CB2706" w:rsidRPr="006A4151">
        <w:rPr>
          <w:rFonts w:ascii="Arial" w:hAnsi="Arial" w:cs="Arial"/>
          <w:sz w:val="24"/>
          <w:szCs w:val="24"/>
          <w:lang w:val="mn-MN"/>
        </w:rPr>
        <w:t xml:space="preserve">компанийн хэлбэрт </w:t>
      </w:r>
      <w:r w:rsidRPr="006A4151">
        <w:rPr>
          <w:rFonts w:ascii="Arial" w:hAnsi="Arial" w:cs="Arial"/>
          <w:sz w:val="24"/>
          <w:szCs w:val="24"/>
          <w:lang w:val="mn-MN"/>
        </w:rPr>
        <w:t>шилжсэнээр</w:t>
      </w:r>
      <w:r w:rsidR="00CB2706" w:rsidRPr="006A4151">
        <w:rPr>
          <w:rFonts w:ascii="Arial" w:hAnsi="Arial" w:cs="Arial"/>
          <w:sz w:val="24"/>
          <w:szCs w:val="24"/>
          <w:lang w:val="mn-MN"/>
        </w:rPr>
        <w:t xml:space="preserve"> </w:t>
      </w:r>
      <w:r w:rsidRPr="006A4151">
        <w:rPr>
          <w:rFonts w:ascii="Arial" w:hAnsi="Arial" w:cs="Arial"/>
          <w:sz w:val="24"/>
          <w:szCs w:val="24"/>
          <w:lang w:val="mn-MN"/>
        </w:rPr>
        <w:t xml:space="preserve">өөрийн хөрөнгө 8.3 дахин нэмэгдсэн байна. </w:t>
      </w:r>
    </w:p>
    <w:bookmarkEnd w:id="3"/>
    <w:p w14:paraId="2A30276E" w14:textId="77777777" w:rsidR="007A2836" w:rsidRPr="006A4151" w:rsidRDefault="007A2836" w:rsidP="00314B8D">
      <w:pPr>
        <w:spacing w:after="0" w:line="240" w:lineRule="auto"/>
        <w:jc w:val="both"/>
        <w:rPr>
          <w:rFonts w:ascii="Arial" w:hAnsi="Arial" w:cs="Arial"/>
          <w:sz w:val="24"/>
          <w:szCs w:val="24"/>
          <w:lang w:val="mn-MN"/>
        </w:rPr>
      </w:pPr>
    </w:p>
    <w:p w14:paraId="14657EEE" w14:textId="5C7C39B3"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Аж ахуйн нэгж, иргэдийн зээлийн үлдэгдлийн өөрчлөлтүүдийг авч үзвэл мөнгөний бодлого, эдийн засгийн төлөв байдлаас хамааран иргэдийн зээлийн үлдэгдлийн өсөлт аж ахуйн нэгжүүдэд олгосон зээлээс өндөр байх үеийг сүүлийн банк, санхүүгийн салбарын тоон үзүүлэлтүүдээс харах боломжтой бөгөөд энэ нь зээл, санхүүжилт олгох байгууллагын хүлээн зөвшөөрч болох эрсдэлийн түшинтэй хамааралтай юм. Эдийн засгийн тэлэлт явагд</w:t>
      </w:r>
      <w:r w:rsidR="003E51A8" w:rsidRPr="006A4151">
        <w:rPr>
          <w:rFonts w:ascii="Arial" w:hAnsi="Arial" w:cs="Arial"/>
          <w:sz w:val="24"/>
          <w:szCs w:val="24"/>
          <w:lang w:val="mn-MN"/>
        </w:rPr>
        <w:t>д</w:t>
      </w:r>
      <w:r w:rsidRPr="006A4151">
        <w:rPr>
          <w:rFonts w:ascii="Arial" w:hAnsi="Arial" w:cs="Arial"/>
          <w:sz w:val="24"/>
          <w:szCs w:val="24"/>
          <w:lang w:val="mn-MN"/>
        </w:rPr>
        <w:t>аг үед банк, санхүүгийн байгууллагууд хүлээн зөвшөөрч болох эрсдэлийнхээ хүрээнд аж ахуйн нэгжид олгох зээл нэмэгдүүл</w:t>
      </w:r>
      <w:r w:rsidR="003E51A8" w:rsidRPr="006A4151">
        <w:rPr>
          <w:rFonts w:ascii="Arial" w:hAnsi="Arial" w:cs="Arial"/>
          <w:sz w:val="24"/>
          <w:szCs w:val="24"/>
          <w:lang w:val="mn-MN"/>
        </w:rPr>
        <w:t>д</w:t>
      </w:r>
      <w:r w:rsidRPr="006A4151">
        <w:rPr>
          <w:rFonts w:ascii="Arial" w:hAnsi="Arial" w:cs="Arial"/>
          <w:sz w:val="24"/>
          <w:szCs w:val="24"/>
          <w:lang w:val="mn-MN"/>
        </w:rPr>
        <w:t xml:space="preserve">эг тул сүүлийн жилүүдэд банк бус санхүүгийн байгууллагын зээл, санхүүжилтийн үйл ажиллагаа өргөжсөн байна. </w:t>
      </w:r>
    </w:p>
    <w:p w14:paraId="14C32D61" w14:textId="77777777" w:rsidR="007A2836" w:rsidRPr="006A4151" w:rsidRDefault="007A2836" w:rsidP="00314B8D">
      <w:pPr>
        <w:spacing w:after="0" w:line="240" w:lineRule="auto"/>
        <w:jc w:val="both"/>
        <w:rPr>
          <w:rFonts w:ascii="Arial" w:hAnsi="Arial" w:cs="Arial"/>
          <w:sz w:val="24"/>
          <w:szCs w:val="24"/>
          <w:lang w:val="mn-MN"/>
        </w:rPr>
      </w:pPr>
    </w:p>
    <w:p w14:paraId="53968BBF" w14:textId="77777777" w:rsidR="00940C50" w:rsidRPr="006A4151" w:rsidRDefault="00940C50" w:rsidP="00314B8D">
      <w:pPr>
        <w:spacing w:after="0" w:line="240" w:lineRule="auto"/>
        <w:jc w:val="both"/>
        <w:rPr>
          <w:rFonts w:ascii="Arial" w:hAnsi="Arial" w:cs="Arial"/>
          <w:sz w:val="24"/>
          <w:szCs w:val="24"/>
          <w:lang w:val="mn-MN"/>
        </w:rPr>
      </w:pPr>
    </w:p>
    <w:p w14:paraId="76B99674" w14:textId="77777777" w:rsidR="00940C50" w:rsidRPr="006A4151" w:rsidRDefault="00940C50" w:rsidP="00314B8D">
      <w:pPr>
        <w:spacing w:after="0" w:line="240" w:lineRule="auto"/>
        <w:jc w:val="both"/>
        <w:rPr>
          <w:rFonts w:ascii="Arial" w:hAnsi="Arial" w:cs="Arial"/>
          <w:sz w:val="24"/>
          <w:szCs w:val="24"/>
          <w:lang w:val="mn-MN"/>
        </w:rPr>
      </w:pPr>
    </w:p>
    <w:p w14:paraId="69599A07" w14:textId="77777777" w:rsidR="00940C50" w:rsidRPr="006A4151" w:rsidRDefault="00940C50" w:rsidP="00314B8D">
      <w:pPr>
        <w:spacing w:after="0" w:line="240" w:lineRule="auto"/>
        <w:jc w:val="both"/>
        <w:rPr>
          <w:rFonts w:ascii="Arial" w:hAnsi="Arial" w:cs="Arial"/>
          <w:sz w:val="24"/>
          <w:szCs w:val="24"/>
          <w:lang w:val="mn-MN"/>
        </w:rPr>
      </w:pPr>
    </w:p>
    <w:p w14:paraId="20327EB6" w14:textId="77777777" w:rsidR="00940C50" w:rsidRPr="006A4151" w:rsidRDefault="00940C50" w:rsidP="00314B8D">
      <w:pPr>
        <w:spacing w:after="0" w:line="240" w:lineRule="auto"/>
        <w:ind w:firstLine="720"/>
        <w:jc w:val="both"/>
        <w:rPr>
          <w:rFonts w:ascii="Arial" w:hAnsi="Arial" w:cs="Arial"/>
          <w:sz w:val="24"/>
          <w:szCs w:val="24"/>
          <w:lang w:val="mn-MN"/>
        </w:rPr>
      </w:pPr>
    </w:p>
    <w:p w14:paraId="1EB0AF91" w14:textId="108A2ECF"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lastRenderedPageBreak/>
        <w:t>Зээл, санхүүжилт, санхүүгийн түрээсийн үйлчилгээ үзүүлж буй байгууллагуудын зээлийн үлдэгдлийн хэмжээ 2023 оны байдлаар:</w:t>
      </w:r>
    </w:p>
    <w:tbl>
      <w:tblPr>
        <w:tblStyle w:val="TableGrid"/>
        <w:tblW w:w="0" w:type="auto"/>
        <w:tblInd w:w="108" w:type="dxa"/>
        <w:tblLook w:val="04A0" w:firstRow="1" w:lastRow="0" w:firstColumn="1" w:lastColumn="0" w:noHBand="0" w:noVBand="1"/>
      </w:tblPr>
      <w:tblGrid>
        <w:gridCol w:w="3847"/>
        <w:gridCol w:w="3600"/>
      </w:tblGrid>
      <w:tr w:rsidR="007A2836" w:rsidRPr="006A4151" w14:paraId="50443647" w14:textId="77777777" w:rsidTr="006C3121">
        <w:trPr>
          <w:trHeight w:val="91"/>
        </w:trPr>
        <w:tc>
          <w:tcPr>
            <w:tcW w:w="3847" w:type="dxa"/>
            <w:noWrap/>
            <w:hideMark/>
          </w:tcPr>
          <w:p w14:paraId="7B4C1288"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xml:space="preserve">Зээлдүүлэгч байгууллага </w:t>
            </w:r>
          </w:p>
        </w:tc>
        <w:tc>
          <w:tcPr>
            <w:tcW w:w="3600" w:type="dxa"/>
            <w:noWrap/>
            <w:hideMark/>
          </w:tcPr>
          <w:p w14:paraId="306FE8D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Зээлийн үлдэгдэл /сая төгрөг/</w:t>
            </w:r>
          </w:p>
        </w:tc>
      </w:tr>
      <w:tr w:rsidR="007A2836" w:rsidRPr="006A4151" w14:paraId="2658ECD0" w14:textId="77777777" w:rsidTr="006C3121">
        <w:trPr>
          <w:trHeight w:val="85"/>
        </w:trPr>
        <w:tc>
          <w:tcPr>
            <w:tcW w:w="3847" w:type="dxa"/>
            <w:noWrap/>
            <w:hideMark/>
          </w:tcPr>
          <w:p w14:paraId="63E32825"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Банк</w:t>
            </w:r>
          </w:p>
        </w:tc>
        <w:tc>
          <w:tcPr>
            <w:tcW w:w="3600" w:type="dxa"/>
            <w:hideMark/>
          </w:tcPr>
          <w:p w14:paraId="1C87F1E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27,151,616.66</w:t>
            </w:r>
          </w:p>
        </w:tc>
      </w:tr>
      <w:tr w:rsidR="007A2836" w:rsidRPr="006A4151" w14:paraId="43B9275B" w14:textId="77777777" w:rsidTr="006C3121">
        <w:trPr>
          <w:trHeight w:val="85"/>
        </w:trPr>
        <w:tc>
          <w:tcPr>
            <w:tcW w:w="3847" w:type="dxa"/>
            <w:noWrap/>
            <w:hideMark/>
          </w:tcPr>
          <w:p w14:paraId="3C81A7A0"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xml:space="preserve">Банк бус санхүүгийн байгууллага  </w:t>
            </w:r>
          </w:p>
        </w:tc>
        <w:tc>
          <w:tcPr>
            <w:tcW w:w="3600" w:type="dxa"/>
            <w:hideMark/>
          </w:tcPr>
          <w:p w14:paraId="55088A94"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3,675,862.20</w:t>
            </w:r>
          </w:p>
        </w:tc>
      </w:tr>
      <w:tr w:rsidR="007A2836" w:rsidRPr="006A4151" w14:paraId="7D1BBD8B" w14:textId="77777777" w:rsidTr="006C3121">
        <w:trPr>
          <w:trHeight w:val="85"/>
        </w:trPr>
        <w:tc>
          <w:tcPr>
            <w:tcW w:w="3847" w:type="dxa"/>
            <w:noWrap/>
            <w:hideMark/>
          </w:tcPr>
          <w:p w14:paraId="3127B4DD"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xml:space="preserve">Хадгаламж зээлийн хоршоо </w:t>
            </w:r>
          </w:p>
        </w:tc>
        <w:tc>
          <w:tcPr>
            <w:tcW w:w="3600" w:type="dxa"/>
            <w:hideMark/>
          </w:tcPr>
          <w:p w14:paraId="5B523DDA"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204,238.30</w:t>
            </w:r>
          </w:p>
        </w:tc>
      </w:tr>
    </w:tbl>
    <w:p w14:paraId="05C3BB07" w14:textId="77777777" w:rsidR="007A2836" w:rsidRPr="006A4151" w:rsidRDefault="007A2836"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Эх сурвалж: Монголбанк</w:t>
      </w:r>
    </w:p>
    <w:p w14:paraId="40EAB098" w14:textId="77777777" w:rsidR="007A2836" w:rsidRPr="006A4151" w:rsidRDefault="007A2836" w:rsidP="00314B8D">
      <w:pPr>
        <w:spacing w:after="0" w:line="240" w:lineRule="auto"/>
        <w:jc w:val="both"/>
        <w:rPr>
          <w:rFonts w:ascii="Arial" w:hAnsi="Arial" w:cs="Arial"/>
          <w:sz w:val="24"/>
          <w:szCs w:val="24"/>
          <w:lang w:val="mn-MN"/>
        </w:rPr>
      </w:pPr>
    </w:p>
    <w:p w14:paraId="068581C7" w14:textId="099355C7"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Төрөөс хадгаламжийн даатгалын хууль баталж, банкин дахь иргэд, байгууллагын хадгаламжий</w:t>
      </w:r>
      <w:r w:rsidR="002502C2" w:rsidRPr="006A4151">
        <w:rPr>
          <w:rFonts w:ascii="Arial" w:hAnsi="Arial" w:cs="Arial"/>
          <w:sz w:val="24"/>
          <w:szCs w:val="24"/>
          <w:lang w:val="mn-MN"/>
        </w:rPr>
        <w:t>г</w:t>
      </w:r>
      <w:r w:rsidRPr="006A4151">
        <w:rPr>
          <w:rFonts w:ascii="Arial" w:hAnsi="Arial" w:cs="Arial"/>
          <w:sz w:val="24"/>
          <w:szCs w:val="24"/>
          <w:lang w:val="mn-MN"/>
        </w:rPr>
        <w:t xml:space="preserve"> 100 хувь хариуцахаар баталгаа гаргасан нь банкнуудын зээлийн үйл ажиллагаанд учирч болзошгүй </w:t>
      </w:r>
      <w:r w:rsidR="00174102" w:rsidRPr="006A4151">
        <w:rPr>
          <w:rFonts w:ascii="Arial" w:hAnsi="Arial" w:cs="Arial"/>
          <w:sz w:val="24"/>
          <w:szCs w:val="24"/>
          <w:lang w:val="mn-MN"/>
        </w:rPr>
        <w:t>эрсдэлээс</w:t>
      </w:r>
      <w:r w:rsidRPr="006A4151">
        <w:rPr>
          <w:rFonts w:ascii="Arial" w:hAnsi="Arial" w:cs="Arial"/>
          <w:sz w:val="24"/>
          <w:szCs w:val="24"/>
          <w:lang w:val="mn-MN"/>
        </w:rPr>
        <w:t xml:space="preserve"> сэргийлэх арга хэмжээ</w:t>
      </w:r>
      <w:r w:rsidR="00A72F1F" w:rsidRPr="006A4151">
        <w:rPr>
          <w:rFonts w:ascii="Arial" w:hAnsi="Arial" w:cs="Arial"/>
          <w:sz w:val="24"/>
          <w:szCs w:val="24"/>
          <w:lang w:val="mn-MN"/>
        </w:rPr>
        <w:t xml:space="preserve"> байсан боловч </w:t>
      </w:r>
      <w:r w:rsidRPr="006A4151">
        <w:rPr>
          <w:rFonts w:ascii="Arial" w:hAnsi="Arial" w:cs="Arial"/>
          <w:sz w:val="24"/>
          <w:szCs w:val="24"/>
          <w:lang w:val="mn-MN"/>
        </w:rPr>
        <w:t xml:space="preserve">илүү эх өгөгдөл, мэдээллийн технологийн хөгжил, дэвшилд суурилсан тогтолцоогоор хэрэгжүүлэх шаардлагатай байна. </w:t>
      </w:r>
      <w:r w:rsidR="00A72F1F" w:rsidRPr="006A4151">
        <w:rPr>
          <w:rFonts w:ascii="Arial" w:hAnsi="Arial" w:cs="Arial"/>
          <w:sz w:val="24"/>
          <w:szCs w:val="24"/>
          <w:lang w:val="mn-MN"/>
        </w:rPr>
        <w:t xml:space="preserve"> </w:t>
      </w:r>
      <w:r w:rsidRPr="006A4151">
        <w:rPr>
          <w:rFonts w:ascii="Arial" w:hAnsi="Arial" w:cs="Arial"/>
          <w:sz w:val="24"/>
          <w:szCs w:val="24"/>
          <w:lang w:val="mn-MN"/>
        </w:rPr>
        <w:t>Үүний нэг жишээ бол зээлийн мэдээллийн санд хадгалагдаж буй зээлдэгчийн зээлийн мэдээллийг нэгтгэн, үнэлгэх, зэрэглэл тогтоож эрсдэлийн үнэлгээнд суурилсан зээлийн бүтээгдэхүүнийг бий болгож зээлийн эргэн төлөлтийн найдвартай байдлыг хангаснаар хадгаламж эзэмшигчдийн мөнгөн хөрөнгийг эрсд</w:t>
      </w:r>
      <w:r w:rsidR="00A72F1F" w:rsidRPr="006A4151">
        <w:rPr>
          <w:rFonts w:ascii="Arial" w:hAnsi="Arial" w:cs="Arial"/>
          <w:sz w:val="24"/>
          <w:szCs w:val="24"/>
          <w:lang w:val="mn-MN"/>
        </w:rPr>
        <w:t xml:space="preserve">элгүй </w:t>
      </w:r>
      <w:r w:rsidRPr="006A4151">
        <w:rPr>
          <w:rFonts w:ascii="Arial" w:hAnsi="Arial" w:cs="Arial"/>
          <w:sz w:val="24"/>
          <w:szCs w:val="24"/>
          <w:lang w:val="mn-MN"/>
        </w:rPr>
        <w:t xml:space="preserve"> бай</w:t>
      </w:r>
      <w:r w:rsidR="00A72F1F" w:rsidRPr="006A4151">
        <w:rPr>
          <w:rFonts w:ascii="Arial" w:hAnsi="Arial" w:cs="Arial"/>
          <w:sz w:val="24"/>
          <w:szCs w:val="24"/>
          <w:lang w:val="mn-MN"/>
        </w:rPr>
        <w:t>лгах</w:t>
      </w:r>
      <w:r w:rsidRPr="006A4151">
        <w:rPr>
          <w:rFonts w:ascii="Arial" w:hAnsi="Arial" w:cs="Arial"/>
          <w:sz w:val="24"/>
          <w:szCs w:val="24"/>
          <w:lang w:val="mn-MN"/>
        </w:rPr>
        <w:t xml:space="preserve"> боломжийг бүрдүүлнэ. </w:t>
      </w:r>
    </w:p>
    <w:p w14:paraId="4AD05881" w14:textId="77777777" w:rsidR="007A2836" w:rsidRPr="006A4151" w:rsidRDefault="007A2836" w:rsidP="00314B8D">
      <w:pPr>
        <w:spacing w:after="0" w:line="240" w:lineRule="auto"/>
        <w:ind w:firstLine="720"/>
        <w:jc w:val="both"/>
        <w:rPr>
          <w:rFonts w:ascii="Arial" w:hAnsi="Arial" w:cs="Arial"/>
          <w:sz w:val="24"/>
          <w:szCs w:val="24"/>
          <w:lang w:val="mn-MN"/>
        </w:rPr>
      </w:pPr>
    </w:p>
    <w:p w14:paraId="35E022F5" w14:textId="77777777" w:rsidR="008F4760" w:rsidRPr="006A4151" w:rsidRDefault="008F4760"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Олон улсад хадгаламжийн даатгалын байгууллагаас гадна зээл, санхүүжилтийн үйл ажиллагааг хянах, оролцогч талуудын эрх, аш</w:t>
      </w:r>
      <w:r w:rsidR="00A72F1F" w:rsidRPr="006A4151">
        <w:rPr>
          <w:rFonts w:ascii="Arial" w:hAnsi="Arial" w:cs="Arial"/>
          <w:sz w:val="24"/>
          <w:szCs w:val="24"/>
          <w:lang w:val="mn-MN"/>
        </w:rPr>
        <w:t>г</w:t>
      </w:r>
      <w:r w:rsidRPr="006A4151">
        <w:rPr>
          <w:rFonts w:ascii="Arial" w:hAnsi="Arial" w:cs="Arial"/>
          <w:sz w:val="24"/>
          <w:szCs w:val="24"/>
          <w:lang w:val="mn-MN"/>
        </w:rPr>
        <w:t>ийг хангуулах бодлогын байгууллагууд байдаг. Энэхүү байгууллагуудын чиг үүрэгт тухайн улсын хууль, тогтоомжид нийцүүлсэн өөрсдийн гэсэн зээлжих зэрэглэл тогтоох бодлого хэрэгжүүлэн ажил</w:t>
      </w:r>
      <w:r w:rsidR="00A72F1F" w:rsidRPr="006A4151">
        <w:rPr>
          <w:rFonts w:ascii="Arial" w:hAnsi="Arial" w:cs="Arial"/>
          <w:sz w:val="24"/>
          <w:szCs w:val="24"/>
          <w:lang w:val="mn-MN"/>
        </w:rPr>
        <w:t>ла</w:t>
      </w:r>
      <w:r w:rsidRPr="006A4151">
        <w:rPr>
          <w:rFonts w:ascii="Arial" w:hAnsi="Arial" w:cs="Arial"/>
          <w:sz w:val="24"/>
          <w:szCs w:val="24"/>
          <w:lang w:val="mn-MN"/>
        </w:rPr>
        <w:t xml:space="preserve">даг байна. </w:t>
      </w:r>
    </w:p>
    <w:p w14:paraId="72A9DF87" w14:textId="77777777" w:rsidR="007A2836" w:rsidRPr="006A4151" w:rsidRDefault="007A2836" w:rsidP="00314B8D">
      <w:pPr>
        <w:spacing w:after="0" w:line="240" w:lineRule="auto"/>
        <w:jc w:val="both"/>
        <w:rPr>
          <w:rFonts w:ascii="Arial" w:hAnsi="Arial" w:cs="Arial"/>
          <w:sz w:val="24"/>
          <w:szCs w:val="24"/>
          <w:lang w:val="mn-MN"/>
        </w:rPr>
      </w:pPr>
    </w:p>
    <w:p w14:paraId="79F125AA" w14:textId="77777777" w:rsidR="007A2836" w:rsidRPr="006A4151" w:rsidRDefault="007A2836"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Олон улсын зээлжих зэрэглэл тогтоох аргачлалыг батлах төрийн агентлагууд:</w:t>
      </w:r>
    </w:p>
    <w:tbl>
      <w:tblPr>
        <w:tblStyle w:val="TableGrid"/>
        <w:tblW w:w="0" w:type="auto"/>
        <w:tblInd w:w="108" w:type="dxa"/>
        <w:tblLook w:val="04A0" w:firstRow="1" w:lastRow="0" w:firstColumn="1" w:lastColumn="0" w:noHBand="0" w:noVBand="1"/>
      </w:tblPr>
      <w:tblGrid>
        <w:gridCol w:w="1417"/>
        <w:gridCol w:w="5490"/>
        <w:gridCol w:w="1980"/>
      </w:tblGrid>
      <w:tr w:rsidR="007A2836" w:rsidRPr="006A4151" w14:paraId="01324233" w14:textId="77777777" w:rsidTr="006C3121">
        <w:tc>
          <w:tcPr>
            <w:tcW w:w="1417" w:type="dxa"/>
          </w:tcPr>
          <w:p w14:paraId="333EF30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Улс</w:t>
            </w:r>
          </w:p>
        </w:tc>
        <w:tc>
          <w:tcPr>
            <w:tcW w:w="5490" w:type="dxa"/>
          </w:tcPr>
          <w:p w14:paraId="10FF232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Байгууллагын нэр</w:t>
            </w:r>
          </w:p>
        </w:tc>
        <w:tc>
          <w:tcPr>
            <w:tcW w:w="1980" w:type="dxa"/>
          </w:tcPr>
          <w:p w14:paraId="26F43216"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Өмчийн хэлбэр</w:t>
            </w:r>
          </w:p>
        </w:tc>
      </w:tr>
      <w:tr w:rsidR="007A2836" w:rsidRPr="006A4151" w14:paraId="01063978" w14:textId="77777777" w:rsidTr="006C3121">
        <w:tc>
          <w:tcPr>
            <w:tcW w:w="1417" w:type="dxa"/>
          </w:tcPr>
          <w:p w14:paraId="00224798"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АНУ</w:t>
            </w:r>
          </w:p>
        </w:tc>
        <w:tc>
          <w:tcPr>
            <w:tcW w:w="5490" w:type="dxa"/>
          </w:tcPr>
          <w:p w14:paraId="3E213403"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Consumer Financial Protection Bureau (CFPD), Federal Trade Commission (FTC)</w:t>
            </w:r>
          </w:p>
        </w:tc>
        <w:tc>
          <w:tcPr>
            <w:tcW w:w="1980" w:type="dxa"/>
          </w:tcPr>
          <w:p w14:paraId="1AD5395C"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53635A1A" w14:textId="77777777" w:rsidTr="006C3121">
        <w:tc>
          <w:tcPr>
            <w:tcW w:w="1417" w:type="dxa"/>
          </w:tcPr>
          <w:p w14:paraId="66D7692A"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Их британи</w:t>
            </w:r>
          </w:p>
        </w:tc>
        <w:tc>
          <w:tcPr>
            <w:tcW w:w="5490" w:type="dxa"/>
          </w:tcPr>
          <w:p w14:paraId="70EA4F6A"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The Financial Conduct Authority (FCA)</w:t>
            </w:r>
          </w:p>
        </w:tc>
        <w:tc>
          <w:tcPr>
            <w:tcW w:w="1980" w:type="dxa"/>
          </w:tcPr>
          <w:p w14:paraId="67F59509"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6F068B13" w14:textId="77777777" w:rsidTr="006C3121">
        <w:tc>
          <w:tcPr>
            <w:tcW w:w="1417" w:type="dxa"/>
          </w:tcPr>
          <w:p w14:paraId="25847D80"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Канад</w:t>
            </w:r>
          </w:p>
        </w:tc>
        <w:tc>
          <w:tcPr>
            <w:tcW w:w="5490" w:type="dxa"/>
          </w:tcPr>
          <w:p w14:paraId="66CF5A1C"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Financial Consumer Agency of Canada</w:t>
            </w:r>
          </w:p>
        </w:tc>
        <w:tc>
          <w:tcPr>
            <w:tcW w:w="1980" w:type="dxa"/>
          </w:tcPr>
          <w:p w14:paraId="3BC0D05E"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49CAEDCA" w14:textId="77777777" w:rsidTr="006C3121">
        <w:trPr>
          <w:trHeight w:val="98"/>
        </w:trPr>
        <w:tc>
          <w:tcPr>
            <w:tcW w:w="1417" w:type="dxa"/>
          </w:tcPr>
          <w:p w14:paraId="69124B71"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Австралиа</w:t>
            </w:r>
          </w:p>
        </w:tc>
        <w:tc>
          <w:tcPr>
            <w:tcW w:w="5490" w:type="dxa"/>
          </w:tcPr>
          <w:p w14:paraId="7DE50B7C"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xml:space="preserve">Australian Securities and Investments Commission </w:t>
            </w:r>
          </w:p>
        </w:tc>
        <w:tc>
          <w:tcPr>
            <w:tcW w:w="1980" w:type="dxa"/>
          </w:tcPr>
          <w:p w14:paraId="56F6814B"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7833C3A9" w14:textId="77777777" w:rsidTr="006C3121">
        <w:tc>
          <w:tcPr>
            <w:tcW w:w="1417" w:type="dxa"/>
          </w:tcPr>
          <w:p w14:paraId="09114C88"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 xml:space="preserve">Герман </w:t>
            </w:r>
          </w:p>
        </w:tc>
        <w:tc>
          <w:tcPr>
            <w:tcW w:w="5490" w:type="dxa"/>
          </w:tcPr>
          <w:p w14:paraId="77B1B154"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Federal Financial Financial Supervisory Authority</w:t>
            </w:r>
          </w:p>
        </w:tc>
        <w:tc>
          <w:tcPr>
            <w:tcW w:w="1980" w:type="dxa"/>
          </w:tcPr>
          <w:p w14:paraId="76ECDEFF"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0D610936" w14:textId="77777777" w:rsidTr="006C3121">
        <w:tc>
          <w:tcPr>
            <w:tcW w:w="1417" w:type="dxa"/>
          </w:tcPr>
          <w:p w14:paraId="74E6214E"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Энэтхэг</w:t>
            </w:r>
          </w:p>
        </w:tc>
        <w:tc>
          <w:tcPr>
            <w:tcW w:w="5490" w:type="dxa"/>
          </w:tcPr>
          <w:p w14:paraId="3B98915E"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Credit Information Bureau</w:t>
            </w:r>
          </w:p>
        </w:tc>
        <w:tc>
          <w:tcPr>
            <w:tcW w:w="1980" w:type="dxa"/>
          </w:tcPr>
          <w:p w14:paraId="670D8981"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r w:rsidR="007A2836" w:rsidRPr="006A4151" w14:paraId="2D5A238E" w14:textId="77777777" w:rsidTr="006C3121">
        <w:tc>
          <w:tcPr>
            <w:tcW w:w="1417" w:type="dxa"/>
          </w:tcPr>
          <w:p w14:paraId="5EAB0CF2"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Япон</w:t>
            </w:r>
          </w:p>
        </w:tc>
        <w:tc>
          <w:tcPr>
            <w:tcW w:w="5490" w:type="dxa"/>
          </w:tcPr>
          <w:p w14:paraId="631C7FD2" w14:textId="77777777" w:rsidR="007A2836" w:rsidRPr="006A4151" w:rsidRDefault="007A2836" w:rsidP="00314B8D">
            <w:pPr>
              <w:jc w:val="both"/>
              <w:rPr>
                <w:rFonts w:ascii="Arial" w:hAnsi="Arial" w:cs="Arial"/>
                <w:sz w:val="24"/>
                <w:szCs w:val="24"/>
                <w:lang w:val="mn-MN"/>
              </w:rPr>
            </w:pPr>
            <w:r w:rsidRPr="006A4151">
              <w:rPr>
                <w:rFonts w:ascii="Arial" w:hAnsi="Arial" w:cs="Arial"/>
                <w:sz w:val="24"/>
                <w:szCs w:val="24"/>
                <w:lang w:val="mn-MN"/>
              </w:rPr>
              <w:t>Financial Services Agency</w:t>
            </w:r>
          </w:p>
        </w:tc>
        <w:tc>
          <w:tcPr>
            <w:tcW w:w="1980" w:type="dxa"/>
          </w:tcPr>
          <w:p w14:paraId="5760884F" w14:textId="77777777" w:rsidR="007A2836" w:rsidRPr="006A4151" w:rsidRDefault="007A2836" w:rsidP="00314B8D">
            <w:pPr>
              <w:jc w:val="center"/>
              <w:rPr>
                <w:rFonts w:ascii="Arial" w:hAnsi="Arial" w:cs="Arial"/>
                <w:sz w:val="24"/>
                <w:szCs w:val="24"/>
                <w:lang w:val="mn-MN"/>
              </w:rPr>
            </w:pPr>
            <w:r w:rsidRPr="006A4151">
              <w:rPr>
                <w:rFonts w:ascii="Arial" w:hAnsi="Arial" w:cs="Arial"/>
                <w:sz w:val="24"/>
                <w:szCs w:val="24"/>
                <w:lang w:val="mn-MN"/>
              </w:rPr>
              <w:t>Төрийн өмч</w:t>
            </w:r>
          </w:p>
        </w:tc>
      </w:tr>
    </w:tbl>
    <w:p w14:paraId="7612C4CA" w14:textId="77777777" w:rsidR="007A2836" w:rsidRPr="006A4151" w:rsidRDefault="007A2836" w:rsidP="00314B8D">
      <w:pPr>
        <w:spacing w:after="0" w:line="240" w:lineRule="auto"/>
        <w:jc w:val="both"/>
        <w:rPr>
          <w:rFonts w:ascii="Arial" w:hAnsi="Arial" w:cs="Arial"/>
          <w:i/>
          <w:iCs/>
          <w:sz w:val="24"/>
          <w:szCs w:val="24"/>
          <w:lang w:val="mn-MN"/>
        </w:rPr>
      </w:pPr>
      <w:r w:rsidRPr="006A4151">
        <w:rPr>
          <w:rFonts w:ascii="Arial" w:hAnsi="Arial" w:cs="Arial"/>
          <w:i/>
          <w:iCs/>
          <w:sz w:val="24"/>
          <w:szCs w:val="24"/>
          <w:lang w:val="mn-MN"/>
        </w:rPr>
        <w:t xml:space="preserve">Эх сурвалж: Дээрх төрийн агентлагуудын цахим хуудас  </w:t>
      </w:r>
    </w:p>
    <w:p w14:paraId="49148127" w14:textId="77777777" w:rsidR="007A2836" w:rsidRPr="006A4151" w:rsidRDefault="007A2836" w:rsidP="00314B8D">
      <w:pPr>
        <w:spacing w:after="0" w:line="240" w:lineRule="auto"/>
        <w:ind w:firstLine="720"/>
        <w:jc w:val="both"/>
        <w:rPr>
          <w:rFonts w:ascii="Arial" w:hAnsi="Arial" w:cs="Arial"/>
          <w:sz w:val="24"/>
          <w:szCs w:val="24"/>
          <w:lang w:val="mn-MN"/>
        </w:rPr>
      </w:pPr>
    </w:p>
    <w:p w14:paraId="32AB941A" w14:textId="1B0764CF"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Олон улсын жишгээр бодлого тодорхойлогч байгууллагууд нь зээлдэгчийн зэрэглэл тогтоох бодлого, аргачлал баталж, хэрэгжилтийг хянадаг буюу нэгдсэн бодлогоор зээлийн эргэн төлөлтийн байдал, зээл эрсдэлд орсон шалтгаан болон бусад зээлдэгчийн онцлогоос хамааран хэрхэн зээлдэгчийн үнэлгээг тогтоох аргачлал баталдаг байна. </w:t>
      </w:r>
    </w:p>
    <w:p w14:paraId="7B5D889A" w14:textId="77777777" w:rsidR="007A2836" w:rsidRPr="006A4151" w:rsidRDefault="007A2836" w:rsidP="00314B8D">
      <w:pPr>
        <w:spacing w:after="0" w:line="240" w:lineRule="auto"/>
        <w:jc w:val="both"/>
        <w:rPr>
          <w:rFonts w:ascii="Arial" w:hAnsi="Arial" w:cs="Arial"/>
          <w:sz w:val="24"/>
          <w:szCs w:val="24"/>
          <w:lang w:val="mn-MN"/>
        </w:rPr>
      </w:pPr>
    </w:p>
    <w:p w14:paraId="4E4E7002" w14:textId="42C519FC" w:rsidR="007A2836" w:rsidRPr="006A4151" w:rsidRDefault="007A2836"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Хуулийн нэмэлт, өөрчлөлтийн төсөл батлагдсанаар банк, санхүүгийн</w:t>
      </w:r>
      <w:r w:rsidR="0058483C" w:rsidRPr="006A4151">
        <w:rPr>
          <w:rFonts w:ascii="Arial" w:hAnsi="Arial" w:cs="Arial"/>
          <w:sz w:val="24"/>
          <w:szCs w:val="24"/>
          <w:lang w:val="mn-MN"/>
        </w:rPr>
        <w:t xml:space="preserve"> үйлчилгээний </w:t>
      </w:r>
      <w:r w:rsidRPr="006A4151">
        <w:rPr>
          <w:rFonts w:ascii="Arial" w:hAnsi="Arial" w:cs="Arial"/>
          <w:sz w:val="24"/>
          <w:szCs w:val="24"/>
          <w:lang w:val="mn-MN"/>
        </w:rPr>
        <w:t>хүртэ</w:t>
      </w:r>
      <w:r w:rsidR="00A72F1F" w:rsidRPr="006A4151">
        <w:rPr>
          <w:rFonts w:ascii="Arial" w:hAnsi="Arial" w:cs="Arial"/>
          <w:sz w:val="24"/>
          <w:szCs w:val="24"/>
          <w:lang w:val="mn-MN"/>
        </w:rPr>
        <w:t>э</w:t>
      </w:r>
      <w:r w:rsidRPr="006A4151">
        <w:rPr>
          <w:rFonts w:ascii="Arial" w:hAnsi="Arial" w:cs="Arial"/>
          <w:sz w:val="24"/>
          <w:szCs w:val="24"/>
          <w:lang w:val="mn-MN"/>
        </w:rPr>
        <w:t xml:space="preserve">мжийг нэмэгдүүлэх, эрсдэлийн үнэлгээ, удирдлагад суурилсан үйл ажиллагаа сайжирч, зээл, санхүүжилт нэмэгдэх нөхцөл бүрдүүлнэ. Нэг талаас зээлдүүлэгч эрсдэлгүй, зөв шийдвэрийг шуурхай гаргах боломжтой </w:t>
      </w:r>
      <w:r w:rsidRPr="006A4151">
        <w:rPr>
          <w:rFonts w:ascii="Arial" w:hAnsi="Arial" w:cs="Arial"/>
          <w:sz w:val="24"/>
          <w:szCs w:val="24"/>
          <w:lang w:val="mn-MN"/>
        </w:rPr>
        <w:lastRenderedPageBreak/>
        <w:t>болж, банк, санхүүгийн салбарын хугацаа хэтэрсэн, чанаргүй зээлийн хэмжээ буурах ба нөгөө талаас зээлдэгч өөрийн зээлийн түүхийг хянан удирдаж, санхүүгийн менежментээ зөв хийж эхлэх ба санхүүгийн сахилга хариуцлага сайжр</w:t>
      </w:r>
      <w:r w:rsidR="00A72F1F" w:rsidRPr="006A4151">
        <w:rPr>
          <w:rFonts w:ascii="Arial" w:hAnsi="Arial" w:cs="Arial"/>
          <w:sz w:val="24"/>
          <w:szCs w:val="24"/>
          <w:lang w:val="mn-MN"/>
        </w:rPr>
        <w:t>ах юм</w:t>
      </w:r>
      <w:r w:rsidRPr="006A4151">
        <w:rPr>
          <w:rFonts w:ascii="Arial" w:hAnsi="Arial" w:cs="Arial"/>
          <w:sz w:val="24"/>
          <w:szCs w:val="24"/>
          <w:lang w:val="mn-MN"/>
        </w:rPr>
        <w:t>.</w:t>
      </w:r>
      <w:r w:rsidR="00A76159" w:rsidRPr="006A4151">
        <w:rPr>
          <w:rFonts w:ascii="Arial" w:hAnsi="Arial" w:cs="Arial"/>
          <w:sz w:val="24"/>
          <w:szCs w:val="24"/>
          <w:lang w:val="mn-MN"/>
        </w:rPr>
        <w:t xml:space="preserve"> </w:t>
      </w:r>
      <w:r w:rsidR="004E59C8" w:rsidRPr="006A4151">
        <w:rPr>
          <w:rFonts w:ascii="Arial" w:hAnsi="Arial" w:cs="Arial"/>
          <w:sz w:val="24"/>
          <w:szCs w:val="24"/>
          <w:lang w:val="mn-MN"/>
        </w:rPr>
        <w:t>Зээлдэгчийн з</w:t>
      </w:r>
      <w:r w:rsidRPr="006A4151">
        <w:rPr>
          <w:rFonts w:ascii="Arial" w:hAnsi="Arial" w:cs="Arial"/>
          <w:sz w:val="24"/>
          <w:szCs w:val="24"/>
          <w:lang w:val="mn-MN"/>
        </w:rPr>
        <w:t xml:space="preserve">ээлжих </w:t>
      </w:r>
      <w:r w:rsidR="004E59C8" w:rsidRPr="006A4151">
        <w:rPr>
          <w:rFonts w:ascii="Arial" w:hAnsi="Arial" w:cs="Arial"/>
          <w:sz w:val="24"/>
          <w:szCs w:val="24"/>
          <w:lang w:val="mn-MN"/>
        </w:rPr>
        <w:t xml:space="preserve">чадварт </w:t>
      </w:r>
      <w:r w:rsidRPr="006A4151">
        <w:rPr>
          <w:rFonts w:ascii="Arial" w:hAnsi="Arial" w:cs="Arial"/>
          <w:sz w:val="24"/>
          <w:szCs w:val="24"/>
          <w:lang w:val="mn-MN"/>
        </w:rPr>
        <w:t xml:space="preserve">зэрэглэл тогтоох </w:t>
      </w:r>
      <w:r w:rsidR="00B168DB" w:rsidRPr="006A4151">
        <w:rPr>
          <w:rFonts w:ascii="Arial" w:hAnsi="Arial" w:cs="Arial"/>
          <w:sz w:val="24"/>
          <w:szCs w:val="24"/>
          <w:lang w:val="mn-MN"/>
        </w:rPr>
        <w:t xml:space="preserve">онооны </w:t>
      </w:r>
      <w:r w:rsidRPr="006A4151">
        <w:rPr>
          <w:rFonts w:ascii="Arial" w:hAnsi="Arial" w:cs="Arial"/>
          <w:sz w:val="24"/>
          <w:szCs w:val="24"/>
          <w:lang w:val="mn-MN"/>
        </w:rPr>
        <w:t xml:space="preserve">аргачлалыг Монголбанк </w:t>
      </w:r>
      <w:r w:rsidR="000D4131" w:rsidRPr="006A4151">
        <w:rPr>
          <w:rFonts w:ascii="Arial" w:hAnsi="Arial" w:cs="Arial"/>
          <w:sz w:val="24"/>
          <w:szCs w:val="24"/>
          <w:lang w:val="mn-MN"/>
        </w:rPr>
        <w:t>баталж зээлдэгчийн мэдээллийн зээлийн лавлагаанд тусгах хугацааг зургаа хүртэлх жил болгосноор</w:t>
      </w:r>
      <w:r w:rsidRPr="006A4151">
        <w:rPr>
          <w:rFonts w:ascii="Arial" w:hAnsi="Arial" w:cs="Arial"/>
          <w:sz w:val="24"/>
          <w:szCs w:val="24"/>
          <w:lang w:val="mn-MN"/>
        </w:rPr>
        <w:t xml:space="preserve"> дараа ач холбогдолтой:</w:t>
      </w:r>
    </w:p>
    <w:p w14:paraId="322BE481" w14:textId="77777777" w:rsidR="007A2836" w:rsidRPr="006A4151" w:rsidRDefault="007A2836" w:rsidP="00314B8D">
      <w:pPr>
        <w:spacing w:after="0" w:line="240" w:lineRule="auto"/>
        <w:jc w:val="both"/>
        <w:rPr>
          <w:rFonts w:ascii="Arial" w:hAnsi="Arial" w:cs="Arial"/>
          <w:sz w:val="24"/>
          <w:szCs w:val="24"/>
          <w:lang w:val="mn-MN"/>
        </w:rPr>
      </w:pPr>
    </w:p>
    <w:p w14:paraId="58E9F24B" w14:textId="77777777" w:rsidR="007A2836" w:rsidRPr="006A4151" w:rsidRDefault="007A2836"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Зээлийн мэдээллийг ашиглан зээлдэгчийн зээлжих зэрэглэл тогтоох нэгдсэн аргачлал, журамтай болно;</w:t>
      </w:r>
    </w:p>
    <w:p w14:paraId="22010163" w14:textId="77777777" w:rsidR="007A2836" w:rsidRPr="006A4151" w:rsidRDefault="007A2836"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Зээлийн эрсдэлийг удирдах нэгдсэн систем, бүтэц бий болно;</w:t>
      </w:r>
    </w:p>
    <w:p w14:paraId="1B9EFA26" w14:textId="77777777" w:rsidR="007A2836" w:rsidRPr="006A4151" w:rsidRDefault="007A2836"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Их өгөгдөл буюу зээлийн мэдээллийн санд хадгалагдаж буй мэдээллийг ашиглан зээлжих зэрэглэлд хамаарах банк, санхүүгийн бүтээгдэхүүн үйлчилгээ нэвтрүүлэх боломжтой;</w:t>
      </w:r>
    </w:p>
    <w:p w14:paraId="3CEF4CB6" w14:textId="77777777" w:rsidR="007A2836" w:rsidRPr="006A4151" w:rsidRDefault="007A2836" w:rsidP="00314B8D">
      <w:pPr>
        <w:pStyle w:val="ListParagraph"/>
        <w:numPr>
          <w:ilvl w:val="0"/>
          <w:numId w:val="1"/>
        </w:numPr>
        <w:spacing w:after="0" w:line="240" w:lineRule="auto"/>
        <w:jc w:val="both"/>
        <w:rPr>
          <w:rFonts w:ascii="Arial" w:hAnsi="Arial" w:cs="Arial"/>
          <w:sz w:val="24"/>
          <w:szCs w:val="24"/>
          <w:lang w:val="mn-MN"/>
        </w:rPr>
      </w:pPr>
      <w:r w:rsidRPr="006A4151">
        <w:rPr>
          <w:rFonts w:ascii="Arial" w:hAnsi="Arial" w:cs="Arial"/>
          <w:sz w:val="24"/>
          <w:szCs w:val="24"/>
          <w:lang w:val="mn-MN"/>
        </w:rPr>
        <w:t>Банк, санхүүгийн салбарын оролцогч талуудын санхүүгийн сахилга батыг дээшлүүлэх нөхцөлийг бүрдүүлнэ.</w:t>
      </w:r>
    </w:p>
    <w:p w14:paraId="435EB1D7" w14:textId="77777777" w:rsidR="007A2836" w:rsidRPr="006A4151" w:rsidRDefault="007A2836" w:rsidP="00314B8D">
      <w:pPr>
        <w:spacing w:after="0" w:line="240" w:lineRule="auto"/>
        <w:jc w:val="both"/>
        <w:rPr>
          <w:rFonts w:ascii="Arial" w:hAnsi="Arial" w:cs="Arial"/>
          <w:sz w:val="24"/>
          <w:szCs w:val="24"/>
          <w:lang w:val="mn-MN"/>
        </w:rPr>
      </w:pPr>
    </w:p>
    <w:p w14:paraId="46EA1CA3" w14:textId="77777777" w:rsidR="00403803" w:rsidRPr="006A4151" w:rsidRDefault="00687EF8" w:rsidP="00403803">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Мөн зээлдэгчийн зээлийн мэдээллийг зээлийн лавлагаанд зургаан жил тусгах гэсэн заалтыг зургаа хүртэлх жил болгох зохицуулалт бүрдүүлснээр банк, санхүүгийн салбарын хөгжил, нийгэм, эдийн засагт гарж буй өөрчлөлтүүдтэй уялдуулан зээлийн мэдээллийн сангийн мэдээллийг ашиглах боломжтой болно. </w:t>
      </w:r>
      <w:r w:rsidR="007A2836" w:rsidRPr="006A4151">
        <w:rPr>
          <w:rFonts w:ascii="Arial" w:hAnsi="Arial" w:cs="Arial"/>
          <w:sz w:val="24"/>
          <w:szCs w:val="24"/>
          <w:lang w:val="mn-MN"/>
        </w:rPr>
        <w:t>Зээлийн мэдээллийн</w:t>
      </w:r>
      <w:r w:rsidR="009B700A" w:rsidRPr="006A4151">
        <w:rPr>
          <w:rFonts w:ascii="Arial" w:hAnsi="Arial" w:cs="Arial"/>
          <w:sz w:val="24"/>
          <w:szCs w:val="24"/>
          <w:lang w:val="mn-MN"/>
        </w:rPr>
        <w:t xml:space="preserve"> </w:t>
      </w:r>
      <w:r w:rsidR="007A2836" w:rsidRPr="006A4151">
        <w:rPr>
          <w:rFonts w:ascii="Arial" w:hAnsi="Arial" w:cs="Arial"/>
          <w:sz w:val="24"/>
          <w:szCs w:val="24"/>
          <w:lang w:val="mn-MN"/>
        </w:rPr>
        <w:t xml:space="preserve">тухай хуульд нэмэлт өөрчлөлт оруулах тухай хуулиар зээлийн мэдээллийн санд хадгалагдаж буй зээлдэгчийн зээлийн мэдээллийг зээлжих зэрэглэл тогтооход ашиглах, зээлдэгчийн зээлжих зэрэглэл тогтоох </w:t>
      </w:r>
      <w:r w:rsidR="00B168DB" w:rsidRPr="006A4151">
        <w:rPr>
          <w:rFonts w:ascii="Arial" w:hAnsi="Arial" w:cs="Arial"/>
          <w:sz w:val="24"/>
          <w:szCs w:val="24"/>
          <w:lang w:val="mn-MN"/>
        </w:rPr>
        <w:t xml:space="preserve">онооны </w:t>
      </w:r>
      <w:r w:rsidR="007A2836" w:rsidRPr="006A4151">
        <w:rPr>
          <w:rFonts w:ascii="Arial" w:hAnsi="Arial" w:cs="Arial"/>
          <w:sz w:val="24"/>
          <w:szCs w:val="24"/>
          <w:lang w:val="mn-MN"/>
        </w:rPr>
        <w:t xml:space="preserve">аргачлалыг эрх бүхий </w:t>
      </w:r>
      <w:r w:rsidR="00AA0487" w:rsidRPr="006A4151">
        <w:rPr>
          <w:rFonts w:ascii="Arial" w:hAnsi="Arial" w:cs="Arial"/>
          <w:sz w:val="24"/>
          <w:szCs w:val="24"/>
          <w:lang w:val="mn-MN"/>
        </w:rPr>
        <w:t xml:space="preserve">бодлого тодорхойлогч </w:t>
      </w:r>
      <w:r w:rsidR="007A2836" w:rsidRPr="006A4151">
        <w:rPr>
          <w:rFonts w:ascii="Arial" w:hAnsi="Arial" w:cs="Arial"/>
          <w:sz w:val="24"/>
          <w:szCs w:val="24"/>
          <w:lang w:val="mn-MN"/>
        </w:rPr>
        <w:t xml:space="preserve">байгууллагаар батлуулснаар </w:t>
      </w:r>
      <w:r w:rsidR="00403803" w:rsidRPr="006A4151">
        <w:rPr>
          <w:rFonts w:ascii="Arial" w:hAnsi="Arial" w:cs="Arial"/>
          <w:sz w:val="24"/>
          <w:szCs w:val="24"/>
          <w:lang w:val="mn-MN"/>
        </w:rPr>
        <w:t xml:space="preserve">эрсдэлийн үнэлгээнд суурилсан үйлчилгээг нэвтрүүлж банк, санхүүгийн салбарын үйлчилгээний хүртээмжийг нэмэгдүүлэх нөхцөлийг бүрдүүлнэ.   </w:t>
      </w:r>
    </w:p>
    <w:p w14:paraId="42F6EFF1" w14:textId="77777777" w:rsidR="00AA303E" w:rsidRPr="006A4151" w:rsidRDefault="00AA303E" w:rsidP="00314B8D">
      <w:pPr>
        <w:spacing w:after="0" w:line="240" w:lineRule="auto"/>
        <w:ind w:firstLine="720"/>
        <w:jc w:val="both"/>
        <w:rPr>
          <w:rFonts w:ascii="Arial" w:hAnsi="Arial" w:cs="Arial"/>
          <w:sz w:val="24"/>
          <w:szCs w:val="24"/>
          <w:lang w:val="mn-MN"/>
        </w:rPr>
      </w:pPr>
    </w:p>
    <w:p w14:paraId="46FAD055" w14:textId="76D446C2" w:rsidR="00AA303E" w:rsidRPr="006A4151" w:rsidRDefault="00AA303E" w:rsidP="00AA303E">
      <w:pPr>
        <w:spacing w:after="0" w:line="240" w:lineRule="auto"/>
        <w:ind w:right="4" w:firstLine="720"/>
        <w:jc w:val="both"/>
        <w:rPr>
          <w:rFonts w:ascii="Arial" w:hAnsi="Arial" w:cs="Arial"/>
          <w:sz w:val="24"/>
          <w:szCs w:val="24"/>
          <w:lang w:val="mn-MN"/>
        </w:rPr>
      </w:pPr>
      <w:r w:rsidRPr="006A4151">
        <w:rPr>
          <w:rFonts w:ascii="Arial" w:hAnsi="Arial" w:cs="Arial"/>
          <w:sz w:val="24"/>
          <w:szCs w:val="24"/>
          <w:lang w:val="mn-MN"/>
        </w:rPr>
        <w:t xml:space="preserve">Хуулийн төсөл батлагдсанаар Монголбанканд зээлжих чадварын зэрэглэлийг тогтоох онооны аргачлал, журам батлах үүрэг хүлээлгэх зохицуулалт тусгаж байгаа хэдий ч </w:t>
      </w:r>
      <w:r w:rsidRPr="006A4151">
        <w:rPr>
          <w:rFonts w:ascii="Arial" w:eastAsiaTheme="minorEastAsia" w:hAnsi="Arial" w:cs="Arial"/>
          <w:bCs/>
          <w:sz w:val="24"/>
          <w:szCs w:val="24"/>
          <w:lang w:val="mn-MN"/>
        </w:rPr>
        <w:t>улсын төсөвт</w:t>
      </w:r>
      <w:r w:rsidR="002E12BA" w:rsidRPr="006A4151">
        <w:rPr>
          <w:rFonts w:ascii="Arial" w:eastAsiaTheme="minorEastAsia" w:hAnsi="Arial" w:cs="Arial"/>
          <w:bCs/>
          <w:sz w:val="24"/>
          <w:szCs w:val="24"/>
          <w:lang w:val="mn-MN"/>
        </w:rPr>
        <w:t xml:space="preserve"> нэмэлт зардал тусгах шаардлагагүй болно.</w:t>
      </w:r>
      <w:r w:rsidRPr="006A4151">
        <w:rPr>
          <w:rFonts w:ascii="Arial" w:eastAsiaTheme="minorEastAsia" w:hAnsi="Arial" w:cs="Arial"/>
          <w:bCs/>
          <w:sz w:val="24"/>
          <w:szCs w:val="24"/>
          <w:lang w:val="mn-MN"/>
        </w:rPr>
        <w:t xml:space="preserve"> </w:t>
      </w:r>
    </w:p>
    <w:p w14:paraId="5AE6933A" w14:textId="77777777" w:rsidR="00E75E2A" w:rsidRPr="006A4151" w:rsidRDefault="00E75E2A" w:rsidP="00314B8D">
      <w:pPr>
        <w:spacing w:after="0" w:line="240" w:lineRule="auto"/>
        <w:ind w:firstLine="720"/>
        <w:jc w:val="both"/>
        <w:rPr>
          <w:rFonts w:ascii="Arial" w:hAnsi="Arial" w:cs="Arial"/>
          <w:sz w:val="24"/>
          <w:szCs w:val="24"/>
          <w:lang w:val="mn-MN"/>
        </w:rPr>
      </w:pPr>
    </w:p>
    <w:p w14:paraId="6E06272C" w14:textId="1CA236CE" w:rsidR="00E75E2A" w:rsidRPr="006A4151" w:rsidRDefault="00491047" w:rsidP="00314B8D">
      <w:pPr>
        <w:spacing w:after="0" w:line="240" w:lineRule="auto"/>
        <w:ind w:firstLine="720"/>
        <w:jc w:val="both"/>
        <w:rPr>
          <w:rFonts w:ascii="Arial" w:hAnsi="Arial" w:cs="Arial"/>
          <w:b/>
          <w:bCs/>
          <w:sz w:val="24"/>
          <w:szCs w:val="24"/>
          <w:lang w:val="mn-MN"/>
        </w:rPr>
      </w:pPr>
      <w:r w:rsidRPr="006A4151">
        <w:rPr>
          <w:rFonts w:ascii="Arial" w:hAnsi="Arial" w:cs="Arial"/>
          <w:b/>
          <w:bCs/>
          <w:sz w:val="24"/>
          <w:szCs w:val="24"/>
          <w:lang w:val="mn-MN"/>
        </w:rPr>
        <w:t xml:space="preserve">Зээлийн мэдээллийн тухай хуульд нэмэлт, өөрчлөлт оруулах тухай </w:t>
      </w:r>
      <w:r w:rsidR="00703F6F" w:rsidRPr="006A4151">
        <w:rPr>
          <w:rFonts w:ascii="Arial" w:hAnsi="Arial" w:cs="Arial"/>
          <w:b/>
          <w:bCs/>
          <w:sz w:val="24"/>
          <w:szCs w:val="24"/>
          <w:lang w:val="mn-MN"/>
        </w:rPr>
        <w:t xml:space="preserve">хуулийн төсөлд ирсэн </w:t>
      </w:r>
      <w:r w:rsidR="00F275A1" w:rsidRPr="006A4151">
        <w:rPr>
          <w:rFonts w:ascii="Arial" w:hAnsi="Arial" w:cs="Arial"/>
          <w:b/>
          <w:bCs/>
          <w:sz w:val="24"/>
          <w:szCs w:val="24"/>
          <w:lang w:val="mn-MN"/>
        </w:rPr>
        <w:t xml:space="preserve">саналуудыг тусгасан байдал </w:t>
      </w:r>
      <w:r w:rsidR="00703F6F" w:rsidRPr="006A4151">
        <w:rPr>
          <w:rFonts w:ascii="Arial" w:hAnsi="Arial" w:cs="Arial"/>
          <w:b/>
          <w:bCs/>
          <w:sz w:val="24"/>
          <w:szCs w:val="24"/>
          <w:lang w:val="mn-MN"/>
        </w:rPr>
        <w:t>болон холбогдох тайлбарууд</w:t>
      </w:r>
      <w:r w:rsidR="000B624D" w:rsidRPr="006A4151">
        <w:rPr>
          <w:rFonts w:ascii="Arial" w:hAnsi="Arial" w:cs="Arial"/>
          <w:b/>
          <w:bCs/>
          <w:sz w:val="24"/>
          <w:szCs w:val="24"/>
          <w:lang w:val="mn-MN"/>
        </w:rPr>
        <w:t>:</w:t>
      </w:r>
    </w:p>
    <w:p w14:paraId="2C4C6B69" w14:textId="77777777" w:rsidR="00703F6F" w:rsidRPr="006A4151" w:rsidRDefault="00703F6F" w:rsidP="00314B8D">
      <w:pPr>
        <w:spacing w:after="0" w:line="240" w:lineRule="auto"/>
        <w:jc w:val="both"/>
        <w:rPr>
          <w:rFonts w:ascii="Arial" w:hAnsi="Arial" w:cs="Arial"/>
          <w:b/>
          <w:bCs/>
          <w:sz w:val="24"/>
          <w:szCs w:val="24"/>
          <w:lang w:val="mn-MN"/>
        </w:rPr>
      </w:pPr>
    </w:p>
    <w:p w14:paraId="3210DB45" w14:textId="5A39DC7F" w:rsidR="00703F6F" w:rsidRPr="006A4151" w:rsidRDefault="00B7209B"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Зээлийн мэдээллийн тухай хуульд нэмэлт, өөрчлөлт оруулах тухай хуулийн төслийг </w:t>
      </w:r>
      <w:r w:rsidR="00703F6F" w:rsidRPr="006A4151">
        <w:rPr>
          <w:rFonts w:ascii="Arial" w:hAnsi="Arial" w:cs="Arial"/>
          <w:sz w:val="24"/>
          <w:szCs w:val="24"/>
          <w:lang w:val="mn-MN"/>
        </w:rPr>
        <w:t>Засгийн газрын 2024 оны 9 дүгээр сарын 4-ний өдрийн</w:t>
      </w:r>
      <w:r w:rsidRPr="006A4151">
        <w:rPr>
          <w:rFonts w:ascii="Arial" w:hAnsi="Arial" w:cs="Arial"/>
          <w:sz w:val="24"/>
          <w:szCs w:val="24"/>
          <w:lang w:val="mn-MN"/>
        </w:rPr>
        <w:t xml:space="preserve"> хуралдаанаар хэлэлцэж ирүүлсэн саналуудыг дараах байдлаар</w:t>
      </w:r>
      <w:r w:rsidR="00C973F5" w:rsidRPr="006A4151">
        <w:rPr>
          <w:rFonts w:ascii="Arial" w:hAnsi="Arial" w:cs="Arial"/>
          <w:sz w:val="24"/>
          <w:szCs w:val="24"/>
          <w:lang w:val="mn-MN"/>
        </w:rPr>
        <w:t xml:space="preserve"> </w:t>
      </w:r>
      <w:r w:rsidRPr="006A4151">
        <w:rPr>
          <w:rFonts w:ascii="Arial" w:hAnsi="Arial" w:cs="Arial"/>
          <w:sz w:val="24"/>
          <w:szCs w:val="24"/>
          <w:lang w:val="mn-MN"/>
        </w:rPr>
        <w:t xml:space="preserve">тусгасан болно: </w:t>
      </w:r>
    </w:p>
    <w:p w14:paraId="3725EC37" w14:textId="77777777" w:rsidR="00B7209B" w:rsidRPr="006A4151" w:rsidRDefault="00B7209B" w:rsidP="00314B8D">
      <w:pPr>
        <w:spacing w:after="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3325"/>
        <w:gridCol w:w="2340"/>
        <w:gridCol w:w="3351"/>
      </w:tblGrid>
      <w:tr w:rsidR="00952933" w:rsidRPr="006A4151" w14:paraId="11B368B1" w14:textId="08110119" w:rsidTr="00E97B14">
        <w:tc>
          <w:tcPr>
            <w:tcW w:w="3325" w:type="dxa"/>
          </w:tcPr>
          <w:p w14:paraId="0D98C37D" w14:textId="72A61874" w:rsidR="00B7209B" w:rsidRPr="006A4151" w:rsidRDefault="00B7209B" w:rsidP="00314B8D">
            <w:pPr>
              <w:jc w:val="center"/>
              <w:rPr>
                <w:rFonts w:ascii="Arial" w:hAnsi="Arial" w:cs="Arial"/>
                <w:sz w:val="24"/>
                <w:szCs w:val="24"/>
                <w:lang w:val="mn-MN"/>
              </w:rPr>
            </w:pPr>
            <w:r w:rsidRPr="006A4151">
              <w:rPr>
                <w:rFonts w:ascii="Arial" w:hAnsi="Arial" w:cs="Arial"/>
                <w:sz w:val="24"/>
                <w:szCs w:val="24"/>
                <w:lang w:val="mn-MN"/>
              </w:rPr>
              <w:t>Ирсэн санал</w:t>
            </w:r>
          </w:p>
        </w:tc>
        <w:tc>
          <w:tcPr>
            <w:tcW w:w="2340" w:type="dxa"/>
          </w:tcPr>
          <w:p w14:paraId="389044FD" w14:textId="7E418D24" w:rsidR="00B7209B" w:rsidRPr="006A4151" w:rsidRDefault="0026679C" w:rsidP="00314B8D">
            <w:pPr>
              <w:jc w:val="center"/>
              <w:rPr>
                <w:rFonts w:ascii="Arial" w:hAnsi="Arial" w:cs="Arial"/>
                <w:sz w:val="24"/>
                <w:szCs w:val="24"/>
                <w:lang w:val="mn-MN"/>
              </w:rPr>
            </w:pPr>
            <w:r w:rsidRPr="006A4151">
              <w:rPr>
                <w:rFonts w:ascii="Arial" w:hAnsi="Arial" w:cs="Arial"/>
                <w:sz w:val="24"/>
                <w:szCs w:val="24"/>
                <w:lang w:val="mn-MN"/>
              </w:rPr>
              <w:t>Санал т</w:t>
            </w:r>
            <w:r w:rsidR="00B7209B" w:rsidRPr="006A4151">
              <w:rPr>
                <w:rFonts w:ascii="Arial" w:hAnsi="Arial" w:cs="Arial"/>
                <w:sz w:val="24"/>
                <w:szCs w:val="24"/>
                <w:lang w:val="mn-MN"/>
              </w:rPr>
              <w:t>усгасан байдал</w:t>
            </w:r>
          </w:p>
        </w:tc>
        <w:tc>
          <w:tcPr>
            <w:tcW w:w="3351" w:type="dxa"/>
          </w:tcPr>
          <w:p w14:paraId="0F63D76E" w14:textId="7A996402" w:rsidR="00B7209B" w:rsidRPr="006A4151" w:rsidRDefault="00B7209B" w:rsidP="00314B8D">
            <w:pPr>
              <w:jc w:val="center"/>
              <w:rPr>
                <w:rFonts w:ascii="Arial" w:hAnsi="Arial" w:cs="Arial"/>
                <w:sz w:val="24"/>
                <w:szCs w:val="24"/>
                <w:lang w:val="mn-MN"/>
              </w:rPr>
            </w:pPr>
            <w:r w:rsidRPr="006A4151">
              <w:rPr>
                <w:rFonts w:ascii="Arial" w:hAnsi="Arial" w:cs="Arial"/>
                <w:sz w:val="24"/>
                <w:szCs w:val="24"/>
                <w:lang w:val="mn-MN"/>
              </w:rPr>
              <w:t>Тайлбар</w:t>
            </w:r>
          </w:p>
        </w:tc>
      </w:tr>
      <w:tr w:rsidR="00952933" w:rsidRPr="006A4151" w14:paraId="00919999" w14:textId="044C450C" w:rsidTr="00E97B14">
        <w:tc>
          <w:tcPr>
            <w:tcW w:w="3325" w:type="dxa"/>
          </w:tcPr>
          <w:p w14:paraId="352BCDBF" w14:textId="1F84B784" w:rsidR="00B7209B" w:rsidRPr="006A4151" w:rsidRDefault="00187142" w:rsidP="00314B8D">
            <w:pPr>
              <w:jc w:val="both"/>
              <w:rPr>
                <w:rFonts w:ascii="Arial" w:hAnsi="Arial" w:cs="Arial"/>
                <w:sz w:val="24"/>
                <w:szCs w:val="24"/>
                <w:lang w:val="mn-MN"/>
              </w:rPr>
            </w:pPr>
            <w:r w:rsidRPr="006A4151">
              <w:rPr>
                <w:rFonts w:ascii="Arial" w:hAnsi="Arial" w:cs="Arial"/>
                <w:sz w:val="24"/>
                <w:szCs w:val="24"/>
                <w:lang w:val="mn-MN"/>
              </w:rPr>
              <w:t xml:space="preserve">Санал нэг: </w:t>
            </w:r>
            <w:r w:rsidR="0015279A" w:rsidRPr="006A4151">
              <w:rPr>
                <w:rFonts w:ascii="Arial" w:hAnsi="Arial" w:cs="Arial"/>
                <w:sz w:val="24"/>
                <w:szCs w:val="24"/>
                <w:lang w:val="mn-MN"/>
              </w:rPr>
              <w:t>“</w:t>
            </w:r>
            <w:r w:rsidR="00B7209B" w:rsidRPr="006A4151">
              <w:rPr>
                <w:rFonts w:ascii="Arial" w:hAnsi="Arial" w:cs="Arial"/>
                <w:sz w:val="24"/>
                <w:szCs w:val="24"/>
                <w:lang w:val="mn-MN"/>
              </w:rPr>
              <w:t xml:space="preserve">Хуулийн төслийн үзэл баримтлалд "Зээлдэгчийн зээлийн мэдээллийг зээлийн лавлагаанд зургаан жилээр тусгах зохицуулалтыг уян хатан болгож, тухайн зээлдэгчийн онцлог, нөхцөл </w:t>
            </w:r>
            <w:r w:rsidR="00B7209B" w:rsidRPr="006A4151">
              <w:rPr>
                <w:rFonts w:ascii="Arial" w:hAnsi="Arial" w:cs="Arial"/>
                <w:sz w:val="24"/>
                <w:szCs w:val="24"/>
                <w:lang w:val="mn-MN"/>
              </w:rPr>
              <w:lastRenderedPageBreak/>
              <w:t>байдалтай нь уялдсан хугацааг олон улсын жишгийн дагуу нийцүүлэх зохицуулалтыг бүрдүүлнэ." гэсэн боловч хуулийн төсөлд "зургаа" гэснийг "зургаа хүртэл гэснээс өөр тодорхой шалгуур, нөхцөлийг заагаагүй. зээлдэгчийн онцлог, нөхцөл байдлыг ямар эрх бүхий байгууллагаас хэрхэн тодорхойлох талаар тусгаагүй байгааг анхаарах</w:t>
            </w:r>
            <w:r w:rsidR="0015279A" w:rsidRPr="006A4151">
              <w:rPr>
                <w:rFonts w:ascii="Arial" w:hAnsi="Arial" w:cs="Arial"/>
                <w:sz w:val="24"/>
                <w:szCs w:val="24"/>
                <w:lang w:val="mn-MN"/>
              </w:rPr>
              <w:t>”</w:t>
            </w:r>
          </w:p>
          <w:p w14:paraId="2AC40C6B" w14:textId="77777777" w:rsidR="00B7209B" w:rsidRPr="006A4151" w:rsidRDefault="00B7209B" w:rsidP="00314B8D">
            <w:pPr>
              <w:jc w:val="both"/>
              <w:rPr>
                <w:rFonts w:ascii="Arial" w:hAnsi="Arial" w:cs="Arial"/>
                <w:sz w:val="24"/>
                <w:szCs w:val="24"/>
                <w:lang w:val="mn-MN"/>
              </w:rPr>
            </w:pPr>
          </w:p>
        </w:tc>
        <w:tc>
          <w:tcPr>
            <w:tcW w:w="2340" w:type="dxa"/>
          </w:tcPr>
          <w:p w14:paraId="3E1D2E9A" w14:textId="43BD25DA" w:rsidR="00B7209B" w:rsidRPr="006A4151" w:rsidRDefault="00E40A85" w:rsidP="00314B8D">
            <w:pPr>
              <w:jc w:val="both"/>
              <w:rPr>
                <w:rFonts w:ascii="Arial" w:hAnsi="Arial" w:cs="Arial"/>
                <w:sz w:val="24"/>
                <w:szCs w:val="24"/>
                <w:lang w:val="mn-MN"/>
              </w:rPr>
            </w:pPr>
            <w:r w:rsidRPr="006A4151">
              <w:rPr>
                <w:rFonts w:ascii="Arial" w:hAnsi="Arial" w:cs="Arial"/>
                <w:sz w:val="24"/>
                <w:szCs w:val="24"/>
                <w:lang w:val="mn-MN"/>
              </w:rPr>
              <w:lastRenderedPageBreak/>
              <w:t>З</w:t>
            </w:r>
            <w:r w:rsidR="00E32FB1" w:rsidRPr="006A4151">
              <w:rPr>
                <w:rFonts w:ascii="Arial" w:hAnsi="Arial" w:cs="Arial"/>
                <w:sz w:val="24"/>
                <w:szCs w:val="24"/>
                <w:lang w:val="mn-MN"/>
              </w:rPr>
              <w:t xml:space="preserve">ээлийн мэдээллийн тухай хуульд нэмэлт, өөрчлөлт оруулах тухай </w:t>
            </w:r>
            <w:r w:rsidR="001B4870" w:rsidRPr="006A4151">
              <w:rPr>
                <w:rFonts w:ascii="Arial" w:hAnsi="Arial" w:cs="Arial"/>
                <w:sz w:val="24"/>
                <w:szCs w:val="24"/>
                <w:lang w:val="mn-MN"/>
              </w:rPr>
              <w:t>хуультай холбогдуулан боловсруулсан</w:t>
            </w:r>
            <w:r w:rsidR="00E32FB1" w:rsidRPr="006A4151">
              <w:rPr>
                <w:rFonts w:ascii="Arial" w:hAnsi="Arial" w:cs="Arial"/>
                <w:sz w:val="24"/>
                <w:szCs w:val="24"/>
                <w:lang w:val="mn-MN"/>
              </w:rPr>
              <w:t xml:space="preserve"> Улсын Их Хурлын </w:t>
            </w:r>
            <w:r w:rsidR="000230AF" w:rsidRPr="006A4151">
              <w:rPr>
                <w:rFonts w:ascii="Arial" w:hAnsi="Arial" w:cs="Arial"/>
                <w:sz w:val="24"/>
                <w:szCs w:val="24"/>
                <w:lang w:val="mn-MN"/>
              </w:rPr>
              <w:lastRenderedPageBreak/>
              <w:t>тогтоолын төсөлд</w:t>
            </w:r>
            <w:r w:rsidR="00E32FB1" w:rsidRPr="006A4151">
              <w:rPr>
                <w:rFonts w:ascii="Arial" w:hAnsi="Arial" w:cs="Arial"/>
                <w:sz w:val="24"/>
                <w:szCs w:val="24"/>
                <w:lang w:val="mn-MN"/>
              </w:rPr>
              <w:t xml:space="preserve"> </w:t>
            </w:r>
            <w:r w:rsidR="009665CB" w:rsidRPr="006A4151">
              <w:rPr>
                <w:rFonts w:ascii="Arial" w:hAnsi="Arial" w:cs="Arial"/>
                <w:sz w:val="24"/>
                <w:szCs w:val="24"/>
                <w:lang w:val="mn-MN"/>
              </w:rPr>
              <w:t>Монгол</w:t>
            </w:r>
            <w:r w:rsidR="00E32FB1" w:rsidRPr="006A4151">
              <w:rPr>
                <w:rFonts w:ascii="Arial" w:hAnsi="Arial" w:cs="Arial"/>
                <w:sz w:val="24"/>
                <w:szCs w:val="24"/>
                <w:lang w:val="mn-MN"/>
              </w:rPr>
              <w:t>банкийг</w:t>
            </w:r>
            <w:r w:rsidR="009665CB" w:rsidRPr="006A4151">
              <w:rPr>
                <w:rFonts w:ascii="Arial" w:hAnsi="Arial" w:cs="Arial"/>
                <w:sz w:val="24"/>
                <w:szCs w:val="24"/>
                <w:lang w:val="mn-MN"/>
              </w:rPr>
              <w:t xml:space="preserve"> шаардлага, шалгуур үзүүлэлтүүдийг</w:t>
            </w:r>
            <w:r w:rsidR="00E32FB1" w:rsidRPr="006A4151">
              <w:rPr>
                <w:rFonts w:ascii="Arial" w:hAnsi="Arial" w:cs="Arial"/>
                <w:sz w:val="24"/>
                <w:szCs w:val="24"/>
                <w:lang w:val="mn-MN"/>
              </w:rPr>
              <w:t xml:space="preserve"> тодорхойлох </w:t>
            </w:r>
            <w:r w:rsidR="00490BD6" w:rsidRPr="006A4151">
              <w:rPr>
                <w:rFonts w:ascii="Arial" w:hAnsi="Arial" w:cs="Arial"/>
                <w:sz w:val="24"/>
                <w:szCs w:val="24"/>
                <w:lang w:val="mn-MN"/>
              </w:rPr>
              <w:t xml:space="preserve">заалт </w:t>
            </w:r>
            <w:r w:rsidRPr="006A4151">
              <w:rPr>
                <w:rFonts w:ascii="Arial" w:hAnsi="Arial" w:cs="Arial"/>
                <w:sz w:val="24"/>
                <w:szCs w:val="24"/>
                <w:lang w:val="mn-MN"/>
              </w:rPr>
              <w:t>нэмсэн.</w:t>
            </w:r>
          </w:p>
        </w:tc>
        <w:tc>
          <w:tcPr>
            <w:tcW w:w="3351" w:type="dxa"/>
          </w:tcPr>
          <w:p w14:paraId="7D0185AB" w14:textId="3E2D98EE" w:rsidR="00B7209B" w:rsidRPr="006A4151" w:rsidRDefault="0026679C" w:rsidP="00314B8D">
            <w:pPr>
              <w:jc w:val="both"/>
              <w:rPr>
                <w:rFonts w:ascii="Arial" w:hAnsi="Arial" w:cs="Arial"/>
                <w:sz w:val="24"/>
                <w:szCs w:val="24"/>
                <w:lang w:val="mn-MN"/>
              </w:rPr>
            </w:pPr>
            <w:r w:rsidRPr="006A4151">
              <w:rPr>
                <w:rFonts w:ascii="Arial" w:hAnsi="Arial" w:cs="Arial"/>
                <w:sz w:val="24"/>
                <w:szCs w:val="24"/>
                <w:lang w:val="mn-MN"/>
              </w:rPr>
              <w:lastRenderedPageBreak/>
              <w:t xml:space="preserve">Банк, санхүүгийн салбарын нөхцөл байдал, санал болгож буй бүтээгдэхүүн сүүлийн жилүүдэд өөрчлөгдөж байгаатай холбогдуулан хууль эрх зүйн орчныг илүү уян хатан болгох заримыг хуулийн </w:t>
            </w:r>
            <w:r w:rsidRPr="006A4151">
              <w:rPr>
                <w:rFonts w:ascii="Arial" w:hAnsi="Arial" w:cs="Arial"/>
                <w:sz w:val="24"/>
                <w:szCs w:val="24"/>
                <w:lang w:val="mn-MN"/>
              </w:rPr>
              <w:lastRenderedPageBreak/>
              <w:t xml:space="preserve">төслийн үзэл баримтлалд тусгасны дагуу зургаан жилээр зээлийн мэдээллийн зээлийн лавлагаанд тусгах зохицуулалтыг зургаа хүртэлх болгон боловсруулсан.  Хуулиар нөхцөл, шалгуур үзүүлэлтийг батлахгүйгээр олон улсын жишгийн дагуу холбогдох эрх бүхий байгууллага буюу Монголбанкнаас ямар хугацаахаар зээлийн мэдээллийн зээлийн лавлагаанд тусгах журам, заавар батлах боломжтой гэж үзсэн. АНУ-д зээлийн мэдээллийг 10 хүртэлх жилээр хадгалдаж цаашлаад зээлийн мэдээллийг ангилалд оруулж тус ангилснаар нь хамааруулж хадгалах хугацаа өөрөөр тогтоож байна. Герман улсад зээлдэгчийн эерэг, сөрөг мэдээллийг 3 жил, дампуурсан тохиолдлуудын мэдээллийг 10 хүртэлх жилээр хадгалж байна. Тиймээс зургаа хүртэлх жилээр зээлийн мэдээллийн зээлийн лавлагаанд тусгах эрх зүйн боломжийг нээж Монголбанк үүний дагуу холбогдох журмаар нарийвчилсан зохицуулалт батлах боломжтой.   </w:t>
            </w:r>
          </w:p>
        </w:tc>
      </w:tr>
      <w:tr w:rsidR="00952933" w:rsidRPr="006A4151" w14:paraId="4B1AE690" w14:textId="3E71E6AF" w:rsidTr="00E97B14">
        <w:tc>
          <w:tcPr>
            <w:tcW w:w="3325" w:type="dxa"/>
          </w:tcPr>
          <w:p w14:paraId="0744C20D" w14:textId="450D167A" w:rsidR="00C973F5" w:rsidRPr="006A4151" w:rsidRDefault="00187142" w:rsidP="00314B8D">
            <w:pPr>
              <w:jc w:val="both"/>
              <w:rPr>
                <w:rFonts w:ascii="Arial" w:hAnsi="Arial" w:cs="Arial"/>
                <w:sz w:val="24"/>
                <w:szCs w:val="24"/>
                <w:lang w:val="mn-MN"/>
              </w:rPr>
            </w:pPr>
            <w:r w:rsidRPr="006A4151">
              <w:rPr>
                <w:rFonts w:ascii="Arial" w:hAnsi="Arial" w:cs="Arial"/>
                <w:sz w:val="24"/>
                <w:szCs w:val="24"/>
                <w:lang w:val="mn-MN"/>
              </w:rPr>
              <w:lastRenderedPageBreak/>
              <w:t>Санал хоёр: “</w:t>
            </w:r>
            <w:r w:rsidR="00C973F5" w:rsidRPr="006A4151">
              <w:rPr>
                <w:rFonts w:ascii="Arial" w:hAnsi="Arial" w:cs="Arial"/>
                <w:sz w:val="24"/>
                <w:szCs w:val="24"/>
                <w:lang w:val="mn-MN"/>
              </w:rPr>
              <w:t xml:space="preserve">Хуулийн төслийн 1 дүгээр зүйлийн 1 дэх хэсэгт "10.3.Энэ хуулийн 10.1, 10.2-т зааснаас өөр зорилгоор зээлийн мэдээллийг ашиглахыг хориглоно" гэж тусгасан нь төслийн 2 дугаар зүйлтэй агуулгын </w:t>
            </w:r>
            <w:r w:rsidR="00C973F5" w:rsidRPr="006A4151">
              <w:rPr>
                <w:rFonts w:ascii="Arial" w:hAnsi="Arial" w:cs="Arial"/>
                <w:sz w:val="24"/>
                <w:szCs w:val="24"/>
                <w:lang w:val="mn-MN"/>
              </w:rPr>
              <w:lastRenderedPageBreak/>
              <w:t>хувьд давхардаж байх тул давхардлыг арилгах</w:t>
            </w:r>
            <w:r w:rsidRPr="006A4151">
              <w:rPr>
                <w:rFonts w:ascii="Arial" w:hAnsi="Arial" w:cs="Arial"/>
                <w:sz w:val="24"/>
                <w:szCs w:val="24"/>
                <w:lang w:val="mn-MN"/>
              </w:rPr>
              <w:t>”</w:t>
            </w:r>
          </w:p>
          <w:p w14:paraId="6CBE3947" w14:textId="77777777" w:rsidR="00B7209B" w:rsidRPr="006A4151" w:rsidRDefault="00B7209B" w:rsidP="00314B8D">
            <w:pPr>
              <w:jc w:val="both"/>
              <w:rPr>
                <w:rFonts w:ascii="Arial" w:hAnsi="Arial" w:cs="Arial"/>
                <w:sz w:val="24"/>
                <w:szCs w:val="24"/>
                <w:lang w:val="mn-MN"/>
              </w:rPr>
            </w:pPr>
          </w:p>
        </w:tc>
        <w:tc>
          <w:tcPr>
            <w:tcW w:w="2340" w:type="dxa"/>
          </w:tcPr>
          <w:p w14:paraId="58A8498F" w14:textId="27FC6D31" w:rsidR="00B7209B" w:rsidRPr="006A4151" w:rsidRDefault="00AE5EEA" w:rsidP="00314B8D">
            <w:pPr>
              <w:jc w:val="both"/>
              <w:rPr>
                <w:rFonts w:ascii="Arial" w:hAnsi="Arial" w:cs="Arial"/>
                <w:sz w:val="24"/>
                <w:szCs w:val="24"/>
                <w:lang w:val="mn-MN"/>
              </w:rPr>
            </w:pPr>
            <w:r w:rsidRPr="006A4151">
              <w:rPr>
                <w:rFonts w:ascii="Arial" w:hAnsi="Arial" w:cs="Arial"/>
                <w:sz w:val="24"/>
                <w:szCs w:val="24"/>
                <w:lang w:val="mn-MN"/>
              </w:rPr>
              <w:lastRenderedPageBreak/>
              <w:t xml:space="preserve">Зээлийн мэдээллийн тухай хуульд нэмэлт, өөрчлөлт оруулах тухай хуулийн </w:t>
            </w:r>
            <w:r w:rsidR="00187142" w:rsidRPr="006A4151">
              <w:rPr>
                <w:rFonts w:ascii="Arial" w:hAnsi="Arial" w:cs="Arial"/>
                <w:sz w:val="24"/>
                <w:szCs w:val="24"/>
                <w:lang w:val="mn-MN"/>
              </w:rPr>
              <w:t xml:space="preserve">төслийн үзэл баримтлал, </w:t>
            </w:r>
            <w:r w:rsidR="00675509" w:rsidRPr="006A4151">
              <w:rPr>
                <w:rFonts w:ascii="Arial" w:hAnsi="Arial" w:cs="Arial"/>
                <w:sz w:val="24"/>
                <w:szCs w:val="24"/>
                <w:lang w:val="mn-MN"/>
              </w:rPr>
              <w:t xml:space="preserve">дэлгэрэнгүй </w:t>
            </w:r>
            <w:r w:rsidR="00187142" w:rsidRPr="006A4151">
              <w:rPr>
                <w:rFonts w:ascii="Arial" w:hAnsi="Arial" w:cs="Arial"/>
                <w:sz w:val="24"/>
                <w:szCs w:val="24"/>
                <w:lang w:val="mn-MN"/>
              </w:rPr>
              <w:t xml:space="preserve">танилцуулгад </w:t>
            </w:r>
            <w:r w:rsidR="00187142" w:rsidRPr="006A4151">
              <w:rPr>
                <w:rFonts w:ascii="Arial" w:hAnsi="Arial" w:cs="Arial"/>
                <w:sz w:val="24"/>
                <w:szCs w:val="24"/>
                <w:lang w:val="mn-MN"/>
              </w:rPr>
              <w:lastRenderedPageBreak/>
              <w:t xml:space="preserve">холбогдох </w:t>
            </w:r>
            <w:r w:rsidR="00675509" w:rsidRPr="006A4151">
              <w:rPr>
                <w:rFonts w:ascii="Arial" w:hAnsi="Arial" w:cs="Arial"/>
                <w:sz w:val="24"/>
                <w:szCs w:val="24"/>
                <w:lang w:val="mn-MN"/>
              </w:rPr>
              <w:t>тайлбарыг</w:t>
            </w:r>
            <w:r w:rsidR="00187142" w:rsidRPr="006A4151">
              <w:rPr>
                <w:rFonts w:ascii="Arial" w:hAnsi="Arial" w:cs="Arial"/>
                <w:sz w:val="24"/>
                <w:szCs w:val="24"/>
                <w:lang w:val="mn-MN"/>
              </w:rPr>
              <w:t xml:space="preserve"> </w:t>
            </w:r>
            <w:r w:rsidR="00E40A85" w:rsidRPr="006A4151">
              <w:rPr>
                <w:rFonts w:ascii="Arial" w:hAnsi="Arial" w:cs="Arial"/>
                <w:sz w:val="24"/>
                <w:szCs w:val="24"/>
                <w:lang w:val="mn-MN"/>
              </w:rPr>
              <w:t>нэмсэн.</w:t>
            </w:r>
          </w:p>
        </w:tc>
        <w:tc>
          <w:tcPr>
            <w:tcW w:w="3351" w:type="dxa"/>
          </w:tcPr>
          <w:p w14:paraId="32ABA144" w14:textId="1F1B0926" w:rsidR="00B7209B" w:rsidRPr="006A4151" w:rsidRDefault="00C973F5" w:rsidP="00314B8D">
            <w:pPr>
              <w:jc w:val="both"/>
              <w:rPr>
                <w:rFonts w:ascii="Arial" w:hAnsi="Arial" w:cs="Arial"/>
                <w:sz w:val="24"/>
                <w:szCs w:val="24"/>
                <w:lang w:val="mn-MN"/>
              </w:rPr>
            </w:pPr>
            <w:r w:rsidRPr="006A4151">
              <w:rPr>
                <w:rFonts w:ascii="Arial" w:hAnsi="Arial" w:cs="Arial"/>
                <w:sz w:val="24"/>
                <w:szCs w:val="24"/>
                <w:lang w:val="mn-MN"/>
              </w:rPr>
              <w:lastRenderedPageBreak/>
              <w:t xml:space="preserve">Зээлийн мэдээллийн тухай хуулийн 10 дугаар зүйлд зээлийн мэдээллийг зээлийн эрсдэлийг үнэлэх зорилгоор ашиглана гэсэн заалт нь зээлдэгчийн мэдээллийг зээлжих чадварт зэрэглэл тогтоох ойлголтоос өөр тул хуулийн </w:t>
            </w:r>
            <w:r w:rsidRPr="006A4151">
              <w:rPr>
                <w:rFonts w:ascii="Arial" w:hAnsi="Arial" w:cs="Arial"/>
                <w:sz w:val="24"/>
                <w:szCs w:val="24"/>
                <w:lang w:val="mn-MN"/>
              </w:rPr>
              <w:lastRenderedPageBreak/>
              <w:t xml:space="preserve">төслийн 2 дугаар зүйлээр Зээлийн мэдээллийн тухай хуулийн 10.2-г “10.2.Зээлийн мэдээллийг зээлдэгчийн зээлжих чадварт зэрэглэл тогтооход ашиглана” гэж найруулсан. Хуулийн төслийн 1 дүгээр зүйлээр “10.3.Энэ хуулийн 10.1, 10.2-т зааснаас өөр зорилгоор зээлийн мэдээллийг ашиглахыг хориглоно” гэж нэмснээр зээлийн мэдээллийн ямар зорилгоор ашиглах нөхцөлийг илүү тодорхой </w:t>
            </w:r>
            <w:r w:rsidR="00187142" w:rsidRPr="006A4151">
              <w:rPr>
                <w:rFonts w:ascii="Arial" w:hAnsi="Arial" w:cs="Arial"/>
                <w:sz w:val="24"/>
                <w:szCs w:val="24"/>
                <w:lang w:val="mn-MN"/>
              </w:rPr>
              <w:t xml:space="preserve">болгох зохицуулалт бүрдүүлнэ. </w:t>
            </w:r>
          </w:p>
        </w:tc>
      </w:tr>
      <w:tr w:rsidR="00952933" w:rsidRPr="006A4151" w14:paraId="6EBAD14B" w14:textId="7D56716F" w:rsidTr="00E97B14">
        <w:trPr>
          <w:trHeight w:val="2186"/>
        </w:trPr>
        <w:tc>
          <w:tcPr>
            <w:tcW w:w="3325" w:type="dxa"/>
          </w:tcPr>
          <w:p w14:paraId="620C0691" w14:textId="6F7F73C9" w:rsidR="00B7209B" w:rsidRPr="006A4151" w:rsidRDefault="00187142" w:rsidP="00314B8D">
            <w:pPr>
              <w:jc w:val="both"/>
              <w:rPr>
                <w:rFonts w:ascii="Arial" w:hAnsi="Arial" w:cs="Arial"/>
                <w:sz w:val="24"/>
                <w:szCs w:val="24"/>
                <w:lang w:val="mn-MN"/>
              </w:rPr>
            </w:pPr>
            <w:r w:rsidRPr="006A4151">
              <w:rPr>
                <w:rFonts w:ascii="Arial" w:hAnsi="Arial" w:cs="Arial"/>
                <w:sz w:val="24"/>
                <w:szCs w:val="24"/>
                <w:lang w:val="mn-MN"/>
              </w:rPr>
              <w:lastRenderedPageBreak/>
              <w:t xml:space="preserve">Санал </w:t>
            </w:r>
            <w:r w:rsidR="00C541C8" w:rsidRPr="006A4151">
              <w:rPr>
                <w:rFonts w:ascii="Arial" w:hAnsi="Arial" w:cs="Arial"/>
                <w:sz w:val="24"/>
                <w:szCs w:val="24"/>
                <w:lang w:val="mn-MN"/>
              </w:rPr>
              <w:t>гурав: “</w:t>
            </w:r>
            <w:r w:rsidRPr="006A4151">
              <w:rPr>
                <w:rFonts w:ascii="Arial" w:hAnsi="Arial" w:cs="Arial"/>
                <w:sz w:val="24"/>
                <w:szCs w:val="24"/>
                <w:lang w:val="mn-MN"/>
              </w:rPr>
              <w:t>Хуулийн төслийн 1 дүгээр зүйлийн 2 дахь хэсэгт "зэрэглэлийн оноо" гэсэн шинэ ойлголт хэрэглэснийг анхаарч, энэхүү ойлголт нь "зэрэглэл тогтоох", эсхүл "зэрэглэлийн оноог тогтоох" аль нь болохыг дахин нягтлах”</w:t>
            </w:r>
          </w:p>
        </w:tc>
        <w:tc>
          <w:tcPr>
            <w:tcW w:w="2340" w:type="dxa"/>
          </w:tcPr>
          <w:p w14:paraId="0264C3DE" w14:textId="56ABA79C" w:rsidR="00B7209B" w:rsidRPr="006A4151" w:rsidRDefault="00AE5EEA" w:rsidP="00314B8D">
            <w:pPr>
              <w:jc w:val="both"/>
              <w:rPr>
                <w:rFonts w:ascii="Arial" w:hAnsi="Arial" w:cs="Arial"/>
                <w:sz w:val="24"/>
                <w:szCs w:val="24"/>
                <w:lang w:val="mn-MN"/>
              </w:rPr>
            </w:pPr>
            <w:r w:rsidRPr="006A4151">
              <w:rPr>
                <w:rFonts w:ascii="Arial" w:hAnsi="Arial" w:cs="Arial"/>
                <w:sz w:val="24"/>
                <w:szCs w:val="24"/>
                <w:lang w:val="mn-MN"/>
              </w:rPr>
              <w:t>Зээлийн мэдээллийн тухай хуульд нэмэлт, өөрчлөлт оруулах тухай х</w:t>
            </w:r>
            <w:r w:rsidR="00187142" w:rsidRPr="006A4151">
              <w:rPr>
                <w:rFonts w:ascii="Arial" w:hAnsi="Arial" w:cs="Arial"/>
                <w:sz w:val="24"/>
                <w:szCs w:val="24"/>
                <w:lang w:val="mn-MN"/>
              </w:rPr>
              <w:t>уулийн төсөлд тусгасан</w:t>
            </w:r>
            <w:r w:rsidR="00205D5E" w:rsidRPr="006A4151">
              <w:rPr>
                <w:rFonts w:ascii="Arial" w:hAnsi="Arial" w:cs="Arial"/>
                <w:sz w:val="24"/>
                <w:szCs w:val="24"/>
                <w:lang w:val="mn-MN"/>
              </w:rPr>
              <w:t>.</w:t>
            </w:r>
          </w:p>
        </w:tc>
        <w:tc>
          <w:tcPr>
            <w:tcW w:w="3351" w:type="dxa"/>
          </w:tcPr>
          <w:p w14:paraId="784AB751" w14:textId="2B4D07EA" w:rsidR="00B7209B" w:rsidRPr="006A4151" w:rsidRDefault="00C541C8" w:rsidP="00314B8D">
            <w:pPr>
              <w:jc w:val="both"/>
              <w:rPr>
                <w:rFonts w:ascii="Arial" w:hAnsi="Arial" w:cs="Arial"/>
                <w:sz w:val="24"/>
                <w:szCs w:val="24"/>
                <w:lang w:val="mn-MN"/>
              </w:rPr>
            </w:pPr>
            <w:r w:rsidRPr="006A4151">
              <w:rPr>
                <w:rFonts w:ascii="Arial" w:hAnsi="Arial" w:cs="Arial"/>
                <w:sz w:val="24"/>
                <w:szCs w:val="24"/>
                <w:lang w:val="mn-MN"/>
              </w:rPr>
              <w:t xml:space="preserve">Хуулийн төслийн 1 дүгээр зүйлийн 2 дахь хэсэгт дараах байдлаар өөрчилсөн: </w:t>
            </w:r>
            <w:r w:rsidR="00C04F16" w:rsidRPr="006A4151">
              <w:rPr>
                <w:rFonts w:ascii="Arial" w:hAnsi="Arial" w:cs="Arial"/>
                <w:sz w:val="24"/>
                <w:szCs w:val="24"/>
                <w:lang w:val="mn-MN"/>
              </w:rPr>
              <w:t>“14.3.Энэ хуулийн 14.1.3-т заасан зээлдэгчийн зээлжих чадварын зэрэглэлийг Монголбанкнаас баталсан онооны аргачлалын дагуу тогтооно.”</w:t>
            </w:r>
          </w:p>
        </w:tc>
      </w:tr>
      <w:tr w:rsidR="00952933" w:rsidRPr="006A4151" w14:paraId="0C1BD568" w14:textId="65679257" w:rsidTr="00E97B14">
        <w:tc>
          <w:tcPr>
            <w:tcW w:w="3325" w:type="dxa"/>
          </w:tcPr>
          <w:p w14:paraId="0FFC2C8D" w14:textId="7890BE72" w:rsidR="00B7209B" w:rsidRPr="006A4151" w:rsidRDefault="00C541C8" w:rsidP="00314B8D">
            <w:pPr>
              <w:jc w:val="both"/>
              <w:rPr>
                <w:rFonts w:ascii="Arial" w:hAnsi="Arial" w:cs="Arial"/>
                <w:sz w:val="24"/>
                <w:szCs w:val="24"/>
                <w:lang w:val="mn-MN"/>
              </w:rPr>
            </w:pPr>
            <w:r w:rsidRPr="006A4151">
              <w:rPr>
                <w:rFonts w:ascii="Arial" w:hAnsi="Arial" w:cs="Arial"/>
                <w:sz w:val="24"/>
                <w:szCs w:val="24"/>
                <w:lang w:val="mn-MN"/>
              </w:rPr>
              <w:t>Санал дөрөв: “</w:t>
            </w:r>
            <w:r w:rsidR="00187142" w:rsidRPr="006A4151">
              <w:rPr>
                <w:rFonts w:ascii="Arial" w:hAnsi="Arial" w:cs="Arial"/>
                <w:sz w:val="24"/>
                <w:szCs w:val="24"/>
                <w:lang w:val="mn-MN"/>
              </w:rPr>
              <w:t xml:space="preserve">Зээлийн мэдээллийн тухай хуулийн 3 дугаар зүйлийн 3.1 дэх хэсэгт "Банк, банк бус санхүүгийн байгууллага, хадгаламж зээлийн хоршоо болон энэ хууль, гэрээнд заасан иргэн, төрийн болон хувийн өмчит хуулийн этгээдийн хооронд зээл, төлбөртэй холбогдон үүсэх мөнгөн төлбөрийн үүргийн талаарх мэдээллийн санг бүрдүүлэх, ашиглах, хяналт тавихад энэ хууль үйлчилнэ." гэж заасан. Гэтэл хуулийн төсөлтэй холбогдуулан боловсруулсан Улсын Их Хурлын тогтоолын төсөлд зээлжих зэрэглэлийг тогтоохдоо захиргааны төв </w:t>
            </w:r>
            <w:r w:rsidR="00187142" w:rsidRPr="006A4151">
              <w:rPr>
                <w:rFonts w:ascii="Arial" w:hAnsi="Arial" w:cs="Arial"/>
                <w:sz w:val="24"/>
                <w:szCs w:val="24"/>
                <w:lang w:val="mn-MN"/>
              </w:rPr>
              <w:lastRenderedPageBreak/>
              <w:t xml:space="preserve">байгууллага болон төрийн байгууллагуудын дэргэдэх сан, Монгол Улсын Хөгжлийн банкнаас зээл, санхүүжилт авсан иргэн, аж ахуйн нэгжийг хамруулахгүйгээр зэрэглэл тогтоохоор тусгасан нь тус хуулийн үйлчлэх хүрээний зохицуулалттай нийцэхгүй байна. Түүнчлэн, зээлжих зэрэглэлийг тогтоохдоо зээлдэгчийн ялгаатай, онцлог нөхцөл байдлыг харгалзахгүй байх нь ялгаварлах буюу тэгш эрхийн зарчимтай нийцэхгүй байх нөхцөлийг бүрдүүлж болзошгүйг анхаарах шаардлагатай байна." </w:t>
            </w:r>
          </w:p>
        </w:tc>
        <w:tc>
          <w:tcPr>
            <w:tcW w:w="2340" w:type="dxa"/>
          </w:tcPr>
          <w:p w14:paraId="5845E2D4" w14:textId="45E77F3D" w:rsidR="00B7209B" w:rsidRPr="006A4151" w:rsidRDefault="001B4870" w:rsidP="00314B8D">
            <w:pPr>
              <w:jc w:val="both"/>
              <w:rPr>
                <w:rFonts w:ascii="Arial" w:hAnsi="Arial" w:cs="Arial"/>
                <w:sz w:val="24"/>
                <w:szCs w:val="24"/>
                <w:lang w:val="mn-MN"/>
              </w:rPr>
            </w:pPr>
            <w:r w:rsidRPr="006A4151">
              <w:rPr>
                <w:rFonts w:ascii="Arial" w:hAnsi="Arial" w:cs="Arial"/>
                <w:sz w:val="24"/>
                <w:szCs w:val="24"/>
                <w:lang w:val="mn-MN"/>
              </w:rPr>
              <w:lastRenderedPageBreak/>
              <w:t xml:space="preserve">Зээлийн мэдээллийн тухай хуульд нэмэлт, өөрчлөлт оруулах тухай хуультай холбогдуулан боловсруулсан </w:t>
            </w:r>
            <w:r w:rsidR="00952933" w:rsidRPr="006A4151">
              <w:rPr>
                <w:rFonts w:ascii="Arial" w:hAnsi="Arial" w:cs="Arial"/>
                <w:sz w:val="24"/>
                <w:szCs w:val="24"/>
                <w:lang w:val="mn-MN"/>
              </w:rPr>
              <w:t xml:space="preserve">Улсын Их Хурлын </w:t>
            </w:r>
            <w:r w:rsidR="000230AF" w:rsidRPr="006A4151">
              <w:rPr>
                <w:rFonts w:ascii="Arial" w:hAnsi="Arial" w:cs="Arial"/>
                <w:sz w:val="24"/>
                <w:szCs w:val="24"/>
                <w:lang w:val="mn-MN"/>
              </w:rPr>
              <w:t>тогтоолын төсөлд</w:t>
            </w:r>
            <w:r w:rsidR="00952933" w:rsidRPr="006A4151">
              <w:rPr>
                <w:rFonts w:ascii="Arial" w:hAnsi="Arial" w:cs="Arial"/>
                <w:sz w:val="24"/>
                <w:szCs w:val="24"/>
                <w:lang w:val="mn-MN"/>
              </w:rPr>
              <w:t xml:space="preserve"> Монголбанк</w:t>
            </w:r>
            <w:r w:rsidRPr="006A4151">
              <w:rPr>
                <w:rFonts w:ascii="Arial" w:hAnsi="Arial" w:cs="Arial"/>
                <w:sz w:val="24"/>
                <w:szCs w:val="24"/>
                <w:lang w:val="mn-MN"/>
              </w:rPr>
              <w:t xml:space="preserve"> </w:t>
            </w:r>
            <w:r w:rsidR="00952933" w:rsidRPr="006A4151">
              <w:rPr>
                <w:rFonts w:ascii="Arial" w:hAnsi="Arial" w:cs="Arial"/>
                <w:sz w:val="24"/>
                <w:szCs w:val="24"/>
                <w:lang w:val="mn-MN"/>
              </w:rPr>
              <w:t>болон Санхүүгийн зохицуулах хо</w:t>
            </w:r>
            <w:r w:rsidR="00205D5E" w:rsidRPr="006A4151">
              <w:rPr>
                <w:rFonts w:ascii="Arial" w:hAnsi="Arial" w:cs="Arial"/>
                <w:sz w:val="24"/>
                <w:szCs w:val="24"/>
                <w:lang w:val="mn-MN"/>
              </w:rPr>
              <w:t xml:space="preserve">роонд </w:t>
            </w:r>
            <w:r w:rsidRPr="006A4151">
              <w:rPr>
                <w:rFonts w:ascii="Arial" w:hAnsi="Arial" w:cs="Arial"/>
                <w:sz w:val="24"/>
                <w:szCs w:val="24"/>
                <w:lang w:val="mn-MN"/>
              </w:rPr>
              <w:t xml:space="preserve">хуулийн хэрэгжилтийн хангуулах </w:t>
            </w:r>
            <w:r w:rsidR="00490BD6" w:rsidRPr="006A4151">
              <w:rPr>
                <w:rFonts w:ascii="Arial" w:hAnsi="Arial" w:cs="Arial"/>
                <w:sz w:val="24"/>
                <w:szCs w:val="24"/>
                <w:lang w:val="mn-MN"/>
              </w:rPr>
              <w:t xml:space="preserve">заалт </w:t>
            </w:r>
            <w:r w:rsidRPr="006A4151">
              <w:rPr>
                <w:rFonts w:ascii="Arial" w:hAnsi="Arial" w:cs="Arial"/>
                <w:sz w:val="24"/>
                <w:szCs w:val="24"/>
                <w:lang w:val="mn-MN"/>
              </w:rPr>
              <w:t>нэмсэн</w:t>
            </w:r>
            <w:r w:rsidR="00205D5E" w:rsidRPr="006A4151">
              <w:rPr>
                <w:rFonts w:ascii="Arial" w:hAnsi="Arial" w:cs="Arial"/>
                <w:sz w:val="24"/>
                <w:szCs w:val="24"/>
                <w:lang w:val="mn-MN"/>
              </w:rPr>
              <w:t xml:space="preserve">. </w:t>
            </w:r>
          </w:p>
        </w:tc>
        <w:tc>
          <w:tcPr>
            <w:tcW w:w="3351" w:type="dxa"/>
          </w:tcPr>
          <w:p w14:paraId="5165ED72" w14:textId="61B4CC34" w:rsidR="00B7209B" w:rsidRPr="006A4151" w:rsidRDefault="00675509" w:rsidP="00314B8D">
            <w:pPr>
              <w:jc w:val="both"/>
              <w:rPr>
                <w:rFonts w:ascii="Arial" w:hAnsi="Arial" w:cs="Arial"/>
                <w:sz w:val="24"/>
                <w:szCs w:val="24"/>
                <w:lang w:val="mn-MN"/>
              </w:rPr>
            </w:pPr>
            <w:r w:rsidRPr="006A4151">
              <w:rPr>
                <w:rFonts w:ascii="Arial" w:hAnsi="Arial" w:cs="Arial"/>
                <w:sz w:val="24"/>
                <w:szCs w:val="24"/>
                <w:lang w:val="mn-MN"/>
              </w:rPr>
              <w:t>Хуулийн төслийн тандан судлах үнэлгээний тайланд дээрх асуудлыг үнэлсэн бөгөөд зээлдэгчийн зээлийн мэдээллийг ашиглан зээлжих зэрэглэл тогтоох аргачлалтай болсноор банк, санхүүгийн байгууллагын үйл ажиллагааг ил тод, нээлттэй болгож, оролцогчдыг тэгш эрхтэй оролцох нөхцөлийг бууруулах юм.</w:t>
            </w:r>
          </w:p>
        </w:tc>
      </w:tr>
    </w:tbl>
    <w:p w14:paraId="6F20208D" w14:textId="77777777" w:rsidR="00B7209B" w:rsidRPr="006A4151" w:rsidRDefault="00B7209B" w:rsidP="009D1700">
      <w:pPr>
        <w:spacing w:after="0" w:line="240" w:lineRule="auto"/>
        <w:jc w:val="both"/>
        <w:rPr>
          <w:rFonts w:ascii="Arial" w:hAnsi="Arial" w:cs="Arial"/>
          <w:sz w:val="24"/>
          <w:szCs w:val="24"/>
          <w:lang w:val="mn-MN"/>
        </w:rPr>
      </w:pPr>
    </w:p>
    <w:p w14:paraId="226D86EF" w14:textId="02DDF14A" w:rsidR="00C5394E" w:rsidRPr="006A4151" w:rsidRDefault="00792DC5" w:rsidP="00792DC5">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Хууль тогтоомжийн хуулийн 8.1.5-т заасны дагуу Зээлийн мэдээллийн тухай хуульд нэмэлт, өөрчлөлт оруулах тухай хуулийн төсөл болон хуульд батлагдсантай холбогдуулан авах зарим арга хэмжээний Улсын Их Хурлын тогтоолын </w:t>
      </w:r>
      <w:r w:rsidR="00686936" w:rsidRPr="006A4151">
        <w:rPr>
          <w:rFonts w:ascii="Arial" w:hAnsi="Arial" w:cs="Arial"/>
          <w:sz w:val="24"/>
          <w:szCs w:val="24"/>
          <w:lang w:val="mn-MN"/>
        </w:rPr>
        <w:t xml:space="preserve">төслийг https://lawforum.parliament.mn цахим хуудаст байршуулсан бөгөөд иргэд, </w:t>
      </w:r>
      <w:r w:rsidRPr="006A4151">
        <w:rPr>
          <w:rFonts w:ascii="Arial" w:hAnsi="Arial" w:cs="Arial"/>
          <w:sz w:val="24"/>
          <w:szCs w:val="24"/>
          <w:lang w:val="mn-MN"/>
        </w:rPr>
        <w:t xml:space="preserve">олон </w:t>
      </w:r>
      <w:r w:rsidR="00CC1AC6" w:rsidRPr="006A4151">
        <w:rPr>
          <w:rFonts w:ascii="Arial" w:hAnsi="Arial" w:cs="Arial"/>
          <w:sz w:val="24"/>
          <w:szCs w:val="24"/>
          <w:lang w:val="mn-MN"/>
        </w:rPr>
        <w:t xml:space="preserve">нийтээс </w:t>
      </w:r>
      <w:r w:rsidR="00686936" w:rsidRPr="006A4151">
        <w:rPr>
          <w:rFonts w:ascii="Arial" w:hAnsi="Arial" w:cs="Arial"/>
          <w:sz w:val="24"/>
          <w:szCs w:val="24"/>
          <w:lang w:val="mn-MN"/>
        </w:rPr>
        <w:t xml:space="preserve">тусгайлан </w:t>
      </w:r>
      <w:r w:rsidRPr="006A4151">
        <w:rPr>
          <w:rFonts w:ascii="Arial" w:hAnsi="Arial" w:cs="Arial"/>
          <w:sz w:val="24"/>
          <w:szCs w:val="24"/>
          <w:lang w:val="mn-MN"/>
        </w:rPr>
        <w:t xml:space="preserve">санал </w:t>
      </w:r>
      <w:r w:rsidR="00686936" w:rsidRPr="006A4151">
        <w:rPr>
          <w:rFonts w:ascii="Arial" w:hAnsi="Arial" w:cs="Arial"/>
          <w:sz w:val="24"/>
          <w:szCs w:val="24"/>
          <w:lang w:val="mn-MN"/>
        </w:rPr>
        <w:t>ирээгүй</w:t>
      </w:r>
      <w:r w:rsidRPr="006A4151">
        <w:rPr>
          <w:rFonts w:ascii="Arial" w:hAnsi="Arial" w:cs="Arial"/>
          <w:sz w:val="24"/>
          <w:szCs w:val="24"/>
          <w:lang w:val="mn-MN"/>
        </w:rPr>
        <w:t xml:space="preserve"> болно.</w:t>
      </w:r>
    </w:p>
    <w:p w14:paraId="107E2025" w14:textId="77777777" w:rsidR="00C5394E" w:rsidRPr="006A4151" w:rsidRDefault="00C5394E" w:rsidP="00C5394E">
      <w:pPr>
        <w:spacing w:after="0" w:line="240" w:lineRule="auto"/>
        <w:ind w:firstLine="720"/>
        <w:jc w:val="both"/>
        <w:rPr>
          <w:rFonts w:ascii="Arial" w:hAnsi="Arial" w:cs="Arial"/>
          <w:sz w:val="24"/>
          <w:szCs w:val="24"/>
          <w:lang w:val="mn-MN"/>
        </w:rPr>
      </w:pPr>
    </w:p>
    <w:p w14:paraId="1EC45CDC" w14:textId="77777777" w:rsidR="00741934" w:rsidRPr="006A4151" w:rsidRDefault="00741934" w:rsidP="00741934">
      <w:pPr>
        <w:pStyle w:val="ListParagraph"/>
        <w:spacing w:after="0" w:line="240" w:lineRule="auto"/>
        <w:ind w:left="0" w:right="4"/>
        <w:jc w:val="center"/>
        <w:rPr>
          <w:rFonts w:ascii="Arial" w:eastAsia="Times New Roman" w:hAnsi="Arial" w:cs="Arial"/>
          <w:sz w:val="24"/>
          <w:szCs w:val="24"/>
          <w:lang w:val="mn-MN"/>
        </w:rPr>
      </w:pPr>
      <w:r w:rsidRPr="006A4151">
        <w:rPr>
          <w:rFonts w:ascii="Arial" w:eastAsia="Times New Roman" w:hAnsi="Arial" w:cs="Arial"/>
          <w:sz w:val="24"/>
          <w:szCs w:val="24"/>
          <w:lang w:val="mn-MN"/>
        </w:rPr>
        <w:t>---оОо---</w:t>
      </w:r>
    </w:p>
    <w:p w14:paraId="7F69F40C" w14:textId="77777777" w:rsidR="00741934" w:rsidRPr="006A4151" w:rsidRDefault="00741934" w:rsidP="00C5394E">
      <w:pPr>
        <w:spacing w:after="0" w:line="240" w:lineRule="auto"/>
        <w:ind w:firstLine="720"/>
        <w:jc w:val="both"/>
        <w:rPr>
          <w:rFonts w:ascii="Arial" w:hAnsi="Arial" w:cs="Arial"/>
          <w:sz w:val="24"/>
          <w:szCs w:val="24"/>
          <w:lang w:val="mn-MN"/>
        </w:rPr>
      </w:pPr>
    </w:p>
    <w:p w14:paraId="15BA39E9" w14:textId="77777777" w:rsidR="00C5394E" w:rsidRPr="006A4151" w:rsidRDefault="00C5394E" w:rsidP="00C5394E">
      <w:pPr>
        <w:spacing w:after="0" w:line="240" w:lineRule="auto"/>
        <w:ind w:firstLine="720"/>
        <w:jc w:val="both"/>
        <w:rPr>
          <w:rFonts w:ascii="Arial" w:hAnsi="Arial" w:cs="Arial"/>
          <w:sz w:val="24"/>
          <w:szCs w:val="24"/>
          <w:lang w:val="mn-MN"/>
        </w:rPr>
      </w:pPr>
    </w:p>
    <w:p w14:paraId="1F2EDD29" w14:textId="77777777" w:rsidR="00C5394E" w:rsidRPr="006A4151" w:rsidRDefault="00C5394E" w:rsidP="00C5394E">
      <w:pPr>
        <w:spacing w:after="0" w:line="240" w:lineRule="auto"/>
        <w:ind w:firstLine="720"/>
        <w:jc w:val="both"/>
        <w:rPr>
          <w:rFonts w:ascii="Arial" w:hAnsi="Arial" w:cs="Arial"/>
          <w:sz w:val="24"/>
          <w:szCs w:val="24"/>
          <w:lang w:val="mn-MN"/>
        </w:rPr>
      </w:pPr>
    </w:p>
    <w:p w14:paraId="36F1F46C" w14:textId="77777777" w:rsidR="00C5394E" w:rsidRPr="006A4151" w:rsidRDefault="00C5394E" w:rsidP="00C5394E">
      <w:pPr>
        <w:spacing w:after="0" w:line="240" w:lineRule="auto"/>
        <w:ind w:firstLine="720"/>
        <w:jc w:val="both"/>
        <w:rPr>
          <w:rFonts w:ascii="Arial" w:hAnsi="Arial" w:cs="Arial"/>
          <w:sz w:val="24"/>
          <w:szCs w:val="24"/>
          <w:lang w:val="mn-MN"/>
        </w:rPr>
      </w:pPr>
    </w:p>
    <w:p w14:paraId="15873E25" w14:textId="77777777" w:rsidR="00C5394E" w:rsidRPr="006A4151" w:rsidRDefault="00C5394E" w:rsidP="00C5394E">
      <w:pPr>
        <w:spacing w:after="0" w:line="240" w:lineRule="auto"/>
        <w:ind w:firstLine="720"/>
        <w:jc w:val="both"/>
        <w:rPr>
          <w:rFonts w:ascii="Arial" w:hAnsi="Arial" w:cs="Arial"/>
          <w:sz w:val="24"/>
          <w:szCs w:val="24"/>
          <w:lang w:val="mn-MN"/>
        </w:rPr>
      </w:pPr>
    </w:p>
    <w:p w14:paraId="2AB79D7D" w14:textId="77777777" w:rsidR="00C5394E" w:rsidRPr="006A4151" w:rsidRDefault="00C5394E" w:rsidP="00C5394E">
      <w:pPr>
        <w:spacing w:after="0" w:line="240" w:lineRule="auto"/>
        <w:ind w:firstLine="720"/>
        <w:jc w:val="both"/>
        <w:rPr>
          <w:rFonts w:ascii="Arial" w:hAnsi="Arial" w:cs="Arial"/>
          <w:sz w:val="24"/>
          <w:szCs w:val="24"/>
          <w:lang w:val="mn-MN"/>
        </w:rPr>
      </w:pPr>
    </w:p>
    <w:p w14:paraId="60792C0D" w14:textId="77777777" w:rsidR="00C5394E" w:rsidRPr="006A4151" w:rsidRDefault="00C5394E" w:rsidP="00C5394E">
      <w:pPr>
        <w:spacing w:after="0" w:line="240" w:lineRule="auto"/>
        <w:ind w:firstLine="720"/>
        <w:jc w:val="both"/>
        <w:rPr>
          <w:rFonts w:ascii="Arial" w:hAnsi="Arial" w:cs="Arial"/>
          <w:sz w:val="24"/>
          <w:szCs w:val="24"/>
          <w:lang w:val="mn-MN"/>
        </w:rPr>
      </w:pPr>
    </w:p>
    <w:p w14:paraId="2B0B06BE" w14:textId="77777777" w:rsidR="00C5394E" w:rsidRPr="006A4151" w:rsidRDefault="00C5394E" w:rsidP="00C5394E">
      <w:pPr>
        <w:spacing w:after="0" w:line="240" w:lineRule="auto"/>
        <w:ind w:firstLine="720"/>
        <w:jc w:val="both"/>
        <w:rPr>
          <w:rFonts w:ascii="Arial" w:hAnsi="Arial" w:cs="Arial"/>
          <w:sz w:val="24"/>
          <w:szCs w:val="24"/>
          <w:lang w:val="mn-MN"/>
        </w:rPr>
      </w:pPr>
    </w:p>
    <w:p w14:paraId="044A31C6" w14:textId="77777777" w:rsidR="00C5394E" w:rsidRPr="006A4151" w:rsidRDefault="00C5394E" w:rsidP="00C5394E">
      <w:pPr>
        <w:spacing w:after="0" w:line="240" w:lineRule="auto"/>
        <w:ind w:firstLine="720"/>
        <w:jc w:val="both"/>
        <w:rPr>
          <w:rFonts w:ascii="Arial" w:hAnsi="Arial" w:cs="Arial"/>
          <w:sz w:val="24"/>
          <w:szCs w:val="24"/>
          <w:lang w:val="mn-MN"/>
        </w:rPr>
      </w:pPr>
    </w:p>
    <w:p w14:paraId="741D0513" w14:textId="77777777" w:rsidR="00C5394E" w:rsidRPr="006A4151" w:rsidRDefault="00C5394E" w:rsidP="00C5394E">
      <w:pPr>
        <w:spacing w:after="0" w:line="240" w:lineRule="auto"/>
        <w:ind w:firstLine="720"/>
        <w:jc w:val="both"/>
        <w:rPr>
          <w:rFonts w:ascii="Arial" w:hAnsi="Arial" w:cs="Arial"/>
          <w:sz w:val="24"/>
          <w:szCs w:val="24"/>
          <w:lang w:val="mn-MN"/>
        </w:rPr>
      </w:pPr>
    </w:p>
    <w:p w14:paraId="1C09E4FD" w14:textId="77777777" w:rsidR="00C5394E" w:rsidRPr="006A4151" w:rsidRDefault="00C5394E" w:rsidP="00C5394E">
      <w:pPr>
        <w:spacing w:after="0" w:line="240" w:lineRule="auto"/>
        <w:ind w:firstLine="720"/>
        <w:jc w:val="both"/>
        <w:rPr>
          <w:rFonts w:ascii="Arial" w:hAnsi="Arial" w:cs="Arial"/>
          <w:sz w:val="24"/>
          <w:szCs w:val="24"/>
          <w:lang w:val="mn-MN"/>
        </w:rPr>
      </w:pPr>
    </w:p>
    <w:p w14:paraId="70CFE780" w14:textId="77777777" w:rsidR="00C5394E" w:rsidRPr="006A4151" w:rsidRDefault="00C5394E" w:rsidP="00C5394E">
      <w:pPr>
        <w:spacing w:after="0" w:line="240" w:lineRule="auto"/>
        <w:ind w:firstLine="720"/>
        <w:jc w:val="both"/>
        <w:rPr>
          <w:rFonts w:ascii="Arial" w:hAnsi="Arial" w:cs="Arial"/>
          <w:sz w:val="24"/>
          <w:szCs w:val="24"/>
          <w:lang w:val="mn-MN"/>
        </w:rPr>
      </w:pPr>
    </w:p>
    <w:p w14:paraId="23912173" w14:textId="77777777" w:rsidR="00C5394E" w:rsidRPr="006A4151" w:rsidRDefault="00C5394E" w:rsidP="00C5394E">
      <w:pPr>
        <w:spacing w:after="0" w:line="240" w:lineRule="auto"/>
        <w:ind w:firstLine="720"/>
        <w:jc w:val="both"/>
        <w:rPr>
          <w:rFonts w:ascii="Arial" w:hAnsi="Arial" w:cs="Arial"/>
          <w:sz w:val="24"/>
          <w:szCs w:val="24"/>
          <w:lang w:val="mn-MN"/>
        </w:rPr>
      </w:pPr>
    </w:p>
    <w:p w14:paraId="1D468BA9" w14:textId="77777777" w:rsidR="00C5394E" w:rsidRPr="006A4151" w:rsidRDefault="00C5394E" w:rsidP="00C5394E">
      <w:pPr>
        <w:spacing w:after="0" w:line="240" w:lineRule="auto"/>
        <w:ind w:firstLine="720"/>
        <w:jc w:val="both"/>
        <w:rPr>
          <w:rFonts w:ascii="Arial" w:hAnsi="Arial" w:cs="Arial"/>
          <w:sz w:val="24"/>
          <w:szCs w:val="24"/>
          <w:lang w:val="mn-MN"/>
        </w:rPr>
      </w:pPr>
    </w:p>
    <w:p w14:paraId="63ADC4A1" w14:textId="77777777" w:rsidR="00C5394E" w:rsidRPr="006A4151" w:rsidRDefault="00C5394E" w:rsidP="00C5394E">
      <w:pPr>
        <w:spacing w:after="0" w:line="240" w:lineRule="auto"/>
        <w:ind w:firstLine="720"/>
        <w:jc w:val="both"/>
        <w:rPr>
          <w:rFonts w:ascii="Arial" w:hAnsi="Arial" w:cs="Arial"/>
          <w:sz w:val="24"/>
          <w:szCs w:val="24"/>
          <w:lang w:val="mn-MN"/>
        </w:rPr>
      </w:pPr>
    </w:p>
    <w:p w14:paraId="4078FF26" w14:textId="77777777" w:rsidR="00C5394E" w:rsidRPr="006A4151" w:rsidRDefault="00C5394E" w:rsidP="00C5394E">
      <w:pPr>
        <w:spacing w:after="0" w:line="240" w:lineRule="auto"/>
        <w:ind w:firstLine="720"/>
        <w:jc w:val="both"/>
        <w:rPr>
          <w:rFonts w:ascii="Arial" w:hAnsi="Arial" w:cs="Arial"/>
          <w:sz w:val="24"/>
          <w:szCs w:val="24"/>
          <w:lang w:val="mn-MN"/>
        </w:rPr>
      </w:pPr>
    </w:p>
    <w:p w14:paraId="66F7F3E7" w14:textId="77777777" w:rsidR="00C5394E" w:rsidRPr="006A4151" w:rsidRDefault="00C5394E" w:rsidP="00C5394E">
      <w:pPr>
        <w:spacing w:after="0" w:line="240" w:lineRule="auto"/>
        <w:ind w:firstLine="720"/>
        <w:jc w:val="both"/>
        <w:rPr>
          <w:rFonts w:ascii="Arial" w:hAnsi="Arial" w:cs="Arial"/>
          <w:sz w:val="24"/>
          <w:szCs w:val="24"/>
          <w:lang w:val="mn-MN"/>
        </w:rPr>
      </w:pPr>
    </w:p>
    <w:p w14:paraId="5729C75D" w14:textId="77777777" w:rsidR="00E33728" w:rsidRPr="006A4151" w:rsidRDefault="00E33728" w:rsidP="00792DC5">
      <w:pPr>
        <w:spacing w:after="0" w:line="240" w:lineRule="auto"/>
        <w:jc w:val="both"/>
        <w:rPr>
          <w:rFonts w:ascii="Arial" w:hAnsi="Arial" w:cs="Arial"/>
          <w:sz w:val="24"/>
          <w:szCs w:val="24"/>
          <w:lang w:val="mn-MN"/>
        </w:rPr>
        <w:sectPr w:rsidR="00E33728" w:rsidRPr="006A4151" w:rsidSect="0091147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103BDF60" w14:textId="7AB7CE13" w:rsidR="00E33728" w:rsidRPr="006A4151" w:rsidRDefault="00792DC5" w:rsidP="00314B8D">
      <w:pPr>
        <w:spacing w:after="0" w:line="240" w:lineRule="auto"/>
        <w:rPr>
          <w:rFonts w:ascii="Arial" w:hAnsi="Arial" w:cs="Arial"/>
          <w:sz w:val="24"/>
          <w:szCs w:val="24"/>
          <w:lang w:val="mn-MN"/>
        </w:rPr>
      </w:pPr>
      <w:r w:rsidRPr="006A4151">
        <w:rPr>
          <w:rFonts w:ascii="Arial" w:hAnsi="Arial" w:cs="Arial"/>
          <w:sz w:val="24"/>
          <w:szCs w:val="24"/>
          <w:lang w:val="mn-MN"/>
        </w:rPr>
        <w:lastRenderedPageBreak/>
        <w:t xml:space="preserve">Олон нийтээс санал авсан байдал - </w:t>
      </w:r>
      <w:r w:rsidR="00B71D2F" w:rsidRPr="006A4151">
        <w:rPr>
          <w:rFonts w:ascii="Arial" w:hAnsi="Arial" w:cs="Arial"/>
          <w:sz w:val="24"/>
          <w:szCs w:val="24"/>
          <w:lang w:val="mn-MN"/>
        </w:rPr>
        <w:t>Цахим холбоос:</w:t>
      </w:r>
      <w:r w:rsidR="003322AC" w:rsidRPr="006A4151">
        <w:rPr>
          <w:rFonts w:ascii="Arial" w:hAnsi="Arial" w:cs="Arial"/>
          <w:sz w:val="24"/>
          <w:szCs w:val="24"/>
          <w:lang w:val="mn-MN"/>
        </w:rPr>
        <w:t xml:space="preserve"> https://lawforum.parliament.mn/draft/589/</w:t>
      </w:r>
    </w:p>
    <w:p w14:paraId="5852A627" w14:textId="77777777" w:rsidR="003322AC" w:rsidRPr="006A4151" w:rsidRDefault="003322AC" w:rsidP="00314B8D">
      <w:pPr>
        <w:spacing w:after="0" w:line="240" w:lineRule="auto"/>
        <w:rPr>
          <w:rFonts w:ascii="Arial" w:hAnsi="Arial" w:cs="Arial"/>
          <w:sz w:val="24"/>
          <w:szCs w:val="24"/>
          <w:lang w:val="mn-MN"/>
        </w:rPr>
      </w:pPr>
    </w:p>
    <w:p w14:paraId="62578CB6" w14:textId="739BA95C" w:rsidR="00792DC5" w:rsidRPr="006A4151" w:rsidRDefault="002721F3" w:rsidP="00314B8D">
      <w:pPr>
        <w:spacing w:after="0" w:line="240" w:lineRule="auto"/>
        <w:rPr>
          <w:rFonts w:ascii="Arial" w:hAnsi="Arial" w:cs="Arial"/>
          <w:sz w:val="24"/>
          <w:szCs w:val="24"/>
          <w:lang w:val="mn-MN"/>
        </w:rPr>
        <w:sectPr w:rsidR="00792DC5" w:rsidRPr="006A4151" w:rsidSect="00E33728">
          <w:pgSz w:w="16838" w:h="11906" w:orient="landscape" w:code="9"/>
          <w:pgMar w:top="1440" w:right="1440" w:bottom="1440" w:left="1440" w:header="720" w:footer="720" w:gutter="0"/>
          <w:cols w:space="720"/>
          <w:docGrid w:linePitch="360"/>
        </w:sectPr>
      </w:pPr>
      <w:r w:rsidRPr="006A4151">
        <w:rPr>
          <w:rFonts w:ascii="Arial" w:hAnsi="Arial" w:cs="Arial"/>
          <w:noProof/>
          <w:sz w:val="24"/>
          <w:szCs w:val="24"/>
          <w:lang w:val="mn-MN"/>
        </w:rPr>
        <w:drawing>
          <wp:inline distT="0" distB="0" distL="0" distR="0" wp14:anchorId="35BD28A2" wp14:editId="3D1832F5">
            <wp:extent cx="8489257" cy="519889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489257" cy="5198894"/>
                    </a:xfrm>
                    <a:prstGeom prst="rect">
                      <a:avLst/>
                    </a:prstGeom>
                  </pic:spPr>
                </pic:pic>
              </a:graphicData>
            </a:graphic>
          </wp:inline>
        </w:drawing>
      </w:r>
    </w:p>
    <w:p w14:paraId="66B01980" w14:textId="77777777" w:rsidR="00AA6F2A" w:rsidRPr="006A4151" w:rsidRDefault="00AA6F2A"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lastRenderedPageBreak/>
        <w:t>Төсөл</w:t>
      </w:r>
    </w:p>
    <w:p w14:paraId="0CCF24C3" w14:textId="77777777" w:rsidR="00AA6F2A" w:rsidRPr="006A4151" w:rsidRDefault="00AA6F2A" w:rsidP="00314B8D">
      <w:pPr>
        <w:spacing w:after="0" w:line="240" w:lineRule="auto"/>
        <w:jc w:val="center"/>
        <w:rPr>
          <w:rFonts w:ascii="Arial" w:hAnsi="Arial" w:cs="Arial"/>
          <w:b/>
          <w:bCs/>
          <w:sz w:val="24"/>
          <w:szCs w:val="24"/>
          <w:lang w:val="mn-MN"/>
        </w:rPr>
      </w:pPr>
    </w:p>
    <w:p w14:paraId="01C1F77A"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МОНГОЛ УЛСЫН ХУУЛЬ</w:t>
      </w:r>
    </w:p>
    <w:p w14:paraId="093FC45D" w14:textId="77777777" w:rsidR="00AA6F2A" w:rsidRPr="006A4151" w:rsidRDefault="00AA6F2A" w:rsidP="00314B8D">
      <w:pPr>
        <w:spacing w:after="0" w:line="240" w:lineRule="auto"/>
        <w:jc w:val="both"/>
        <w:rPr>
          <w:rFonts w:ascii="Arial" w:hAnsi="Arial" w:cs="Arial"/>
          <w:sz w:val="24"/>
          <w:szCs w:val="24"/>
          <w:lang w:val="mn-MN"/>
        </w:rPr>
      </w:pPr>
    </w:p>
    <w:p w14:paraId="6E5CCA60" w14:textId="77777777" w:rsidR="00AA6F2A" w:rsidRPr="006A4151" w:rsidRDefault="00AA6F2A"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2024 оны ... дугаар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Улаанбаатар </w:t>
      </w:r>
    </w:p>
    <w:p w14:paraId="78CCA43F" w14:textId="77777777" w:rsidR="00AA6F2A" w:rsidRPr="006A4151" w:rsidRDefault="00AA6F2A"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 xml:space="preserve">сарын ....-ны өдөр </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хот</w:t>
      </w:r>
    </w:p>
    <w:p w14:paraId="5DC5FEA5" w14:textId="77777777" w:rsidR="00AA6F2A" w:rsidRPr="006A4151" w:rsidRDefault="00AA6F2A" w:rsidP="00314B8D">
      <w:pPr>
        <w:spacing w:after="0" w:line="240" w:lineRule="auto"/>
        <w:jc w:val="both"/>
        <w:rPr>
          <w:rFonts w:ascii="Arial" w:hAnsi="Arial" w:cs="Arial"/>
          <w:sz w:val="24"/>
          <w:szCs w:val="24"/>
          <w:lang w:val="mn-MN"/>
        </w:rPr>
      </w:pPr>
    </w:p>
    <w:p w14:paraId="0FC6E03A"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ЗЭЭЛИЙН МЭДЭЭЛЛИЙН ТУХАЙ ХУУЛЬД</w:t>
      </w:r>
    </w:p>
    <w:p w14:paraId="5B94D434"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НЭМЭЛТ, ӨӨРЧЛӨЛТ ОРУУЛАХ ТУХАЙ</w:t>
      </w:r>
    </w:p>
    <w:p w14:paraId="779DC580" w14:textId="77777777" w:rsidR="00AA6F2A" w:rsidRPr="006A4151" w:rsidRDefault="00AA6F2A" w:rsidP="00314B8D">
      <w:pPr>
        <w:spacing w:after="0" w:line="240" w:lineRule="auto"/>
        <w:jc w:val="both"/>
        <w:rPr>
          <w:rFonts w:ascii="Arial" w:hAnsi="Arial" w:cs="Arial"/>
          <w:b/>
          <w:bCs/>
          <w:sz w:val="24"/>
          <w:szCs w:val="24"/>
          <w:lang w:val="mn-MN"/>
        </w:rPr>
      </w:pPr>
    </w:p>
    <w:p w14:paraId="7AAEADF1" w14:textId="77777777" w:rsidR="00AA6F2A" w:rsidRPr="006A4151" w:rsidRDefault="00AA6F2A" w:rsidP="00314B8D">
      <w:pPr>
        <w:spacing w:after="0" w:line="240" w:lineRule="auto"/>
        <w:ind w:firstLine="720"/>
        <w:jc w:val="both"/>
        <w:rPr>
          <w:rFonts w:ascii="Arial" w:hAnsi="Arial" w:cs="Arial"/>
          <w:sz w:val="24"/>
          <w:szCs w:val="24"/>
          <w:lang w:val="mn-MN"/>
        </w:rPr>
      </w:pPr>
      <w:r w:rsidRPr="006A4151">
        <w:rPr>
          <w:rFonts w:ascii="Arial" w:hAnsi="Arial" w:cs="Arial"/>
          <w:b/>
          <w:bCs/>
          <w:sz w:val="24"/>
          <w:szCs w:val="24"/>
          <w:lang w:val="mn-MN"/>
        </w:rPr>
        <w:t>1 дүгээр зүйл.</w:t>
      </w:r>
      <w:r w:rsidRPr="006A4151">
        <w:rPr>
          <w:rFonts w:ascii="Arial" w:hAnsi="Arial" w:cs="Arial"/>
          <w:sz w:val="24"/>
          <w:szCs w:val="24"/>
          <w:lang w:val="mn-MN"/>
        </w:rPr>
        <w:t>Зээлийн мэдээллийн тухай хуульд доор дурдсан агуулгатай дараах хэсэг нэмсүгэй:</w:t>
      </w:r>
    </w:p>
    <w:p w14:paraId="1A53ECDD" w14:textId="77777777" w:rsidR="00AA6F2A" w:rsidRPr="006A4151" w:rsidRDefault="00AA6F2A" w:rsidP="00314B8D">
      <w:pPr>
        <w:spacing w:after="0" w:line="240" w:lineRule="auto"/>
        <w:jc w:val="both"/>
        <w:rPr>
          <w:rFonts w:ascii="Arial" w:hAnsi="Arial" w:cs="Arial"/>
          <w:sz w:val="24"/>
          <w:szCs w:val="24"/>
          <w:lang w:val="mn-MN"/>
        </w:rPr>
      </w:pPr>
    </w:p>
    <w:p w14:paraId="20B2ACEF" w14:textId="77777777" w:rsidR="00AA6F2A" w:rsidRPr="006A4151" w:rsidRDefault="00AA6F2A" w:rsidP="00314B8D">
      <w:pPr>
        <w:spacing w:after="0" w:line="240" w:lineRule="auto"/>
        <w:ind w:left="720" w:firstLine="720"/>
        <w:jc w:val="both"/>
        <w:rPr>
          <w:rFonts w:ascii="Arial" w:hAnsi="Arial" w:cs="Arial"/>
          <w:b/>
          <w:bCs/>
          <w:sz w:val="24"/>
          <w:szCs w:val="24"/>
          <w:lang w:val="mn-MN"/>
        </w:rPr>
      </w:pPr>
      <w:r w:rsidRPr="006A4151">
        <w:rPr>
          <w:rFonts w:ascii="Arial" w:hAnsi="Arial" w:cs="Arial"/>
          <w:b/>
          <w:bCs/>
          <w:sz w:val="24"/>
          <w:szCs w:val="24"/>
          <w:lang w:val="mn-MN"/>
        </w:rPr>
        <w:t>1/10 дугаар зүйлийн 10.3 дахь хэсэг:</w:t>
      </w:r>
    </w:p>
    <w:p w14:paraId="01A10DB7" w14:textId="77777777" w:rsidR="00AA6F2A" w:rsidRPr="006A4151" w:rsidRDefault="00AA6F2A" w:rsidP="00314B8D">
      <w:pPr>
        <w:spacing w:after="0" w:line="240" w:lineRule="auto"/>
        <w:jc w:val="both"/>
        <w:rPr>
          <w:rFonts w:ascii="Arial" w:hAnsi="Arial" w:cs="Arial"/>
          <w:sz w:val="24"/>
          <w:szCs w:val="24"/>
          <w:lang w:val="mn-MN"/>
        </w:rPr>
      </w:pPr>
    </w:p>
    <w:p w14:paraId="1A97E47F" w14:textId="77777777" w:rsidR="00AA6F2A" w:rsidRPr="006A4151" w:rsidRDefault="00AA6F2A"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“10.3.Энэ хуулийн 10.1, 10.2-т зааснаас өөр зорилгоор зээлийн мэдээллийг ашиглахыг хориглоно.”</w:t>
      </w:r>
    </w:p>
    <w:p w14:paraId="5025ACC3" w14:textId="77777777" w:rsidR="00AA6F2A" w:rsidRPr="006A4151" w:rsidRDefault="00AA6F2A" w:rsidP="00314B8D">
      <w:pPr>
        <w:spacing w:after="0" w:line="240" w:lineRule="auto"/>
        <w:jc w:val="both"/>
        <w:rPr>
          <w:rFonts w:ascii="Arial" w:hAnsi="Arial" w:cs="Arial"/>
          <w:sz w:val="24"/>
          <w:szCs w:val="24"/>
          <w:lang w:val="mn-MN"/>
        </w:rPr>
      </w:pPr>
    </w:p>
    <w:p w14:paraId="506184E6" w14:textId="77777777" w:rsidR="00AA6F2A" w:rsidRPr="006A4151" w:rsidRDefault="00AA6F2A" w:rsidP="00314B8D">
      <w:pPr>
        <w:spacing w:after="0" w:line="240" w:lineRule="auto"/>
        <w:jc w:val="both"/>
        <w:rPr>
          <w:rFonts w:ascii="Arial" w:hAnsi="Arial" w:cs="Arial"/>
          <w:b/>
          <w:bCs/>
          <w:sz w:val="24"/>
          <w:szCs w:val="24"/>
          <w:lang w:val="mn-MN"/>
        </w:rPr>
      </w:pP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b/>
          <w:bCs/>
          <w:sz w:val="24"/>
          <w:szCs w:val="24"/>
          <w:lang w:val="mn-MN"/>
        </w:rPr>
        <w:t>2/14 дүгээр зүйлийн 14.3 дахь хэсэг:</w:t>
      </w:r>
    </w:p>
    <w:p w14:paraId="48345BCC" w14:textId="77777777" w:rsidR="00AA6F2A" w:rsidRPr="006A4151" w:rsidRDefault="00AA6F2A" w:rsidP="00314B8D">
      <w:pPr>
        <w:spacing w:after="0" w:line="240" w:lineRule="auto"/>
        <w:jc w:val="both"/>
        <w:rPr>
          <w:rFonts w:ascii="Arial" w:hAnsi="Arial" w:cs="Arial"/>
          <w:sz w:val="24"/>
          <w:szCs w:val="24"/>
          <w:lang w:val="mn-MN"/>
        </w:rPr>
      </w:pPr>
    </w:p>
    <w:p w14:paraId="1BB27EB3" w14:textId="77777777" w:rsidR="00AA6F2A" w:rsidRPr="006A4151" w:rsidRDefault="00AA6F2A" w:rsidP="00314B8D">
      <w:pPr>
        <w:spacing w:after="0" w:line="240" w:lineRule="auto"/>
        <w:ind w:firstLine="720"/>
        <w:jc w:val="both"/>
        <w:rPr>
          <w:rFonts w:ascii="Arial" w:hAnsi="Arial" w:cs="Arial"/>
          <w:sz w:val="24"/>
          <w:szCs w:val="24"/>
          <w:lang w:val="mn-MN"/>
        </w:rPr>
      </w:pPr>
      <w:bookmarkStart w:id="4" w:name="_Hlk180169378"/>
      <w:r w:rsidRPr="006A4151">
        <w:rPr>
          <w:rFonts w:ascii="Arial" w:hAnsi="Arial" w:cs="Arial"/>
          <w:sz w:val="24"/>
          <w:szCs w:val="24"/>
          <w:lang w:val="mn-MN"/>
        </w:rPr>
        <w:t xml:space="preserve">“14.3.Энэ хуулийн 14.1.3-т заасан зээлдэгчийн зээлжих чадварын зэрэглэлийг Монголбанкнаас баталсан онооны аргачлалын дагуу тогтооно.”  </w:t>
      </w:r>
    </w:p>
    <w:bookmarkEnd w:id="4"/>
    <w:p w14:paraId="29B3477C" w14:textId="77777777" w:rsidR="00AA6F2A" w:rsidRPr="006A4151" w:rsidRDefault="00AA6F2A" w:rsidP="00314B8D">
      <w:pPr>
        <w:spacing w:after="0" w:line="240" w:lineRule="auto"/>
        <w:jc w:val="both"/>
        <w:rPr>
          <w:rFonts w:ascii="Arial" w:hAnsi="Arial" w:cs="Arial"/>
          <w:sz w:val="24"/>
          <w:szCs w:val="24"/>
          <w:lang w:val="mn-MN"/>
        </w:rPr>
      </w:pPr>
    </w:p>
    <w:p w14:paraId="5DCA2B33" w14:textId="77777777" w:rsidR="00AA6F2A" w:rsidRPr="006A4151" w:rsidRDefault="00AA6F2A" w:rsidP="00314B8D">
      <w:pPr>
        <w:spacing w:after="0" w:line="240" w:lineRule="auto"/>
        <w:ind w:firstLine="720"/>
        <w:jc w:val="both"/>
        <w:rPr>
          <w:rFonts w:ascii="Arial" w:hAnsi="Arial" w:cs="Arial"/>
          <w:sz w:val="24"/>
          <w:szCs w:val="24"/>
          <w:lang w:val="mn-MN"/>
        </w:rPr>
      </w:pPr>
      <w:r w:rsidRPr="006A4151">
        <w:rPr>
          <w:rFonts w:ascii="Arial" w:hAnsi="Arial" w:cs="Arial"/>
          <w:b/>
          <w:bCs/>
          <w:sz w:val="24"/>
          <w:szCs w:val="24"/>
          <w:lang w:val="mn-MN"/>
        </w:rPr>
        <w:t>2 дугаар зүйл.</w:t>
      </w:r>
      <w:r w:rsidRPr="006A4151">
        <w:rPr>
          <w:rFonts w:ascii="Arial" w:hAnsi="Arial" w:cs="Arial"/>
          <w:sz w:val="24"/>
          <w:szCs w:val="24"/>
          <w:lang w:val="mn-MN"/>
        </w:rPr>
        <w:t>Зээлийн мэдээллийн тухай хуулийн 10 дугаар зүйлийн 10.2 дахь хэсгийг доор дурдсанаар өөрчлөн найруулсугай:</w:t>
      </w:r>
    </w:p>
    <w:p w14:paraId="2FE8247C" w14:textId="77777777" w:rsidR="00AA6F2A" w:rsidRPr="006A4151" w:rsidRDefault="00AA6F2A" w:rsidP="00314B8D">
      <w:pPr>
        <w:spacing w:after="0" w:line="240" w:lineRule="auto"/>
        <w:jc w:val="both"/>
        <w:rPr>
          <w:rFonts w:ascii="Arial" w:hAnsi="Arial" w:cs="Arial"/>
          <w:sz w:val="24"/>
          <w:szCs w:val="24"/>
          <w:lang w:val="mn-MN"/>
        </w:rPr>
      </w:pPr>
    </w:p>
    <w:p w14:paraId="77CC8488" w14:textId="77777777" w:rsidR="00AA6F2A" w:rsidRPr="006A4151" w:rsidRDefault="00AA6F2A" w:rsidP="00314B8D">
      <w:pPr>
        <w:spacing w:after="0" w:line="240" w:lineRule="auto"/>
        <w:ind w:firstLine="720"/>
        <w:jc w:val="both"/>
        <w:rPr>
          <w:rFonts w:ascii="Arial" w:hAnsi="Arial" w:cs="Arial"/>
          <w:sz w:val="24"/>
          <w:szCs w:val="24"/>
          <w:lang w:val="mn-MN"/>
        </w:rPr>
      </w:pPr>
      <w:bookmarkStart w:id="5" w:name="_Hlk165361391"/>
      <w:r w:rsidRPr="006A4151">
        <w:rPr>
          <w:rFonts w:ascii="Arial" w:hAnsi="Arial" w:cs="Arial"/>
          <w:sz w:val="24"/>
          <w:szCs w:val="24"/>
          <w:lang w:val="mn-MN"/>
        </w:rPr>
        <w:t>“10.2.Зээлийн мэдээллийг зээлдэгчийн зээлжих чадварт зэрэглэл тогтооход ашиглана.”</w:t>
      </w:r>
    </w:p>
    <w:bookmarkEnd w:id="5"/>
    <w:p w14:paraId="7C054D4A" w14:textId="77777777" w:rsidR="00AA6F2A" w:rsidRPr="006A4151" w:rsidRDefault="00AA6F2A" w:rsidP="00314B8D">
      <w:pPr>
        <w:spacing w:after="0" w:line="240" w:lineRule="auto"/>
        <w:ind w:firstLine="720"/>
        <w:jc w:val="both"/>
        <w:rPr>
          <w:rFonts w:ascii="Arial" w:hAnsi="Arial" w:cs="Arial"/>
          <w:sz w:val="24"/>
          <w:szCs w:val="24"/>
          <w:lang w:val="mn-MN"/>
        </w:rPr>
      </w:pPr>
    </w:p>
    <w:p w14:paraId="727301B2" w14:textId="77777777" w:rsidR="00AA6F2A" w:rsidRPr="006A4151" w:rsidRDefault="00AA6F2A"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ab/>
      </w:r>
      <w:r w:rsidRPr="006A4151">
        <w:rPr>
          <w:rFonts w:ascii="Arial" w:hAnsi="Arial" w:cs="Arial"/>
          <w:b/>
          <w:bCs/>
          <w:sz w:val="24"/>
          <w:szCs w:val="24"/>
          <w:lang w:val="mn-MN"/>
        </w:rPr>
        <w:t>3 дугаар зүйл.</w:t>
      </w:r>
      <w:r w:rsidRPr="006A4151">
        <w:rPr>
          <w:rFonts w:ascii="Arial" w:hAnsi="Arial" w:cs="Arial"/>
          <w:sz w:val="24"/>
          <w:szCs w:val="24"/>
          <w:lang w:val="mn-MN"/>
        </w:rPr>
        <w:t>Зээлийн мэдээллийн тухай хуулийн 11 дүгээр зүйлийн 11.1 дэх хэсгийг “зургаан” гэснийг “зургаа хүртэлх” гэж өөрчилсүгэй.</w:t>
      </w:r>
    </w:p>
    <w:p w14:paraId="41150692" w14:textId="77777777" w:rsidR="00AA6F2A" w:rsidRPr="006A4151" w:rsidRDefault="00AA6F2A" w:rsidP="00314B8D">
      <w:pPr>
        <w:spacing w:after="0" w:line="240" w:lineRule="auto"/>
        <w:jc w:val="both"/>
        <w:rPr>
          <w:rFonts w:ascii="Arial" w:hAnsi="Arial" w:cs="Arial"/>
          <w:sz w:val="24"/>
          <w:szCs w:val="24"/>
          <w:lang w:val="mn-MN"/>
        </w:rPr>
      </w:pPr>
    </w:p>
    <w:p w14:paraId="5EA9E116" w14:textId="77777777" w:rsidR="00AA6F2A" w:rsidRPr="006A4151" w:rsidRDefault="00AA6F2A" w:rsidP="00314B8D">
      <w:pPr>
        <w:spacing w:after="0" w:line="240" w:lineRule="auto"/>
        <w:jc w:val="both"/>
        <w:rPr>
          <w:rFonts w:ascii="Arial" w:hAnsi="Arial" w:cs="Arial"/>
          <w:sz w:val="24"/>
          <w:szCs w:val="24"/>
          <w:lang w:val="mn-MN"/>
        </w:rPr>
      </w:pPr>
    </w:p>
    <w:p w14:paraId="362CDEDC" w14:textId="77777777" w:rsidR="00AA6F2A" w:rsidRPr="006A4151" w:rsidRDefault="00AA6F2A" w:rsidP="00314B8D">
      <w:pPr>
        <w:spacing w:after="0" w:line="240" w:lineRule="auto"/>
        <w:jc w:val="both"/>
        <w:rPr>
          <w:rFonts w:ascii="Arial" w:hAnsi="Arial" w:cs="Arial"/>
          <w:sz w:val="24"/>
          <w:szCs w:val="24"/>
          <w:lang w:val="mn-MN"/>
        </w:rPr>
      </w:pPr>
    </w:p>
    <w:p w14:paraId="726E7DE7" w14:textId="77777777" w:rsidR="00AA6F2A" w:rsidRPr="006A4151" w:rsidRDefault="00AA6F2A" w:rsidP="00314B8D">
      <w:pPr>
        <w:spacing w:after="0" w:line="240" w:lineRule="auto"/>
        <w:jc w:val="both"/>
        <w:rPr>
          <w:rFonts w:ascii="Arial" w:hAnsi="Arial" w:cs="Arial"/>
          <w:sz w:val="24"/>
          <w:szCs w:val="24"/>
          <w:lang w:val="mn-MN"/>
        </w:rPr>
      </w:pPr>
    </w:p>
    <w:p w14:paraId="13E0FAE9" w14:textId="77777777" w:rsidR="00AA6F2A" w:rsidRPr="006A4151" w:rsidRDefault="00AA6F2A" w:rsidP="00314B8D">
      <w:pPr>
        <w:spacing w:after="0" w:line="240" w:lineRule="auto"/>
        <w:jc w:val="center"/>
        <w:rPr>
          <w:rFonts w:ascii="Arial" w:hAnsi="Arial" w:cs="Arial"/>
          <w:sz w:val="24"/>
          <w:szCs w:val="24"/>
          <w:lang w:val="mn-MN"/>
        </w:rPr>
      </w:pPr>
      <w:r w:rsidRPr="006A4151">
        <w:rPr>
          <w:rFonts w:ascii="Arial" w:hAnsi="Arial" w:cs="Arial"/>
          <w:sz w:val="24"/>
          <w:szCs w:val="24"/>
          <w:lang w:val="mn-MN"/>
        </w:rPr>
        <w:t>Гарын үсэг</w:t>
      </w:r>
    </w:p>
    <w:p w14:paraId="39067704" w14:textId="77777777" w:rsidR="00AA6F2A" w:rsidRPr="006A4151" w:rsidRDefault="00AA6F2A" w:rsidP="00314B8D">
      <w:pPr>
        <w:spacing w:after="0" w:line="240" w:lineRule="auto"/>
        <w:jc w:val="both"/>
        <w:rPr>
          <w:rFonts w:ascii="Arial" w:hAnsi="Arial" w:cs="Arial"/>
          <w:sz w:val="24"/>
          <w:szCs w:val="24"/>
          <w:lang w:val="mn-MN"/>
        </w:rPr>
      </w:pPr>
    </w:p>
    <w:p w14:paraId="48109B09" w14:textId="77777777" w:rsidR="00AA6F2A" w:rsidRPr="006A4151" w:rsidRDefault="00AA6F2A" w:rsidP="00314B8D">
      <w:pPr>
        <w:spacing w:after="0" w:line="240" w:lineRule="auto"/>
        <w:jc w:val="both"/>
        <w:rPr>
          <w:rFonts w:ascii="Arial" w:hAnsi="Arial" w:cs="Arial"/>
          <w:sz w:val="24"/>
          <w:szCs w:val="24"/>
          <w:lang w:val="mn-MN"/>
        </w:rPr>
      </w:pPr>
    </w:p>
    <w:p w14:paraId="40188628" w14:textId="77777777" w:rsidR="00AA6F2A" w:rsidRPr="006A4151" w:rsidRDefault="00AA6F2A" w:rsidP="00314B8D">
      <w:pPr>
        <w:spacing w:after="0" w:line="240" w:lineRule="auto"/>
        <w:jc w:val="both"/>
        <w:rPr>
          <w:rFonts w:ascii="Arial" w:hAnsi="Arial" w:cs="Arial"/>
          <w:sz w:val="24"/>
          <w:szCs w:val="24"/>
          <w:lang w:val="mn-MN"/>
        </w:rPr>
      </w:pPr>
    </w:p>
    <w:p w14:paraId="07DF76DD" w14:textId="77777777" w:rsidR="00AA6F2A" w:rsidRPr="006A4151" w:rsidRDefault="00AA6F2A" w:rsidP="00314B8D">
      <w:pPr>
        <w:spacing w:after="0" w:line="240" w:lineRule="auto"/>
        <w:jc w:val="both"/>
        <w:rPr>
          <w:rFonts w:ascii="Arial" w:hAnsi="Arial" w:cs="Arial"/>
          <w:sz w:val="24"/>
          <w:szCs w:val="24"/>
          <w:lang w:val="mn-MN"/>
        </w:rPr>
      </w:pPr>
    </w:p>
    <w:p w14:paraId="22DFB6F5" w14:textId="77777777" w:rsidR="00AA6F2A" w:rsidRPr="006A4151" w:rsidRDefault="00AA6F2A" w:rsidP="00314B8D">
      <w:pPr>
        <w:spacing w:after="0" w:line="240" w:lineRule="auto"/>
        <w:jc w:val="both"/>
        <w:rPr>
          <w:rFonts w:ascii="Arial" w:hAnsi="Arial" w:cs="Arial"/>
          <w:sz w:val="24"/>
          <w:szCs w:val="24"/>
          <w:lang w:val="mn-MN"/>
        </w:rPr>
      </w:pPr>
    </w:p>
    <w:p w14:paraId="7B7A9118" w14:textId="77777777" w:rsidR="00AA6F2A" w:rsidRPr="006A4151" w:rsidRDefault="00AA6F2A" w:rsidP="00314B8D">
      <w:pPr>
        <w:spacing w:after="0" w:line="240" w:lineRule="auto"/>
        <w:jc w:val="both"/>
        <w:rPr>
          <w:rFonts w:ascii="Arial" w:hAnsi="Arial" w:cs="Arial"/>
          <w:sz w:val="24"/>
          <w:szCs w:val="24"/>
          <w:lang w:val="mn-MN"/>
        </w:rPr>
      </w:pPr>
    </w:p>
    <w:p w14:paraId="281D397C" w14:textId="77777777" w:rsidR="00AA6F2A" w:rsidRPr="006A4151" w:rsidRDefault="00AA6F2A" w:rsidP="00314B8D">
      <w:pPr>
        <w:spacing w:after="0" w:line="240" w:lineRule="auto"/>
        <w:jc w:val="both"/>
        <w:rPr>
          <w:rFonts w:ascii="Arial" w:hAnsi="Arial" w:cs="Arial"/>
          <w:sz w:val="24"/>
          <w:szCs w:val="24"/>
          <w:lang w:val="mn-MN"/>
        </w:rPr>
      </w:pPr>
    </w:p>
    <w:p w14:paraId="043315F4" w14:textId="77777777" w:rsidR="00AA6F2A" w:rsidRPr="006A4151" w:rsidRDefault="00AA6F2A" w:rsidP="00314B8D">
      <w:pPr>
        <w:spacing w:after="0" w:line="240" w:lineRule="auto"/>
        <w:jc w:val="both"/>
        <w:rPr>
          <w:rFonts w:ascii="Arial" w:hAnsi="Arial" w:cs="Arial"/>
          <w:sz w:val="24"/>
          <w:szCs w:val="24"/>
          <w:lang w:val="mn-MN"/>
        </w:rPr>
      </w:pPr>
    </w:p>
    <w:p w14:paraId="36DDE531" w14:textId="77777777" w:rsidR="00AA6F2A" w:rsidRPr="006A4151" w:rsidRDefault="00AA6F2A" w:rsidP="00314B8D">
      <w:pPr>
        <w:spacing w:after="0" w:line="240" w:lineRule="auto"/>
        <w:jc w:val="both"/>
        <w:rPr>
          <w:rFonts w:ascii="Arial" w:hAnsi="Arial" w:cs="Arial"/>
          <w:sz w:val="24"/>
          <w:szCs w:val="24"/>
          <w:lang w:val="mn-MN"/>
        </w:rPr>
      </w:pPr>
    </w:p>
    <w:p w14:paraId="79AE6170" w14:textId="77777777" w:rsidR="00AA6F2A" w:rsidRPr="006A4151" w:rsidRDefault="00AA6F2A" w:rsidP="00314B8D">
      <w:pPr>
        <w:spacing w:after="0" w:line="240" w:lineRule="auto"/>
        <w:jc w:val="both"/>
        <w:rPr>
          <w:rFonts w:ascii="Arial" w:hAnsi="Arial" w:cs="Arial"/>
          <w:sz w:val="24"/>
          <w:szCs w:val="24"/>
          <w:lang w:val="mn-MN"/>
        </w:rPr>
      </w:pPr>
    </w:p>
    <w:p w14:paraId="31DD0152" w14:textId="77777777" w:rsidR="00AA6F2A" w:rsidRPr="006A4151" w:rsidRDefault="00AA6F2A" w:rsidP="00314B8D">
      <w:pPr>
        <w:spacing w:after="0" w:line="240" w:lineRule="auto"/>
        <w:jc w:val="both"/>
        <w:rPr>
          <w:rFonts w:ascii="Arial" w:hAnsi="Arial" w:cs="Arial"/>
          <w:sz w:val="24"/>
          <w:szCs w:val="24"/>
          <w:lang w:val="mn-MN"/>
        </w:rPr>
      </w:pPr>
    </w:p>
    <w:p w14:paraId="0688758B" w14:textId="77777777" w:rsidR="00AA6F2A" w:rsidRPr="006A4151" w:rsidRDefault="00AA6F2A" w:rsidP="00314B8D">
      <w:pPr>
        <w:spacing w:after="0" w:line="240" w:lineRule="auto"/>
        <w:jc w:val="both"/>
        <w:rPr>
          <w:rFonts w:ascii="Arial" w:hAnsi="Arial" w:cs="Arial"/>
          <w:sz w:val="24"/>
          <w:szCs w:val="24"/>
          <w:lang w:val="mn-MN"/>
        </w:rPr>
      </w:pPr>
    </w:p>
    <w:p w14:paraId="3C12054D" w14:textId="77777777" w:rsidR="00AA6F2A" w:rsidRPr="006A4151" w:rsidRDefault="00AA6F2A" w:rsidP="00314B8D">
      <w:pPr>
        <w:spacing w:after="0" w:line="240" w:lineRule="auto"/>
        <w:jc w:val="both"/>
        <w:rPr>
          <w:rFonts w:ascii="Arial" w:hAnsi="Arial" w:cs="Arial"/>
          <w:sz w:val="24"/>
          <w:szCs w:val="24"/>
          <w:lang w:val="mn-MN"/>
        </w:rPr>
      </w:pPr>
    </w:p>
    <w:p w14:paraId="1A623078" w14:textId="77777777" w:rsidR="00AA6F2A" w:rsidRPr="006A4151" w:rsidRDefault="00AA6F2A" w:rsidP="00314B8D">
      <w:pPr>
        <w:spacing w:after="0" w:line="240" w:lineRule="auto"/>
        <w:jc w:val="both"/>
        <w:rPr>
          <w:rFonts w:ascii="Arial" w:hAnsi="Arial" w:cs="Arial"/>
          <w:sz w:val="24"/>
          <w:szCs w:val="24"/>
          <w:lang w:val="mn-MN"/>
        </w:rPr>
      </w:pPr>
    </w:p>
    <w:p w14:paraId="43EA28BC" w14:textId="77777777" w:rsidR="00AA6F2A" w:rsidRPr="006A4151" w:rsidRDefault="00AA6F2A" w:rsidP="00314B8D">
      <w:pPr>
        <w:spacing w:after="0" w:line="240" w:lineRule="auto"/>
        <w:jc w:val="right"/>
        <w:rPr>
          <w:rFonts w:ascii="Arial" w:hAnsi="Arial" w:cs="Arial"/>
          <w:sz w:val="24"/>
          <w:szCs w:val="24"/>
          <w:lang w:val="mn-MN"/>
        </w:rPr>
      </w:pPr>
      <w:r w:rsidRPr="006A4151">
        <w:rPr>
          <w:rFonts w:ascii="Arial" w:hAnsi="Arial" w:cs="Arial"/>
          <w:sz w:val="24"/>
          <w:szCs w:val="24"/>
          <w:lang w:val="mn-MN"/>
        </w:rPr>
        <w:lastRenderedPageBreak/>
        <w:t>Төсөл</w:t>
      </w:r>
    </w:p>
    <w:p w14:paraId="09299688" w14:textId="77777777" w:rsidR="00AA6F2A" w:rsidRPr="006A4151" w:rsidRDefault="00AA6F2A" w:rsidP="00314B8D">
      <w:pPr>
        <w:spacing w:after="0" w:line="240" w:lineRule="auto"/>
        <w:jc w:val="center"/>
        <w:rPr>
          <w:rFonts w:ascii="Arial" w:hAnsi="Arial" w:cs="Arial"/>
          <w:b/>
          <w:bCs/>
          <w:sz w:val="24"/>
          <w:szCs w:val="24"/>
          <w:lang w:val="mn-MN"/>
        </w:rPr>
      </w:pPr>
    </w:p>
    <w:p w14:paraId="1B8097E8"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УЛСЫН ИХ ХУРЛЫН ТОГТООЛ</w:t>
      </w:r>
    </w:p>
    <w:p w14:paraId="2F50511C" w14:textId="77777777" w:rsidR="00AA6F2A" w:rsidRPr="006A4151" w:rsidRDefault="00AA6F2A" w:rsidP="00314B8D">
      <w:pPr>
        <w:spacing w:after="0" w:line="240" w:lineRule="auto"/>
        <w:jc w:val="both"/>
        <w:rPr>
          <w:rFonts w:ascii="Arial" w:hAnsi="Arial" w:cs="Arial"/>
          <w:sz w:val="24"/>
          <w:szCs w:val="24"/>
          <w:lang w:val="mn-MN"/>
        </w:rPr>
      </w:pPr>
    </w:p>
    <w:p w14:paraId="374470FF" w14:textId="77777777" w:rsidR="00AA6F2A" w:rsidRPr="006A4151" w:rsidRDefault="00AA6F2A"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2024 оны ... дугаар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Улаанбаатар</w:t>
      </w:r>
    </w:p>
    <w:p w14:paraId="57AFA799" w14:textId="77777777" w:rsidR="00AA6F2A" w:rsidRPr="006A4151" w:rsidRDefault="00AA6F2A" w:rsidP="00314B8D">
      <w:pPr>
        <w:spacing w:after="0" w:line="240" w:lineRule="auto"/>
        <w:jc w:val="both"/>
        <w:rPr>
          <w:rFonts w:ascii="Arial" w:hAnsi="Arial" w:cs="Arial"/>
          <w:sz w:val="24"/>
          <w:szCs w:val="24"/>
          <w:lang w:val="mn-MN"/>
        </w:rPr>
      </w:pPr>
      <w:r w:rsidRPr="006A4151">
        <w:rPr>
          <w:rFonts w:ascii="Arial" w:hAnsi="Arial" w:cs="Arial"/>
          <w:sz w:val="24"/>
          <w:szCs w:val="24"/>
          <w:lang w:val="mn-MN"/>
        </w:rPr>
        <w:t>сарын ....-ны өдөр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хот</w:t>
      </w:r>
    </w:p>
    <w:p w14:paraId="08BD84EF" w14:textId="77777777" w:rsidR="00AA6F2A" w:rsidRPr="006A4151" w:rsidRDefault="00AA6F2A" w:rsidP="00314B8D">
      <w:pPr>
        <w:spacing w:after="0" w:line="240" w:lineRule="auto"/>
        <w:jc w:val="both"/>
        <w:rPr>
          <w:rFonts w:ascii="Arial" w:hAnsi="Arial" w:cs="Arial"/>
          <w:sz w:val="24"/>
          <w:szCs w:val="24"/>
          <w:lang w:val="mn-MN"/>
        </w:rPr>
      </w:pPr>
    </w:p>
    <w:p w14:paraId="69A16AF6"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Хууль баталсантай холбогдуулан</w:t>
      </w:r>
    </w:p>
    <w:p w14:paraId="70914AA9" w14:textId="77777777" w:rsidR="00AA6F2A" w:rsidRPr="006A4151" w:rsidRDefault="00AA6F2A" w:rsidP="00314B8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авах зарим арга хэмжээний тухай</w:t>
      </w:r>
    </w:p>
    <w:p w14:paraId="10EA39CC" w14:textId="77777777" w:rsidR="00AA6F2A" w:rsidRPr="006A4151" w:rsidRDefault="00AA6F2A" w:rsidP="00314B8D">
      <w:pPr>
        <w:spacing w:after="0" w:line="240" w:lineRule="auto"/>
        <w:jc w:val="right"/>
        <w:rPr>
          <w:rFonts w:ascii="Arial" w:hAnsi="Arial" w:cs="Arial"/>
          <w:b/>
          <w:bCs/>
          <w:sz w:val="24"/>
          <w:szCs w:val="24"/>
          <w:lang w:val="mn-MN"/>
        </w:rPr>
      </w:pPr>
    </w:p>
    <w:p w14:paraId="04B7F917" w14:textId="77777777" w:rsidR="00AA6F2A" w:rsidRPr="006A4151" w:rsidRDefault="00AA6F2A"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14:paraId="20DBA0C1" w14:textId="77777777" w:rsidR="00AA6F2A" w:rsidRPr="006A4151" w:rsidRDefault="00AA6F2A" w:rsidP="00314B8D">
      <w:pPr>
        <w:spacing w:after="0" w:line="240" w:lineRule="auto"/>
        <w:jc w:val="both"/>
        <w:rPr>
          <w:rFonts w:ascii="Arial" w:hAnsi="Arial" w:cs="Arial"/>
          <w:sz w:val="24"/>
          <w:szCs w:val="24"/>
          <w:lang w:val="mn-MN"/>
        </w:rPr>
      </w:pPr>
    </w:p>
    <w:p w14:paraId="24B2C4D6" w14:textId="5A41A0E6" w:rsidR="00AA6F2A" w:rsidRPr="006A4151" w:rsidRDefault="00AA6F2A"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1.Зээлийн мэдээллийн тухай хуульд нэмэлт, өөрчлөлт оруулах тухай хуул</w:t>
      </w:r>
      <w:r w:rsidR="003E3ED1" w:rsidRPr="006A4151">
        <w:rPr>
          <w:rFonts w:ascii="Arial" w:hAnsi="Arial" w:cs="Arial"/>
          <w:sz w:val="24"/>
          <w:szCs w:val="24"/>
          <w:lang w:val="mn-MN"/>
        </w:rPr>
        <w:t xml:space="preserve">ь </w:t>
      </w:r>
      <w:r w:rsidRPr="006A4151">
        <w:rPr>
          <w:rFonts w:ascii="Arial" w:hAnsi="Arial" w:cs="Arial"/>
          <w:sz w:val="24"/>
          <w:szCs w:val="24"/>
          <w:lang w:val="mn-MN"/>
        </w:rPr>
        <w:t xml:space="preserve">баталсантай холбогдуулан </w:t>
      </w:r>
      <w:r w:rsidR="00C344C7" w:rsidRPr="006A4151">
        <w:rPr>
          <w:rFonts w:ascii="Arial" w:hAnsi="Arial" w:cs="Arial"/>
          <w:sz w:val="24"/>
          <w:szCs w:val="24"/>
          <w:lang w:val="mn-MN"/>
        </w:rPr>
        <w:t>зээлдэгчийн зээлжих чадварт зэрэглэл тогтоох онооны аргачлал болон зээлийн мэдээллийг зээлийн лавлагаанд зургаа хүртэлх жилээр тусгах нөхцөл, шалгуурыг дараах нөхцөлийг харгалзан батлахыг Монголбанк /Б.Лхагвасүрэн/-д даалгасугай</w:t>
      </w:r>
      <w:r w:rsidR="0051067A" w:rsidRPr="006A4151">
        <w:rPr>
          <w:rFonts w:ascii="Arial" w:hAnsi="Arial" w:cs="Arial"/>
          <w:sz w:val="24"/>
          <w:szCs w:val="24"/>
          <w:lang w:val="mn-MN"/>
        </w:rPr>
        <w:t>:</w:t>
      </w:r>
      <w:r w:rsidR="00C344C7" w:rsidRPr="006A4151">
        <w:rPr>
          <w:rFonts w:ascii="Arial" w:hAnsi="Arial" w:cs="Arial"/>
          <w:sz w:val="24"/>
          <w:szCs w:val="24"/>
          <w:lang w:val="mn-MN"/>
        </w:rPr>
        <w:t xml:space="preserve"> </w:t>
      </w:r>
    </w:p>
    <w:p w14:paraId="79360C79" w14:textId="77777777" w:rsidR="00AA6F2A" w:rsidRPr="006A4151" w:rsidRDefault="00AA6F2A" w:rsidP="00314B8D">
      <w:pPr>
        <w:spacing w:after="0" w:line="240" w:lineRule="auto"/>
        <w:jc w:val="both"/>
        <w:rPr>
          <w:rFonts w:ascii="Arial" w:hAnsi="Arial" w:cs="Arial"/>
          <w:sz w:val="24"/>
          <w:szCs w:val="24"/>
          <w:lang w:val="mn-MN"/>
        </w:rPr>
      </w:pPr>
    </w:p>
    <w:p w14:paraId="298969C8" w14:textId="569042EC" w:rsidR="00AA6F2A" w:rsidRPr="006A4151" w:rsidRDefault="00AA6F2A" w:rsidP="00FB097C">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1/иргэн, хувийн өмчит хуулийн этгээд</w:t>
      </w:r>
      <w:r w:rsidR="00140A6E" w:rsidRPr="006A4151">
        <w:rPr>
          <w:rFonts w:ascii="Arial" w:hAnsi="Arial" w:cs="Arial"/>
          <w:sz w:val="24"/>
          <w:szCs w:val="24"/>
          <w:lang w:val="mn-MN"/>
        </w:rPr>
        <w:t xml:space="preserve">ийн зээлийн ангилал давагдашгүй </w:t>
      </w:r>
      <w:r w:rsidR="00951CDF" w:rsidRPr="006A4151">
        <w:rPr>
          <w:rFonts w:ascii="Arial" w:hAnsi="Arial" w:cs="Arial"/>
          <w:sz w:val="24"/>
          <w:szCs w:val="24"/>
          <w:lang w:val="mn-MN"/>
        </w:rPr>
        <w:t xml:space="preserve">хүчин </w:t>
      </w:r>
      <w:r w:rsidR="00140A6E" w:rsidRPr="006A4151">
        <w:rPr>
          <w:rFonts w:ascii="Arial" w:hAnsi="Arial" w:cs="Arial"/>
          <w:sz w:val="24"/>
          <w:szCs w:val="24"/>
          <w:lang w:val="mn-MN"/>
        </w:rPr>
        <w:t xml:space="preserve">зүйлээс хамаарч хэвийн ангиллаас бусад ангилалд </w:t>
      </w:r>
      <w:r w:rsidR="0051067A" w:rsidRPr="006A4151">
        <w:rPr>
          <w:rFonts w:ascii="Arial" w:hAnsi="Arial" w:cs="Arial"/>
          <w:sz w:val="24"/>
          <w:szCs w:val="24"/>
          <w:lang w:val="mn-MN"/>
        </w:rPr>
        <w:t>орсон бөгөөд</w:t>
      </w:r>
      <w:r w:rsidRPr="006A4151">
        <w:rPr>
          <w:rFonts w:ascii="Arial" w:hAnsi="Arial" w:cs="Arial"/>
          <w:sz w:val="24"/>
          <w:szCs w:val="24"/>
          <w:lang w:val="mn-MN"/>
        </w:rPr>
        <w:t xml:space="preserve"> зээлийн өр, төлбөрөө бүрэн</w:t>
      </w:r>
      <w:r w:rsidR="0081444C" w:rsidRPr="006A4151">
        <w:rPr>
          <w:rFonts w:ascii="Arial" w:hAnsi="Arial" w:cs="Arial"/>
          <w:sz w:val="24"/>
          <w:szCs w:val="24"/>
          <w:lang w:val="mn-MN"/>
        </w:rPr>
        <w:t xml:space="preserve"> </w:t>
      </w:r>
      <w:r w:rsidR="00951CDF" w:rsidRPr="006A4151">
        <w:rPr>
          <w:rFonts w:ascii="Arial" w:hAnsi="Arial" w:cs="Arial"/>
          <w:sz w:val="24"/>
          <w:szCs w:val="24"/>
          <w:lang w:val="mn-MN"/>
        </w:rPr>
        <w:t>төлсөн</w:t>
      </w:r>
      <w:r w:rsidR="0051067A" w:rsidRPr="006A4151">
        <w:rPr>
          <w:rFonts w:ascii="Arial" w:hAnsi="Arial" w:cs="Arial"/>
          <w:sz w:val="24"/>
          <w:szCs w:val="24"/>
          <w:lang w:val="mn-MN"/>
        </w:rPr>
        <w:t xml:space="preserve"> тохиолдолд, түүнчлэн </w:t>
      </w:r>
      <w:r w:rsidRPr="006A4151">
        <w:rPr>
          <w:rFonts w:ascii="Arial" w:hAnsi="Arial" w:cs="Arial"/>
          <w:sz w:val="24"/>
          <w:szCs w:val="24"/>
          <w:lang w:val="mn-MN"/>
        </w:rPr>
        <w:t>бусад нийгэм, эдийн засгийн нөхцөл байдалтай уялдуулан зээлдэгчийн зээлжих чадварын зэрэглэлийг уян хатан тогтоох;</w:t>
      </w:r>
    </w:p>
    <w:p w14:paraId="6F71FB97" w14:textId="77777777" w:rsidR="001A2DC5" w:rsidRPr="006A4151" w:rsidRDefault="001A2DC5" w:rsidP="00FB097C">
      <w:pPr>
        <w:spacing w:after="0" w:line="240" w:lineRule="auto"/>
        <w:ind w:firstLine="1440"/>
        <w:jc w:val="both"/>
        <w:rPr>
          <w:rFonts w:ascii="Arial" w:hAnsi="Arial" w:cs="Arial"/>
          <w:sz w:val="24"/>
          <w:szCs w:val="24"/>
          <w:lang w:val="mn-MN"/>
        </w:rPr>
      </w:pPr>
    </w:p>
    <w:p w14:paraId="37B63DAD" w14:textId="6AC20484" w:rsidR="00AA6F2A" w:rsidRPr="006A4151" w:rsidRDefault="00AA6F2A" w:rsidP="00FB097C">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2/иргэн, хувийн өмчит хуулийн этгээдийн зээлийн төрөл, зээлийн өр, төлбөрийг бүрэн төлж барагдуулсан хугацаанаас хамаарч зээлдэгчийн зээлжих чадварын зэрэглэлийг уян хатан тогтоох</w:t>
      </w:r>
      <w:r w:rsidR="0051067A" w:rsidRPr="006A4151">
        <w:rPr>
          <w:rFonts w:ascii="Arial" w:hAnsi="Arial" w:cs="Arial"/>
          <w:sz w:val="24"/>
          <w:szCs w:val="24"/>
          <w:lang w:val="mn-MN"/>
        </w:rPr>
        <w:t>;</w:t>
      </w:r>
    </w:p>
    <w:p w14:paraId="6568ED23" w14:textId="77777777" w:rsidR="00AA6F2A" w:rsidRPr="006A4151" w:rsidRDefault="00AA6F2A" w:rsidP="00314B8D">
      <w:pPr>
        <w:spacing w:after="0" w:line="240" w:lineRule="auto"/>
        <w:jc w:val="both"/>
        <w:rPr>
          <w:rFonts w:ascii="Arial" w:hAnsi="Arial" w:cs="Arial"/>
          <w:sz w:val="24"/>
          <w:szCs w:val="24"/>
          <w:lang w:val="mn-MN"/>
        </w:rPr>
      </w:pPr>
    </w:p>
    <w:p w14:paraId="5AF28376" w14:textId="55CF3201" w:rsidR="00C344C7" w:rsidRPr="006A4151" w:rsidRDefault="007B06E4" w:rsidP="001A2260">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3/</w:t>
      </w:r>
      <w:r w:rsidR="001A2260" w:rsidRPr="006A4151">
        <w:rPr>
          <w:rFonts w:ascii="Arial" w:hAnsi="Arial" w:cs="Arial"/>
          <w:sz w:val="24"/>
          <w:szCs w:val="24"/>
          <w:lang w:val="mn-MN"/>
        </w:rPr>
        <w:t>э</w:t>
      </w:r>
      <w:r w:rsidR="00FB097C" w:rsidRPr="006A4151">
        <w:rPr>
          <w:rFonts w:ascii="Arial" w:hAnsi="Arial" w:cs="Arial"/>
          <w:sz w:val="24"/>
          <w:szCs w:val="24"/>
          <w:lang w:val="mn-MN"/>
        </w:rPr>
        <w:t>нэ тогтоолын</w:t>
      </w:r>
      <w:r w:rsidRPr="006A4151">
        <w:rPr>
          <w:rFonts w:ascii="Arial" w:hAnsi="Arial" w:cs="Arial"/>
          <w:sz w:val="24"/>
          <w:szCs w:val="24"/>
          <w:lang w:val="mn-MN"/>
        </w:rPr>
        <w:t xml:space="preserve"> 1 дэх заалтын 1, 2 дахь дэд заалтад </w:t>
      </w:r>
      <w:r w:rsidR="000640D9" w:rsidRPr="006A4151">
        <w:rPr>
          <w:rFonts w:ascii="Arial" w:hAnsi="Arial" w:cs="Arial"/>
          <w:sz w:val="24"/>
          <w:szCs w:val="24"/>
          <w:lang w:val="mn-MN"/>
        </w:rPr>
        <w:t>т</w:t>
      </w:r>
      <w:r w:rsidR="00C344C7" w:rsidRPr="006A4151">
        <w:rPr>
          <w:rFonts w:ascii="Arial" w:hAnsi="Arial" w:cs="Arial"/>
          <w:sz w:val="24"/>
          <w:szCs w:val="24"/>
          <w:lang w:val="mn-MN"/>
        </w:rPr>
        <w:t xml:space="preserve">өрийн </w:t>
      </w:r>
      <w:r w:rsidRPr="006A4151">
        <w:rPr>
          <w:rFonts w:ascii="Arial" w:hAnsi="Arial" w:cs="Arial"/>
          <w:sz w:val="24"/>
          <w:szCs w:val="24"/>
          <w:lang w:val="mn-MN"/>
        </w:rPr>
        <w:t>захиргааны төв</w:t>
      </w:r>
      <w:r w:rsidR="00C344C7" w:rsidRPr="006A4151">
        <w:rPr>
          <w:rFonts w:ascii="Arial" w:hAnsi="Arial" w:cs="Arial"/>
          <w:sz w:val="24"/>
          <w:szCs w:val="24"/>
          <w:lang w:val="mn-MN"/>
        </w:rPr>
        <w:t>,</w:t>
      </w:r>
      <w:r w:rsidRPr="006A4151">
        <w:rPr>
          <w:rFonts w:ascii="Arial" w:hAnsi="Arial" w:cs="Arial"/>
          <w:sz w:val="24"/>
          <w:szCs w:val="24"/>
          <w:lang w:val="mn-MN"/>
        </w:rPr>
        <w:t xml:space="preserve"> төрийн захиргааны байгууллагын дэргэдэх</w:t>
      </w:r>
      <w:r w:rsidR="00C344C7" w:rsidRPr="006A4151">
        <w:rPr>
          <w:rFonts w:ascii="Arial" w:hAnsi="Arial" w:cs="Arial"/>
          <w:sz w:val="24"/>
          <w:szCs w:val="24"/>
          <w:lang w:val="mn-MN"/>
        </w:rPr>
        <w:t xml:space="preserve"> </w:t>
      </w:r>
      <w:r w:rsidRPr="006A4151">
        <w:rPr>
          <w:rFonts w:ascii="Arial" w:hAnsi="Arial" w:cs="Arial"/>
          <w:sz w:val="24"/>
          <w:szCs w:val="24"/>
          <w:lang w:val="mn-MN"/>
        </w:rPr>
        <w:t xml:space="preserve">сангаас болон </w:t>
      </w:r>
      <w:r w:rsidR="00C344C7" w:rsidRPr="006A4151">
        <w:rPr>
          <w:rFonts w:ascii="Arial" w:hAnsi="Arial" w:cs="Arial"/>
          <w:sz w:val="24"/>
          <w:szCs w:val="24"/>
          <w:lang w:val="mn-MN"/>
        </w:rPr>
        <w:t>Монгол Улсын Хөгжлийн банкнаас</w:t>
      </w:r>
      <w:r w:rsidRPr="006A4151">
        <w:rPr>
          <w:rFonts w:ascii="Arial" w:hAnsi="Arial" w:cs="Arial"/>
          <w:sz w:val="24"/>
          <w:szCs w:val="24"/>
          <w:lang w:val="mn-MN"/>
        </w:rPr>
        <w:t xml:space="preserve"> авсан зээлээ хугацаандаа </w:t>
      </w:r>
      <w:r w:rsidR="000640D9" w:rsidRPr="006A4151">
        <w:rPr>
          <w:rFonts w:ascii="Arial" w:hAnsi="Arial" w:cs="Arial"/>
          <w:sz w:val="24"/>
          <w:szCs w:val="24"/>
          <w:lang w:val="mn-MN"/>
        </w:rPr>
        <w:t>төлөөгүй,</w:t>
      </w:r>
      <w:r w:rsidRPr="006A4151">
        <w:rPr>
          <w:rFonts w:ascii="Arial" w:hAnsi="Arial" w:cs="Arial"/>
          <w:sz w:val="24"/>
          <w:szCs w:val="24"/>
          <w:lang w:val="mn-MN"/>
        </w:rPr>
        <w:t xml:space="preserve"> түүнчлэн</w:t>
      </w:r>
      <w:r w:rsidR="000640D9" w:rsidRPr="006A4151">
        <w:rPr>
          <w:rFonts w:ascii="Arial" w:hAnsi="Arial" w:cs="Arial"/>
          <w:sz w:val="24"/>
          <w:szCs w:val="24"/>
          <w:lang w:val="mn-MN"/>
        </w:rPr>
        <w:t xml:space="preserve"> хэвийн зээлийн </w:t>
      </w:r>
      <w:r w:rsidR="003E3ED1" w:rsidRPr="006A4151">
        <w:rPr>
          <w:rFonts w:ascii="Arial" w:hAnsi="Arial" w:cs="Arial"/>
          <w:sz w:val="24"/>
          <w:szCs w:val="24"/>
          <w:lang w:val="mn-MN"/>
        </w:rPr>
        <w:t>ангиллаас</w:t>
      </w:r>
      <w:r w:rsidR="000640D9" w:rsidRPr="006A4151">
        <w:rPr>
          <w:rFonts w:ascii="Arial" w:hAnsi="Arial" w:cs="Arial"/>
          <w:sz w:val="24"/>
          <w:szCs w:val="24"/>
          <w:lang w:val="mn-MN"/>
        </w:rPr>
        <w:t xml:space="preserve"> бусад</w:t>
      </w:r>
      <w:r w:rsidRPr="006A4151">
        <w:rPr>
          <w:rFonts w:ascii="Arial" w:hAnsi="Arial" w:cs="Arial"/>
          <w:sz w:val="24"/>
          <w:szCs w:val="24"/>
          <w:lang w:val="mn-MN"/>
        </w:rPr>
        <w:t xml:space="preserve"> </w:t>
      </w:r>
      <w:r w:rsidR="000640D9" w:rsidRPr="006A4151">
        <w:rPr>
          <w:rFonts w:ascii="Arial" w:hAnsi="Arial" w:cs="Arial"/>
          <w:sz w:val="24"/>
          <w:szCs w:val="24"/>
          <w:lang w:val="mn-MN"/>
        </w:rPr>
        <w:t>ангилалд орсон</w:t>
      </w:r>
      <w:r w:rsidR="00C344C7" w:rsidRPr="006A4151">
        <w:rPr>
          <w:rFonts w:ascii="Arial" w:hAnsi="Arial" w:cs="Arial"/>
          <w:sz w:val="24"/>
          <w:szCs w:val="24"/>
          <w:lang w:val="mn-MN"/>
        </w:rPr>
        <w:t xml:space="preserve"> иргэн, аж ахуйн нэгж</w:t>
      </w:r>
      <w:r w:rsidRPr="006A4151">
        <w:rPr>
          <w:rFonts w:ascii="Arial" w:hAnsi="Arial" w:cs="Arial"/>
          <w:sz w:val="24"/>
          <w:szCs w:val="24"/>
          <w:lang w:val="mn-MN"/>
        </w:rPr>
        <w:t xml:space="preserve">, </w:t>
      </w:r>
      <w:r w:rsidR="0081444C" w:rsidRPr="006A4151">
        <w:rPr>
          <w:rFonts w:ascii="Arial" w:hAnsi="Arial" w:cs="Arial"/>
          <w:sz w:val="24"/>
          <w:szCs w:val="24"/>
          <w:lang w:val="mn-MN"/>
        </w:rPr>
        <w:t xml:space="preserve">түүний зээлийн </w:t>
      </w:r>
      <w:r w:rsidR="00B019BE" w:rsidRPr="006A4151">
        <w:rPr>
          <w:rFonts w:ascii="Arial" w:hAnsi="Arial" w:cs="Arial"/>
          <w:sz w:val="24"/>
          <w:szCs w:val="24"/>
          <w:lang w:val="mn-MN"/>
        </w:rPr>
        <w:t xml:space="preserve">мэдээллийг </w:t>
      </w:r>
      <w:r w:rsidRPr="006A4151">
        <w:rPr>
          <w:rFonts w:ascii="Arial" w:hAnsi="Arial" w:cs="Arial"/>
          <w:sz w:val="24"/>
          <w:szCs w:val="24"/>
          <w:lang w:val="mn-MN"/>
        </w:rPr>
        <w:t>хамааруулахгүй байх</w:t>
      </w:r>
      <w:r w:rsidR="00B019BE" w:rsidRPr="006A4151">
        <w:rPr>
          <w:rFonts w:ascii="Arial" w:hAnsi="Arial" w:cs="Arial"/>
          <w:sz w:val="24"/>
          <w:szCs w:val="24"/>
          <w:lang w:val="mn-MN"/>
        </w:rPr>
        <w:t xml:space="preserve">.  </w:t>
      </w:r>
    </w:p>
    <w:p w14:paraId="30695394" w14:textId="77777777" w:rsidR="00C344C7" w:rsidRPr="006A4151" w:rsidRDefault="00C344C7" w:rsidP="00314B8D">
      <w:pPr>
        <w:spacing w:after="0" w:line="240" w:lineRule="auto"/>
        <w:ind w:firstLine="720"/>
        <w:jc w:val="both"/>
        <w:rPr>
          <w:rFonts w:ascii="Arial" w:hAnsi="Arial" w:cs="Arial"/>
          <w:sz w:val="24"/>
          <w:szCs w:val="24"/>
          <w:lang w:val="mn-MN"/>
        </w:rPr>
      </w:pPr>
    </w:p>
    <w:p w14:paraId="055E4903" w14:textId="4FA40F1A" w:rsidR="00AA6F2A" w:rsidRPr="006A4151" w:rsidRDefault="003B1CDB"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2</w:t>
      </w:r>
      <w:r w:rsidR="00AA6F2A" w:rsidRPr="006A4151">
        <w:rPr>
          <w:rFonts w:ascii="Arial" w:hAnsi="Arial" w:cs="Arial"/>
          <w:sz w:val="24"/>
          <w:szCs w:val="24"/>
          <w:lang w:val="mn-MN"/>
        </w:rPr>
        <w:t>.Зээлдэгчийн зээлжих чадварт зэрэглэл тогтоох онооны аргачлалыг холбогдох байгууллагуудын үйл ажиллагаанд нэвтрүүлэх арга хэмжээ авч ажиллахыг Монголбанк</w:t>
      </w:r>
      <w:r w:rsidR="00E60421" w:rsidRPr="006A4151">
        <w:rPr>
          <w:rFonts w:ascii="Arial" w:hAnsi="Arial" w:cs="Arial"/>
          <w:sz w:val="24"/>
          <w:szCs w:val="24"/>
          <w:lang w:val="mn-MN"/>
        </w:rPr>
        <w:t xml:space="preserve"> </w:t>
      </w:r>
      <w:r w:rsidR="00AA6F2A" w:rsidRPr="006A4151">
        <w:rPr>
          <w:rFonts w:ascii="Arial" w:hAnsi="Arial" w:cs="Arial"/>
          <w:sz w:val="24"/>
          <w:szCs w:val="24"/>
          <w:lang w:val="mn-MN"/>
        </w:rPr>
        <w:t>/Б.Лхагвасүрэн/,</w:t>
      </w:r>
      <w:r w:rsidR="005E28A6" w:rsidRPr="006A4151">
        <w:rPr>
          <w:rFonts w:ascii="Arial" w:hAnsi="Arial" w:cs="Arial"/>
          <w:sz w:val="24"/>
          <w:szCs w:val="24"/>
          <w:lang w:val="mn-MN"/>
        </w:rPr>
        <w:t xml:space="preserve"> </w:t>
      </w:r>
      <w:r w:rsidR="00AA6F2A" w:rsidRPr="006A4151">
        <w:rPr>
          <w:rFonts w:ascii="Arial" w:hAnsi="Arial" w:cs="Arial"/>
          <w:sz w:val="24"/>
          <w:szCs w:val="24"/>
          <w:lang w:val="mn-MN"/>
        </w:rPr>
        <w:t xml:space="preserve">Санхүүгийн зохицуулах хороо /Д.Баярсайхан/-д тус тус даалгасугай. </w:t>
      </w:r>
    </w:p>
    <w:p w14:paraId="0D239DC8" w14:textId="77777777" w:rsidR="00AA6F2A" w:rsidRPr="006A4151" w:rsidRDefault="00AA6F2A" w:rsidP="00314B8D">
      <w:pPr>
        <w:spacing w:after="0" w:line="240" w:lineRule="auto"/>
        <w:ind w:firstLine="720"/>
        <w:jc w:val="both"/>
        <w:rPr>
          <w:rFonts w:ascii="Arial" w:hAnsi="Arial" w:cs="Arial"/>
          <w:sz w:val="24"/>
          <w:szCs w:val="24"/>
          <w:lang w:val="mn-MN"/>
        </w:rPr>
      </w:pPr>
    </w:p>
    <w:p w14:paraId="2A68C325" w14:textId="42D77E4C" w:rsidR="00AA6F2A" w:rsidRPr="006A4151" w:rsidRDefault="003B1CDB" w:rsidP="00314B8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3</w:t>
      </w:r>
      <w:r w:rsidR="00AA6F2A" w:rsidRPr="006A4151">
        <w:rPr>
          <w:rFonts w:ascii="Arial" w:hAnsi="Arial" w:cs="Arial"/>
          <w:sz w:val="24"/>
          <w:szCs w:val="24"/>
          <w:lang w:val="mn-MN"/>
        </w:rPr>
        <w:t>.Энэ тогтоолын биелэлтэд хяналт тавьж ажиллахыг Монгол Улсын Их Хурлын Эдийн засгийн байнгын хороо /Р.Сэддорж/-д үүрэг болгосугай.</w:t>
      </w:r>
    </w:p>
    <w:p w14:paraId="101332D8" w14:textId="77777777" w:rsidR="00AA6F2A" w:rsidRPr="006A4151" w:rsidRDefault="00AA6F2A" w:rsidP="00314B8D">
      <w:pPr>
        <w:spacing w:after="0" w:line="240" w:lineRule="auto"/>
        <w:rPr>
          <w:rFonts w:ascii="Arial" w:hAnsi="Arial" w:cs="Arial"/>
          <w:sz w:val="24"/>
          <w:szCs w:val="24"/>
          <w:lang w:val="mn-MN"/>
        </w:rPr>
      </w:pPr>
    </w:p>
    <w:p w14:paraId="4B92381F" w14:textId="77777777" w:rsidR="00AA6F2A" w:rsidRPr="006A4151" w:rsidRDefault="00AA6F2A" w:rsidP="00314B8D">
      <w:pPr>
        <w:spacing w:after="0" w:line="240" w:lineRule="auto"/>
        <w:rPr>
          <w:rFonts w:ascii="Arial" w:hAnsi="Arial" w:cs="Arial"/>
          <w:sz w:val="24"/>
          <w:szCs w:val="24"/>
          <w:lang w:val="mn-MN"/>
        </w:rPr>
      </w:pPr>
    </w:p>
    <w:p w14:paraId="437FEB2E" w14:textId="77777777" w:rsidR="00AA6F2A" w:rsidRPr="006A4151" w:rsidRDefault="00AA6F2A" w:rsidP="00314B8D">
      <w:pPr>
        <w:spacing w:after="0" w:line="240" w:lineRule="auto"/>
        <w:rPr>
          <w:rFonts w:ascii="Arial" w:hAnsi="Arial" w:cs="Arial"/>
          <w:sz w:val="24"/>
          <w:szCs w:val="24"/>
          <w:lang w:val="mn-MN"/>
        </w:rPr>
      </w:pPr>
    </w:p>
    <w:p w14:paraId="1D6E2F76" w14:textId="77777777" w:rsidR="00AA6F2A" w:rsidRPr="006A4151" w:rsidRDefault="00AA6F2A" w:rsidP="00314B8D">
      <w:pPr>
        <w:spacing w:after="0" w:line="240" w:lineRule="auto"/>
        <w:rPr>
          <w:rFonts w:ascii="Arial" w:hAnsi="Arial" w:cs="Arial"/>
          <w:sz w:val="24"/>
          <w:szCs w:val="24"/>
          <w:lang w:val="mn-MN"/>
        </w:rPr>
      </w:pPr>
    </w:p>
    <w:p w14:paraId="271F7CFD" w14:textId="77777777" w:rsidR="00AA6F2A" w:rsidRPr="006A4151" w:rsidRDefault="00AA6F2A" w:rsidP="00314B8D">
      <w:pPr>
        <w:spacing w:after="0" w:line="240" w:lineRule="auto"/>
        <w:jc w:val="center"/>
        <w:rPr>
          <w:rFonts w:ascii="Arial" w:hAnsi="Arial" w:cs="Arial"/>
          <w:sz w:val="24"/>
          <w:szCs w:val="24"/>
          <w:lang w:val="mn-MN"/>
        </w:rPr>
      </w:pPr>
      <w:r w:rsidRPr="006A4151">
        <w:rPr>
          <w:rFonts w:ascii="Arial" w:hAnsi="Arial" w:cs="Arial"/>
          <w:sz w:val="24"/>
          <w:szCs w:val="24"/>
          <w:lang w:val="mn-MN"/>
        </w:rPr>
        <w:t>Гарын үсэг</w:t>
      </w:r>
    </w:p>
    <w:p w14:paraId="21CD93E9" w14:textId="77777777" w:rsidR="00AA6F2A" w:rsidRPr="006A4151" w:rsidRDefault="00AA6F2A" w:rsidP="00AA6F2A">
      <w:pPr>
        <w:tabs>
          <w:tab w:val="left" w:pos="5032"/>
        </w:tabs>
        <w:rPr>
          <w:rFonts w:ascii="Arial" w:hAnsi="Arial" w:cs="Arial"/>
          <w:sz w:val="24"/>
          <w:szCs w:val="24"/>
          <w:lang w:val="mn-MN"/>
        </w:rPr>
      </w:pPr>
    </w:p>
    <w:sectPr w:rsidR="00AA6F2A" w:rsidRPr="006A4151" w:rsidSect="00E337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D255" w14:textId="77777777" w:rsidR="000F2579" w:rsidRDefault="000F2579" w:rsidP="00261067">
      <w:pPr>
        <w:spacing w:after="0" w:line="240" w:lineRule="auto"/>
      </w:pPr>
      <w:r>
        <w:separator/>
      </w:r>
    </w:p>
  </w:endnote>
  <w:endnote w:type="continuationSeparator" w:id="0">
    <w:p w14:paraId="62248FB1" w14:textId="77777777" w:rsidR="000F2579" w:rsidRDefault="000F2579"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on">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ABECA" w14:textId="77777777" w:rsidR="00AE30A4" w:rsidRDefault="00AE3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EA04" w14:textId="77777777" w:rsidR="00985AB0" w:rsidRPr="00E71C0E" w:rsidRDefault="00985AB0">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4C75" w14:textId="77777777" w:rsidR="00AE30A4" w:rsidRDefault="00AE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7B1E0" w14:textId="77777777" w:rsidR="000F2579" w:rsidRDefault="000F2579" w:rsidP="00261067">
      <w:pPr>
        <w:spacing w:after="0" w:line="240" w:lineRule="auto"/>
      </w:pPr>
      <w:r>
        <w:separator/>
      </w:r>
    </w:p>
  </w:footnote>
  <w:footnote w:type="continuationSeparator" w:id="0">
    <w:p w14:paraId="1D784E40" w14:textId="77777777" w:rsidR="000F2579" w:rsidRDefault="000F2579" w:rsidP="0026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5699" w14:textId="77777777" w:rsidR="00AE30A4" w:rsidRDefault="00AE3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A12C" w14:textId="77777777" w:rsidR="00AE30A4" w:rsidRDefault="00AE3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DEB54" w14:textId="77777777" w:rsidR="00AE30A4" w:rsidRDefault="00AE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427767676">
    <w:abstractNumId w:val="2"/>
  </w:num>
  <w:num w:numId="2" w16cid:durableId="201164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131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806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122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42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90799">
    <w:abstractNumId w:val="0"/>
  </w:num>
  <w:num w:numId="8" w16cid:durableId="12524685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03907"/>
    <w:rsid w:val="00016004"/>
    <w:rsid w:val="000201C4"/>
    <w:rsid w:val="00021925"/>
    <w:rsid w:val="000230AF"/>
    <w:rsid w:val="00023D37"/>
    <w:rsid w:val="00025F4F"/>
    <w:rsid w:val="00025F78"/>
    <w:rsid w:val="000260EC"/>
    <w:rsid w:val="0002656C"/>
    <w:rsid w:val="00031E43"/>
    <w:rsid w:val="00033DA2"/>
    <w:rsid w:val="000343FB"/>
    <w:rsid w:val="000355E1"/>
    <w:rsid w:val="000415DD"/>
    <w:rsid w:val="00044E61"/>
    <w:rsid w:val="000455DE"/>
    <w:rsid w:val="00045FEE"/>
    <w:rsid w:val="00047DDB"/>
    <w:rsid w:val="00051528"/>
    <w:rsid w:val="0005299F"/>
    <w:rsid w:val="000547C5"/>
    <w:rsid w:val="00054BE4"/>
    <w:rsid w:val="00057AB8"/>
    <w:rsid w:val="0006030F"/>
    <w:rsid w:val="00061293"/>
    <w:rsid w:val="000640D9"/>
    <w:rsid w:val="0007143F"/>
    <w:rsid w:val="00071551"/>
    <w:rsid w:val="00074F56"/>
    <w:rsid w:val="00077C17"/>
    <w:rsid w:val="000863F5"/>
    <w:rsid w:val="00087410"/>
    <w:rsid w:val="00093356"/>
    <w:rsid w:val="00094F4D"/>
    <w:rsid w:val="00096CF0"/>
    <w:rsid w:val="000A0659"/>
    <w:rsid w:val="000B03A4"/>
    <w:rsid w:val="000B5786"/>
    <w:rsid w:val="000B624D"/>
    <w:rsid w:val="000C3225"/>
    <w:rsid w:val="000C3F10"/>
    <w:rsid w:val="000C67DD"/>
    <w:rsid w:val="000D370B"/>
    <w:rsid w:val="000D38D5"/>
    <w:rsid w:val="000D4131"/>
    <w:rsid w:val="000E1606"/>
    <w:rsid w:val="000E2DFD"/>
    <w:rsid w:val="000E572D"/>
    <w:rsid w:val="000E6786"/>
    <w:rsid w:val="000F0D33"/>
    <w:rsid w:val="000F2579"/>
    <w:rsid w:val="000F33DF"/>
    <w:rsid w:val="000F6049"/>
    <w:rsid w:val="000F6DFF"/>
    <w:rsid w:val="00105CEE"/>
    <w:rsid w:val="00106682"/>
    <w:rsid w:val="00106E85"/>
    <w:rsid w:val="00112166"/>
    <w:rsid w:val="001173AD"/>
    <w:rsid w:val="00121BF4"/>
    <w:rsid w:val="00122EEA"/>
    <w:rsid w:val="00123F44"/>
    <w:rsid w:val="00125BC1"/>
    <w:rsid w:val="00125C7E"/>
    <w:rsid w:val="00127CF5"/>
    <w:rsid w:val="00133295"/>
    <w:rsid w:val="00140A6E"/>
    <w:rsid w:val="00142A8C"/>
    <w:rsid w:val="00144D8C"/>
    <w:rsid w:val="0015279A"/>
    <w:rsid w:val="00166FE4"/>
    <w:rsid w:val="00170301"/>
    <w:rsid w:val="001733A8"/>
    <w:rsid w:val="00174102"/>
    <w:rsid w:val="00175543"/>
    <w:rsid w:val="001803D9"/>
    <w:rsid w:val="00180651"/>
    <w:rsid w:val="00187142"/>
    <w:rsid w:val="00191679"/>
    <w:rsid w:val="00192DC7"/>
    <w:rsid w:val="00197DF2"/>
    <w:rsid w:val="001A1296"/>
    <w:rsid w:val="001A2260"/>
    <w:rsid w:val="001A2DC5"/>
    <w:rsid w:val="001A3DFD"/>
    <w:rsid w:val="001A4199"/>
    <w:rsid w:val="001A760D"/>
    <w:rsid w:val="001A7C15"/>
    <w:rsid w:val="001B181F"/>
    <w:rsid w:val="001B1F07"/>
    <w:rsid w:val="001B4870"/>
    <w:rsid w:val="001B523F"/>
    <w:rsid w:val="001B7107"/>
    <w:rsid w:val="001C087A"/>
    <w:rsid w:val="001C167D"/>
    <w:rsid w:val="001C2CD6"/>
    <w:rsid w:val="001C6636"/>
    <w:rsid w:val="001C7B86"/>
    <w:rsid w:val="001C7E27"/>
    <w:rsid w:val="001D3232"/>
    <w:rsid w:val="001D3B3F"/>
    <w:rsid w:val="001D6BEB"/>
    <w:rsid w:val="001E2032"/>
    <w:rsid w:val="001E4225"/>
    <w:rsid w:val="001E5D2F"/>
    <w:rsid w:val="001F6363"/>
    <w:rsid w:val="00202793"/>
    <w:rsid w:val="00205D5E"/>
    <w:rsid w:val="0020668B"/>
    <w:rsid w:val="002144C1"/>
    <w:rsid w:val="00216599"/>
    <w:rsid w:val="0022032B"/>
    <w:rsid w:val="00222F9A"/>
    <w:rsid w:val="002273F1"/>
    <w:rsid w:val="00232A35"/>
    <w:rsid w:val="00232E44"/>
    <w:rsid w:val="0023665B"/>
    <w:rsid w:val="00236F56"/>
    <w:rsid w:val="00240055"/>
    <w:rsid w:val="0024044A"/>
    <w:rsid w:val="00242405"/>
    <w:rsid w:val="00242912"/>
    <w:rsid w:val="00243933"/>
    <w:rsid w:val="00245CD1"/>
    <w:rsid w:val="00250159"/>
    <w:rsid w:val="0025017F"/>
    <w:rsid w:val="002502C2"/>
    <w:rsid w:val="00252773"/>
    <w:rsid w:val="002547E1"/>
    <w:rsid w:val="002608B1"/>
    <w:rsid w:val="00261067"/>
    <w:rsid w:val="002625C3"/>
    <w:rsid w:val="00262C5D"/>
    <w:rsid w:val="0026429D"/>
    <w:rsid w:val="0026679C"/>
    <w:rsid w:val="00270203"/>
    <w:rsid w:val="00270F3B"/>
    <w:rsid w:val="00271C34"/>
    <w:rsid w:val="002721F3"/>
    <w:rsid w:val="00273517"/>
    <w:rsid w:val="002735AB"/>
    <w:rsid w:val="00283F63"/>
    <w:rsid w:val="00284B1F"/>
    <w:rsid w:val="0028793A"/>
    <w:rsid w:val="00291CBD"/>
    <w:rsid w:val="00293BC1"/>
    <w:rsid w:val="00295458"/>
    <w:rsid w:val="002A1684"/>
    <w:rsid w:val="002A3B77"/>
    <w:rsid w:val="002A726A"/>
    <w:rsid w:val="002A73F9"/>
    <w:rsid w:val="002B2618"/>
    <w:rsid w:val="002B3871"/>
    <w:rsid w:val="002B3F80"/>
    <w:rsid w:val="002B46C9"/>
    <w:rsid w:val="002B6FC9"/>
    <w:rsid w:val="002C0047"/>
    <w:rsid w:val="002C0178"/>
    <w:rsid w:val="002C0E71"/>
    <w:rsid w:val="002C279C"/>
    <w:rsid w:val="002C7D92"/>
    <w:rsid w:val="002D0A83"/>
    <w:rsid w:val="002D4B3A"/>
    <w:rsid w:val="002D6D10"/>
    <w:rsid w:val="002D7E0F"/>
    <w:rsid w:val="002E0A4B"/>
    <w:rsid w:val="002E12BA"/>
    <w:rsid w:val="002E3F23"/>
    <w:rsid w:val="002F1EB2"/>
    <w:rsid w:val="002F5583"/>
    <w:rsid w:val="00300D6F"/>
    <w:rsid w:val="00312F53"/>
    <w:rsid w:val="00314B8D"/>
    <w:rsid w:val="0031565D"/>
    <w:rsid w:val="003221F6"/>
    <w:rsid w:val="0032473E"/>
    <w:rsid w:val="00325357"/>
    <w:rsid w:val="003311F6"/>
    <w:rsid w:val="003316DB"/>
    <w:rsid w:val="003322AC"/>
    <w:rsid w:val="00332F1A"/>
    <w:rsid w:val="00335993"/>
    <w:rsid w:val="0034133E"/>
    <w:rsid w:val="00344D13"/>
    <w:rsid w:val="00344E8B"/>
    <w:rsid w:val="00346AFF"/>
    <w:rsid w:val="0035397B"/>
    <w:rsid w:val="003545A6"/>
    <w:rsid w:val="003619F0"/>
    <w:rsid w:val="00362965"/>
    <w:rsid w:val="0036366F"/>
    <w:rsid w:val="00363A80"/>
    <w:rsid w:val="00367175"/>
    <w:rsid w:val="003671E8"/>
    <w:rsid w:val="00367CF0"/>
    <w:rsid w:val="003740F4"/>
    <w:rsid w:val="00375C2E"/>
    <w:rsid w:val="00375C94"/>
    <w:rsid w:val="00375E6A"/>
    <w:rsid w:val="00376270"/>
    <w:rsid w:val="00376E1B"/>
    <w:rsid w:val="003803DC"/>
    <w:rsid w:val="003857C5"/>
    <w:rsid w:val="00385A9C"/>
    <w:rsid w:val="003860F4"/>
    <w:rsid w:val="0039081E"/>
    <w:rsid w:val="003942D7"/>
    <w:rsid w:val="003956DB"/>
    <w:rsid w:val="003A28F6"/>
    <w:rsid w:val="003A2988"/>
    <w:rsid w:val="003A2F4E"/>
    <w:rsid w:val="003A53FC"/>
    <w:rsid w:val="003A6BCF"/>
    <w:rsid w:val="003B081D"/>
    <w:rsid w:val="003B1CDB"/>
    <w:rsid w:val="003B2214"/>
    <w:rsid w:val="003B5838"/>
    <w:rsid w:val="003C156A"/>
    <w:rsid w:val="003D4C5C"/>
    <w:rsid w:val="003D539A"/>
    <w:rsid w:val="003D5D88"/>
    <w:rsid w:val="003D654F"/>
    <w:rsid w:val="003D68E1"/>
    <w:rsid w:val="003D79ED"/>
    <w:rsid w:val="003E3ED1"/>
    <w:rsid w:val="003E51A8"/>
    <w:rsid w:val="003F0871"/>
    <w:rsid w:val="003F2720"/>
    <w:rsid w:val="003F3F45"/>
    <w:rsid w:val="003F6A0E"/>
    <w:rsid w:val="00403803"/>
    <w:rsid w:val="004050AE"/>
    <w:rsid w:val="0040703B"/>
    <w:rsid w:val="00407A02"/>
    <w:rsid w:val="004207BD"/>
    <w:rsid w:val="0042171B"/>
    <w:rsid w:val="00421905"/>
    <w:rsid w:val="00421A4E"/>
    <w:rsid w:val="00425525"/>
    <w:rsid w:val="00426AA1"/>
    <w:rsid w:val="00427FB5"/>
    <w:rsid w:val="0043018D"/>
    <w:rsid w:val="00431207"/>
    <w:rsid w:val="004312C2"/>
    <w:rsid w:val="00431E66"/>
    <w:rsid w:val="00440A74"/>
    <w:rsid w:val="004512D1"/>
    <w:rsid w:val="004520CE"/>
    <w:rsid w:val="00452F08"/>
    <w:rsid w:val="00454610"/>
    <w:rsid w:val="00465F24"/>
    <w:rsid w:val="004673C4"/>
    <w:rsid w:val="00470F5C"/>
    <w:rsid w:val="00474F49"/>
    <w:rsid w:val="00476C03"/>
    <w:rsid w:val="0048154F"/>
    <w:rsid w:val="00484300"/>
    <w:rsid w:val="004857FC"/>
    <w:rsid w:val="00485A3D"/>
    <w:rsid w:val="00490989"/>
    <w:rsid w:val="00490BD6"/>
    <w:rsid w:val="00491047"/>
    <w:rsid w:val="0049141E"/>
    <w:rsid w:val="00493548"/>
    <w:rsid w:val="00496394"/>
    <w:rsid w:val="004A2BBE"/>
    <w:rsid w:val="004A51E6"/>
    <w:rsid w:val="004B4022"/>
    <w:rsid w:val="004B4946"/>
    <w:rsid w:val="004B5E59"/>
    <w:rsid w:val="004B74B6"/>
    <w:rsid w:val="004C2233"/>
    <w:rsid w:val="004C5295"/>
    <w:rsid w:val="004C66DC"/>
    <w:rsid w:val="004D12B4"/>
    <w:rsid w:val="004D2D81"/>
    <w:rsid w:val="004D5EA0"/>
    <w:rsid w:val="004E41DE"/>
    <w:rsid w:val="004E59C8"/>
    <w:rsid w:val="004E71C4"/>
    <w:rsid w:val="004F1185"/>
    <w:rsid w:val="004F1FE0"/>
    <w:rsid w:val="004F2411"/>
    <w:rsid w:val="004F432B"/>
    <w:rsid w:val="004F4DC1"/>
    <w:rsid w:val="00502F84"/>
    <w:rsid w:val="0050350B"/>
    <w:rsid w:val="00504E02"/>
    <w:rsid w:val="0051067A"/>
    <w:rsid w:val="005121F1"/>
    <w:rsid w:val="005122C4"/>
    <w:rsid w:val="00515445"/>
    <w:rsid w:val="00520477"/>
    <w:rsid w:val="00520719"/>
    <w:rsid w:val="00521C6B"/>
    <w:rsid w:val="00527264"/>
    <w:rsid w:val="005319D6"/>
    <w:rsid w:val="005329BA"/>
    <w:rsid w:val="0053333C"/>
    <w:rsid w:val="00545C1A"/>
    <w:rsid w:val="00553C41"/>
    <w:rsid w:val="00570EC3"/>
    <w:rsid w:val="0057144E"/>
    <w:rsid w:val="00575177"/>
    <w:rsid w:val="005754FA"/>
    <w:rsid w:val="0058483C"/>
    <w:rsid w:val="00590704"/>
    <w:rsid w:val="00593197"/>
    <w:rsid w:val="00597B89"/>
    <w:rsid w:val="005A572F"/>
    <w:rsid w:val="005B579B"/>
    <w:rsid w:val="005B5DD9"/>
    <w:rsid w:val="005B700E"/>
    <w:rsid w:val="005B7062"/>
    <w:rsid w:val="005C29E4"/>
    <w:rsid w:val="005D270F"/>
    <w:rsid w:val="005D53E8"/>
    <w:rsid w:val="005D6FE2"/>
    <w:rsid w:val="005D7667"/>
    <w:rsid w:val="005D7DE9"/>
    <w:rsid w:val="005E28A6"/>
    <w:rsid w:val="005E4577"/>
    <w:rsid w:val="005E5410"/>
    <w:rsid w:val="005F0C58"/>
    <w:rsid w:val="005F1473"/>
    <w:rsid w:val="005F2586"/>
    <w:rsid w:val="005F26C7"/>
    <w:rsid w:val="005F591C"/>
    <w:rsid w:val="005F65EF"/>
    <w:rsid w:val="00602E96"/>
    <w:rsid w:val="00603D0C"/>
    <w:rsid w:val="0060635E"/>
    <w:rsid w:val="0062180E"/>
    <w:rsid w:val="0062310A"/>
    <w:rsid w:val="0062353D"/>
    <w:rsid w:val="0063354E"/>
    <w:rsid w:val="00635EF2"/>
    <w:rsid w:val="00636A94"/>
    <w:rsid w:val="00636B73"/>
    <w:rsid w:val="006422BF"/>
    <w:rsid w:val="00643A9F"/>
    <w:rsid w:val="00644423"/>
    <w:rsid w:val="00646F30"/>
    <w:rsid w:val="00652462"/>
    <w:rsid w:val="00653877"/>
    <w:rsid w:val="00655255"/>
    <w:rsid w:val="006561E4"/>
    <w:rsid w:val="006620AC"/>
    <w:rsid w:val="006623A9"/>
    <w:rsid w:val="006670E0"/>
    <w:rsid w:val="00674438"/>
    <w:rsid w:val="00675509"/>
    <w:rsid w:val="006841DE"/>
    <w:rsid w:val="0068488B"/>
    <w:rsid w:val="00684F14"/>
    <w:rsid w:val="00685C89"/>
    <w:rsid w:val="00686936"/>
    <w:rsid w:val="0068753D"/>
    <w:rsid w:val="00687DB9"/>
    <w:rsid w:val="00687EF8"/>
    <w:rsid w:val="00693270"/>
    <w:rsid w:val="006955AF"/>
    <w:rsid w:val="006A27D7"/>
    <w:rsid w:val="006A4151"/>
    <w:rsid w:val="006B2D9A"/>
    <w:rsid w:val="006B4D5A"/>
    <w:rsid w:val="006C0F03"/>
    <w:rsid w:val="006C3121"/>
    <w:rsid w:val="006C59F0"/>
    <w:rsid w:val="006D012D"/>
    <w:rsid w:val="006D7703"/>
    <w:rsid w:val="006E05B9"/>
    <w:rsid w:val="006E1D49"/>
    <w:rsid w:val="006E27B7"/>
    <w:rsid w:val="006E2903"/>
    <w:rsid w:val="006E5215"/>
    <w:rsid w:val="006E61C4"/>
    <w:rsid w:val="006E6BBF"/>
    <w:rsid w:val="006F6460"/>
    <w:rsid w:val="00702618"/>
    <w:rsid w:val="00703F6F"/>
    <w:rsid w:val="00704473"/>
    <w:rsid w:val="007146FA"/>
    <w:rsid w:val="00717E38"/>
    <w:rsid w:val="007217BE"/>
    <w:rsid w:val="00724541"/>
    <w:rsid w:val="00724C62"/>
    <w:rsid w:val="007348AC"/>
    <w:rsid w:val="00741934"/>
    <w:rsid w:val="007476CB"/>
    <w:rsid w:val="0075110B"/>
    <w:rsid w:val="0075402C"/>
    <w:rsid w:val="0076076F"/>
    <w:rsid w:val="0076372B"/>
    <w:rsid w:val="0077023E"/>
    <w:rsid w:val="007709EF"/>
    <w:rsid w:val="00772A3F"/>
    <w:rsid w:val="0077570A"/>
    <w:rsid w:val="007757FF"/>
    <w:rsid w:val="0078097A"/>
    <w:rsid w:val="00781646"/>
    <w:rsid w:val="00782466"/>
    <w:rsid w:val="0078578D"/>
    <w:rsid w:val="00785D1B"/>
    <w:rsid w:val="00786A88"/>
    <w:rsid w:val="007918DA"/>
    <w:rsid w:val="00792840"/>
    <w:rsid w:val="00792DC5"/>
    <w:rsid w:val="007932D3"/>
    <w:rsid w:val="00796FCE"/>
    <w:rsid w:val="007A2836"/>
    <w:rsid w:val="007A68BE"/>
    <w:rsid w:val="007B06E4"/>
    <w:rsid w:val="007C6DBB"/>
    <w:rsid w:val="007D1899"/>
    <w:rsid w:val="007D1BAE"/>
    <w:rsid w:val="007D6921"/>
    <w:rsid w:val="007D6A67"/>
    <w:rsid w:val="007E1C49"/>
    <w:rsid w:val="007E209D"/>
    <w:rsid w:val="007E3084"/>
    <w:rsid w:val="007E7462"/>
    <w:rsid w:val="007E7CD1"/>
    <w:rsid w:val="007F04E8"/>
    <w:rsid w:val="007F2CC2"/>
    <w:rsid w:val="007F3449"/>
    <w:rsid w:val="00804BB3"/>
    <w:rsid w:val="00806175"/>
    <w:rsid w:val="008067E1"/>
    <w:rsid w:val="008070E5"/>
    <w:rsid w:val="008077B8"/>
    <w:rsid w:val="008116F7"/>
    <w:rsid w:val="0081444C"/>
    <w:rsid w:val="008209C1"/>
    <w:rsid w:val="00823F12"/>
    <w:rsid w:val="008353F9"/>
    <w:rsid w:val="0083685C"/>
    <w:rsid w:val="00840510"/>
    <w:rsid w:val="00843ED9"/>
    <w:rsid w:val="008440A9"/>
    <w:rsid w:val="00844610"/>
    <w:rsid w:val="008451A8"/>
    <w:rsid w:val="008455A4"/>
    <w:rsid w:val="008462EF"/>
    <w:rsid w:val="00847BAA"/>
    <w:rsid w:val="00850CE3"/>
    <w:rsid w:val="008527E2"/>
    <w:rsid w:val="00852A24"/>
    <w:rsid w:val="0085766A"/>
    <w:rsid w:val="00857CB1"/>
    <w:rsid w:val="00863559"/>
    <w:rsid w:val="00874C7A"/>
    <w:rsid w:val="00877B2C"/>
    <w:rsid w:val="00893F8A"/>
    <w:rsid w:val="008977F4"/>
    <w:rsid w:val="008A005C"/>
    <w:rsid w:val="008A019F"/>
    <w:rsid w:val="008A30AD"/>
    <w:rsid w:val="008A3E6D"/>
    <w:rsid w:val="008A7FA7"/>
    <w:rsid w:val="008B185E"/>
    <w:rsid w:val="008B30B7"/>
    <w:rsid w:val="008B4470"/>
    <w:rsid w:val="008B5295"/>
    <w:rsid w:val="008D0BE9"/>
    <w:rsid w:val="008D17F0"/>
    <w:rsid w:val="008D5FB1"/>
    <w:rsid w:val="008D7D68"/>
    <w:rsid w:val="008F127B"/>
    <w:rsid w:val="008F3C93"/>
    <w:rsid w:val="008F4760"/>
    <w:rsid w:val="008F49DD"/>
    <w:rsid w:val="008F5485"/>
    <w:rsid w:val="008F64EB"/>
    <w:rsid w:val="00901DBB"/>
    <w:rsid w:val="009060B0"/>
    <w:rsid w:val="00907E36"/>
    <w:rsid w:val="00911059"/>
    <w:rsid w:val="0091125D"/>
    <w:rsid w:val="00911393"/>
    <w:rsid w:val="00911471"/>
    <w:rsid w:val="009117E1"/>
    <w:rsid w:val="00916ACC"/>
    <w:rsid w:val="00917166"/>
    <w:rsid w:val="00923F34"/>
    <w:rsid w:val="00926279"/>
    <w:rsid w:val="00927370"/>
    <w:rsid w:val="00927660"/>
    <w:rsid w:val="00930F4B"/>
    <w:rsid w:val="00936452"/>
    <w:rsid w:val="00937470"/>
    <w:rsid w:val="00940C50"/>
    <w:rsid w:val="00940F4A"/>
    <w:rsid w:val="009446F2"/>
    <w:rsid w:val="009460F2"/>
    <w:rsid w:val="009502F0"/>
    <w:rsid w:val="0095141F"/>
    <w:rsid w:val="00951CDF"/>
    <w:rsid w:val="00952933"/>
    <w:rsid w:val="00955655"/>
    <w:rsid w:val="0096052D"/>
    <w:rsid w:val="00960AF3"/>
    <w:rsid w:val="009638C9"/>
    <w:rsid w:val="009665CB"/>
    <w:rsid w:val="0097168F"/>
    <w:rsid w:val="00971C95"/>
    <w:rsid w:val="00973DFC"/>
    <w:rsid w:val="00976E30"/>
    <w:rsid w:val="00977327"/>
    <w:rsid w:val="00982FE6"/>
    <w:rsid w:val="00985AB0"/>
    <w:rsid w:val="0098618B"/>
    <w:rsid w:val="00992BA0"/>
    <w:rsid w:val="00993180"/>
    <w:rsid w:val="00994F92"/>
    <w:rsid w:val="009B1FA1"/>
    <w:rsid w:val="009B700A"/>
    <w:rsid w:val="009C003A"/>
    <w:rsid w:val="009C02F3"/>
    <w:rsid w:val="009C0FCE"/>
    <w:rsid w:val="009C1842"/>
    <w:rsid w:val="009C61F5"/>
    <w:rsid w:val="009D1700"/>
    <w:rsid w:val="009D177D"/>
    <w:rsid w:val="009D249B"/>
    <w:rsid w:val="009D7E23"/>
    <w:rsid w:val="009E3AB3"/>
    <w:rsid w:val="009E7B38"/>
    <w:rsid w:val="009F35F5"/>
    <w:rsid w:val="009F4A26"/>
    <w:rsid w:val="009F5913"/>
    <w:rsid w:val="009F5C21"/>
    <w:rsid w:val="00A01896"/>
    <w:rsid w:val="00A04CA9"/>
    <w:rsid w:val="00A04F40"/>
    <w:rsid w:val="00A05E3A"/>
    <w:rsid w:val="00A06C87"/>
    <w:rsid w:val="00A13820"/>
    <w:rsid w:val="00A278B8"/>
    <w:rsid w:val="00A302C7"/>
    <w:rsid w:val="00A31218"/>
    <w:rsid w:val="00A31294"/>
    <w:rsid w:val="00A31B66"/>
    <w:rsid w:val="00A31C9A"/>
    <w:rsid w:val="00A36C44"/>
    <w:rsid w:val="00A47E06"/>
    <w:rsid w:val="00A50C53"/>
    <w:rsid w:val="00A553CE"/>
    <w:rsid w:val="00A56CDB"/>
    <w:rsid w:val="00A60683"/>
    <w:rsid w:val="00A641BF"/>
    <w:rsid w:val="00A679D9"/>
    <w:rsid w:val="00A72F1F"/>
    <w:rsid w:val="00A75325"/>
    <w:rsid w:val="00A76159"/>
    <w:rsid w:val="00A81B21"/>
    <w:rsid w:val="00A8238A"/>
    <w:rsid w:val="00A8342E"/>
    <w:rsid w:val="00A843DC"/>
    <w:rsid w:val="00A856CE"/>
    <w:rsid w:val="00A87461"/>
    <w:rsid w:val="00A90B86"/>
    <w:rsid w:val="00A943E8"/>
    <w:rsid w:val="00A94CF5"/>
    <w:rsid w:val="00AA0487"/>
    <w:rsid w:val="00AA303E"/>
    <w:rsid w:val="00AA3C9B"/>
    <w:rsid w:val="00AA5B37"/>
    <w:rsid w:val="00AA6F2A"/>
    <w:rsid w:val="00AA79D8"/>
    <w:rsid w:val="00AB0C43"/>
    <w:rsid w:val="00AC09B9"/>
    <w:rsid w:val="00AC16B8"/>
    <w:rsid w:val="00AC25AD"/>
    <w:rsid w:val="00AC6216"/>
    <w:rsid w:val="00AD0371"/>
    <w:rsid w:val="00AD1160"/>
    <w:rsid w:val="00AD50FF"/>
    <w:rsid w:val="00AD71F5"/>
    <w:rsid w:val="00AE30A4"/>
    <w:rsid w:val="00AE3207"/>
    <w:rsid w:val="00AE5EEA"/>
    <w:rsid w:val="00AE729D"/>
    <w:rsid w:val="00AF01C1"/>
    <w:rsid w:val="00AF24D0"/>
    <w:rsid w:val="00AF5D9F"/>
    <w:rsid w:val="00B019BE"/>
    <w:rsid w:val="00B01EC5"/>
    <w:rsid w:val="00B022FD"/>
    <w:rsid w:val="00B04FB3"/>
    <w:rsid w:val="00B07D20"/>
    <w:rsid w:val="00B10154"/>
    <w:rsid w:val="00B1028B"/>
    <w:rsid w:val="00B1155B"/>
    <w:rsid w:val="00B11AB4"/>
    <w:rsid w:val="00B11CDC"/>
    <w:rsid w:val="00B168DB"/>
    <w:rsid w:val="00B27A1F"/>
    <w:rsid w:val="00B3075A"/>
    <w:rsid w:val="00B33064"/>
    <w:rsid w:val="00B36887"/>
    <w:rsid w:val="00B37B70"/>
    <w:rsid w:val="00B44AFF"/>
    <w:rsid w:val="00B4699D"/>
    <w:rsid w:val="00B51B63"/>
    <w:rsid w:val="00B527FB"/>
    <w:rsid w:val="00B52C62"/>
    <w:rsid w:val="00B566A4"/>
    <w:rsid w:val="00B61F39"/>
    <w:rsid w:val="00B655C8"/>
    <w:rsid w:val="00B66CC7"/>
    <w:rsid w:val="00B672A2"/>
    <w:rsid w:val="00B70D9D"/>
    <w:rsid w:val="00B71D2F"/>
    <w:rsid w:val="00B7209B"/>
    <w:rsid w:val="00B771BF"/>
    <w:rsid w:val="00B777AB"/>
    <w:rsid w:val="00B831D9"/>
    <w:rsid w:val="00B85976"/>
    <w:rsid w:val="00B85AD6"/>
    <w:rsid w:val="00B861FD"/>
    <w:rsid w:val="00B864E4"/>
    <w:rsid w:val="00B869F0"/>
    <w:rsid w:val="00B913B5"/>
    <w:rsid w:val="00B91F73"/>
    <w:rsid w:val="00B94BCC"/>
    <w:rsid w:val="00B95426"/>
    <w:rsid w:val="00B96830"/>
    <w:rsid w:val="00B970C5"/>
    <w:rsid w:val="00B973A0"/>
    <w:rsid w:val="00BA3A41"/>
    <w:rsid w:val="00BA5CBD"/>
    <w:rsid w:val="00BB382D"/>
    <w:rsid w:val="00BC0390"/>
    <w:rsid w:val="00BC2AF6"/>
    <w:rsid w:val="00BD1429"/>
    <w:rsid w:val="00BE1050"/>
    <w:rsid w:val="00BE5DA1"/>
    <w:rsid w:val="00BF1759"/>
    <w:rsid w:val="00BF1E01"/>
    <w:rsid w:val="00BF2B35"/>
    <w:rsid w:val="00C0237A"/>
    <w:rsid w:val="00C042E3"/>
    <w:rsid w:val="00C04F16"/>
    <w:rsid w:val="00C05BCD"/>
    <w:rsid w:val="00C10FBD"/>
    <w:rsid w:val="00C12841"/>
    <w:rsid w:val="00C17414"/>
    <w:rsid w:val="00C200AE"/>
    <w:rsid w:val="00C30504"/>
    <w:rsid w:val="00C344C7"/>
    <w:rsid w:val="00C358A4"/>
    <w:rsid w:val="00C4158F"/>
    <w:rsid w:val="00C433E6"/>
    <w:rsid w:val="00C52415"/>
    <w:rsid w:val="00C5257C"/>
    <w:rsid w:val="00C52C8C"/>
    <w:rsid w:val="00C5394E"/>
    <w:rsid w:val="00C541C8"/>
    <w:rsid w:val="00C5777E"/>
    <w:rsid w:val="00C57D61"/>
    <w:rsid w:val="00C645AF"/>
    <w:rsid w:val="00C70DDF"/>
    <w:rsid w:val="00C716A2"/>
    <w:rsid w:val="00C73FD3"/>
    <w:rsid w:val="00C75737"/>
    <w:rsid w:val="00C75CEB"/>
    <w:rsid w:val="00C77000"/>
    <w:rsid w:val="00C77910"/>
    <w:rsid w:val="00C82531"/>
    <w:rsid w:val="00C91AB9"/>
    <w:rsid w:val="00C926EC"/>
    <w:rsid w:val="00C92742"/>
    <w:rsid w:val="00C93342"/>
    <w:rsid w:val="00C9718B"/>
    <w:rsid w:val="00C973F5"/>
    <w:rsid w:val="00CA085A"/>
    <w:rsid w:val="00CA1B35"/>
    <w:rsid w:val="00CA1BE8"/>
    <w:rsid w:val="00CA4707"/>
    <w:rsid w:val="00CB2706"/>
    <w:rsid w:val="00CB2DBF"/>
    <w:rsid w:val="00CB380F"/>
    <w:rsid w:val="00CB5556"/>
    <w:rsid w:val="00CB588E"/>
    <w:rsid w:val="00CB6AD7"/>
    <w:rsid w:val="00CB6D27"/>
    <w:rsid w:val="00CB7F3B"/>
    <w:rsid w:val="00CB7FC1"/>
    <w:rsid w:val="00CC1545"/>
    <w:rsid w:val="00CC1AC6"/>
    <w:rsid w:val="00CC6292"/>
    <w:rsid w:val="00CD2ECF"/>
    <w:rsid w:val="00CD3B3F"/>
    <w:rsid w:val="00CD524A"/>
    <w:rsid w:val="00CD5C41"/>
    <w:rsid w:val="00CD627E"/>
    <w:rsid w:val="00CD664D"/>
    <w:rsid w:val="00CD67EF"/>
    <w:rsid w:val="00CE0465"/>
    <w:rsid w:val="00CE58EA"/>
    <w:rsid w:val="00CF02F1"/>
    <w:rsid w:val="00D01A89"/>
    <w:rsid w:val="00D01BE2"/>
    <w:rsid w:val="00D039F3"/>
    <w:rsid w:val="00D044A1"/>
    <w:rsid w:val="00D136D2"/>
    <w:rsid w:val="00D13ECF"/>
    <w:rsid w:val="00D2209D"/>
    <w:rsid w:val="00D22594"/>
    <w:rsid w:val="00D230A0"/>
    <w:rsid w:val="00D23A37"/>
    <w:rsid w:val="00D2645C"/>
    <w:rsid w:val="00D31AF5"/>
    <w:rsid w:val="00D3398B"/>
    <w:rsid w:val="00D35135"/>
    <w:rsid w:val="00D35755"/>
    <w:rsid w:val="00D3752E"/>
    <w:rsid w:val="00D432C8"/>
    <w:rsid w:val="00D46373"/>
    <w:rsid w:val="00D47DE4"/>
    <w:rsid w:val="00D57C56"/>
    <w:rsid w:val="00D6510B"/>
    <w:rsid w:val="00D66D8E"/>
    <w:rsid w:val="00D706EE"/>
    <w:rsid w:val="00D72216"/>
    <w:rsid w:val="00D745B7"/>
    <w:rsid w:val="00D75554"/>
    <w:rsid w:val="00D92F67"/>
    <w:rsid w:val="00D95874"/>
    <w:rsid w:val="00D976BA"/>
    <w:rsid w:val="00DA08DD"/>
    <w:rsid w:val="00DA4D9D"/>
    <w:rsid w:val="00DA75D5"/>
    <w:rsid w:val="00DC1071"/>
    <w:rsid w:val="00DC144C"/>
    <w:rsid w:val="00DC29AD"/>
    <w:rsid w:val="00DC5643"/>
    <w:rsid w:val="00DD39D7"/>
    <w:rsid w:val="00DD5580"/>
    <w:rsid w:val="00DD5777"/>
    <w:rsid w:val="00DD64BA"/>
    <w:rsid w:val="00DD6F0B"/>
    <w:rsid w:val="00DD7CB3"/>
    <w:rsid w:val="00DE3049"/>
    <w:rsid w:val="00DE6672"/>
    <w:rsid w:val="00DF0E71"/>
    <w:rsid w:val="00DF2A13"/>
    <w:rsid w:val="00DF2F0E"/>
    <w:rsid w:val="00DF5D79"/>
    <w:rsid w:val="00E03646"/>
    <w:rsid w:val="00E07423"/>
    <w:rsid w:val="00E15A47"/>
    <w:rsid w:val="00E17DC1"/>
    <w:rsid w:val="00E20395"/>
    <w:rsid w:val="00E23602"/>
    <w:rsid w:val="00E32FB1"/>
    <w:rsid w:val="00E33728"/>
    <w:rsid w:val="00E355B9"/>
    <w:rsid w:val="00E40A85"/>
    <w:rsid w:val="00E4261F"/>
    <w:rsid w:val="00E42A5D"/>
    <w:rsid w:val="00E4517E"/>
    <w:rsid w:val="00E4742A"/>
    <w:rsid w:val="00E47F46"/>
    <w:rsid w:val="00E5133A"/>
    <w:rsid w:val="00E5333D"/>
    <w:rsid w:val="00E53607"/>
    <w:rsid w:val="00E54369"/>
    <w:rsid w:val="00E55D30"/>
    <w:rsid w:val="00E60421"/>
    <w:rsid w:val="00E60C32"/>
    <w:rsid w:val="00E61F40"/>
    <w:rsid w:val="00E63ACF"/>
    <w:rsid w:val="00E64383"/>
    <w:rsid w:val="00E65804"/>
    <w:rsid w:val="00E65CA2"/>
    <w:rsid w:val="00E71C0E"/>
    <w:rsid w:val="00E73E31"/>
    <w:rsid w:val="00E75E2A"/>
    <w:rsid w:val="00E80400"/>
    <w:rsid w:val="00E82AA4"/>
    <w:rsid w:val="00E868C5"/>
    <w:rsid w:val="00E920E0"/>
    <w:rsid w:val="00E97540"/>
    <w:rsid w:val="00E97B14"/>
    <w:rsid w:val="00EA305E"/>
    <w:rsid w:val="00EA3804"/>
    <w:rsid w:val="00EA6005"/>
    <w:rsid w:val="00EB0037"/>
    <w:rsid w:val="00EB03C4"/>
    <w:rsid w:val="00EB0A6E"/>
    <w:rsid w:val="00EB1FAC"/>
    <w:rsid w:val="00EB79DB"/>
    <w:rsid w:val="00ED39A2"/>
    <w:rsid w:val="00ED4D08"/>
    <w:rsid w:val="00EE1C30"/>
    <w:rsid w:val="00EE53F8"/>
    <w:rsid w:val="00EE58A6"/>
    <w:rsid w:val="00EE7919"/>
    <w:rsid w:val="00EF6066"/>
    <w:rsid w:val="00F027C8"/>
    <w:rsid w:val="00F04BAD"/>
    <w:rsid w:val="00F07131"/>
    <w:rsid w:val="00F0785B"/>
    <w:rsid w:val="00F1219C"/>
    <w:rsid w:val="00F132FE"/>
    <w:rsid w:val="00F25580"/>
    <w:rsid w:val="00F27323"/>
    <w:rsid w:val="00F275A1"/>
    <w:rsid w:val="00F276A9"/>
    <w:rsid w:val="00F33972"/>
    <w:rsid w:val="00F36761"/>
    <w:rsid w:val="00F42E27"/>
    <w:rsid w:val="00F4584E"/>
    <w:rsid w:val="00F51E30"/>
    <w:rsid w:val="00F526D3"/>
    <w:rsid w:val="00F54BA0"/>
    <w:rsid w:val="00F55FEE"/>
    <w:rsid w:val="00F57188"/>
    <w:rsid w:val="00F57BE0"/>
    <w:rsid w:val="00F6163F"/>
    <w:rsid w:val="00F61754"/>
    <w:rsid w:val="00F70DB9"/>
    <w:rsid w:val="00F71DE0"/>
    <w:rsid w:val="00F72D7E"/>
    <w:rsid w:val="00F747FE"/>
    <w:rsid w:val="00F74821"/>
    <w:rsid w:val="00F8563D"/>
    <w:rsid w:val="00F85D63"/>
    <w:rsid w:val="00F922EE"/>
    <w:rsid w:val="00F92EC7"/>
    <w:rsid w:val="00F93265"/>
    <w:rsid w:val="00FA5A09"/>
    <w:rsid w:val="00FB097C"/>
    <w:rsid w:val="00FB4324"/>
    <w:rsid w:val="00FC3307"/>
    <w:rsid w:val="00FC5C91"/>
    <w:rsid w:val="00FD05CC"/>
    <w:rsid w:val="00FD33F6"/>
    <w:rsid w:val="00FD4028"/>
    <w:rsid w:val="00FD48EF"/>
    <w:rsid w:val="00FD4E33"/>
    <w:rsid w:val="00FD648A"/>
    <w:rsid w:val="00FE0EFE"/>
    <w:rsid w:val="00FE2826"/>
    <w:rsid w:val="00FE443D"/>
    <w:rsid w:val="00FF1609"/>
    <w:rsid w:val="00FF1CB0"/>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BA"/>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887766094">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43982779">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FD6B-D763-41CE-9EE5-51BB066D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4990</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Amgalan Battulga</cp:lastModifiedBy>
  <cp:revision>38</cp:revision>
  <cp:lastPrinted>2024-10-29T00:32:00Z</cp:lastPrinted>
  <dcterms:created xsi:type="dcterms:W3CDTF">2024-10-23T07:03:00Z</dcterms:created>
  <dcterms:modified xsi:type="dcterms:W3CDTF">2024-12-26T08:34:00Z</dcterms:modified>
</cp:coreProperties>
</file>