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A4E07" w14:textId="147D5294" w:rsidR="00EA5E79" w:rsidRPr="00543AF3" w:rsidRDefault="00ED40D1" w:rsidP="00ED40D1">
      <w:pPr>
        <w:spacing w:line="257" w:lineRule="auto"/>
        <w:jc w:val="center"/>
        <w:rPr>
          <w:rFonts w:ascii="Arial" w:hAnsi="Arial" w:cs="Arial"/>
          <w:lang w:val="mn-MN"/>
        </w:rPr>
      </w:pPr>
      <w:r w:rsidRPr="00543AF3">
        <w:rPr>
          <w:rFonts w:ascii="Arial" w:eastAsia="Arial" w:hAnsi="Arial" w:cs="Arial"/>
          <w:b/>
          <w:bCs/>
          <w:lang w:val="mn"/>
        </w:rPr>
        <w:t>М</w:t>
      </w:r>
      <w:r w:rsidRPr="00543AF3">
        <w:rPr>
          <w:rFonts w:ascii="Arial" w:eastAsia="Arial" w:hAnsi="Arial" w:cs="Arial"/>
          <w:b/>
          <w:bCs/>
          <w:lang w:val="mn-MN"/>
        </w:rPr>
        <w:t xml:space="preserve">АЛЫН ИНДЕКСЖҮҮЛСЭН ДААТГАЛЫН ТУХАЙ ХУУЛЬД НЭМЭЛТ, ӨӨРЧЛӨЛТ ОРУУЛАХ ТУХАЙ </w:t>
      </w:r>
      <w:r w:rsidRPr="00543AF3">
        <w:rPr>
          <w:rFonts w:ascii="Arial" w:eastAsia="Arial" w:hAnsi="Arial" w:cs="Arial"/>
          <w:b/>
          <w:bCs/>
          <w:lang w:val="mn"/>
        </w:rPr>
        <w:t xml:space="preserve">ХУУЛИЙН ТӨСЛИЙГ ХЭРЭГЖҮҮЛЭХТЭЙ ХОЛБОГДОН ГАРАХ ЗАРДЛЫН </w:t>
      </w:r>
      <w:r w:rsidRPr="00543AF3">
        <w:rPr>
          <w:rFonts w:ascii="Arial" w:eastAsia="Arial" w:hAnsi="Arial" w:cs="Arial"/>
          <w:b/>
          <w:bCs/>
          <w:lang w:val="mn-MN"/>
        </w:rPr>
        <w:t>ТООЦОО</w:t>
      </w:r>
      <w:r w:rsidR="540A0BB6" w:rsidRPr="00543AF3">
        <w:rPr>
          <w:rFonts w:ascii="Arial" w:eastAsia="Arial" w:hAnsi="Arial" w:cs="Arial"/>
          <w:lang w:val="mn"/>
        </w:rPr>
        <w:t xml:space="preserve">                                                    </w:t>
      </w:r>
    </w:p>
    <w:p w14:paraId="02DCA622" w14:textId="5DD73C6F" w:rsidR="00EA5E79" w:rsidRPr="00543AF3" w:rsidRDefault="540A0BB6" w:rsidP="43CF1FC7">
      <w:pPr>
        <w:pStyle w:val="ListParagraph"/>
        <w:numPr>
          <w:ilvl w:val="0"/>
          <w:numId w:val="3"/>
        </w:numPr>
        <w:spacing w:after="0" w:line="257" w:lineRule="auto"/>
        <w:jc w:val="both"/>
        <w:rPr>
          <w:rFonts w:ascii="Arial" w:eastAsia="Arial" w:hAnsi="Arial" w:cs="Arial"/>
          <w:b/>
          <w:bCs/>
          <w:lang w:val="mn"/>
        </w:rPr>
      </w:pPr>
      <w:r w:rsidRPr="00543AF3">
        <w:rPr>
          <w:rFonts w:ascii="Arial" w:eastAsia="Arial" w:hAnsi="Arial" w:cs="Arial"/>
          <w:b/>
          <w:bCs/>
          <w:lang w:val="mn"/>
        </w:rPr>
        <w:t>Ерөнхий зүйл</w:t>
      </w:r>
    </w:p>
    <w:p w14:paraId="3BCD6980" w14:textId="2F39C01D" w:rsidR="38ED8F1A" w:rsidRPr="00543AF3" w:rsidRDefault="38ED8F1A" w:rsidP="38ED8F1A">
      <w:pPr>
        <w:pStyle w:val="ListParagraph"/>
        <w:spacing w:after="0" w:line="257" w:lineRule="auto"/>
        <w:ind w:hanging="360"/>
        <w:jc w:val="both"/>
        <w:rPr>
          <w:rFonts w:ascii="Arial" w:eastAsia="Arial" w:hAnsi="Arial" w:cs="Arial"/>
          <w:b/>
          <w:bCs/>
          <w:lang w:val="mn"/>
        </w:rPr>
      </w:pPr>
    </w:p>
    <w:p w14:paraId="4FB7CDBC" w14:textId="088952CF" w:rsidR="00EA5E79" w:rsidRPr="00543AF3" w:rsidRDefault="540A0BB6" w:rsidP="00954C31">
      <w:pPr>
        <w:spacing w:line="257" w:lineRule="auto"/>
        <w:ind w:firstLine="720"/>
        <w:jc w:val="both"/>
        <w:rPr>
          <w:rFonts w:ascii="Arial" w:hAnsi="Arial" w:cs="Arial"/>
        </w:rPr>
      </w:pPr>
      <w:r w:rsidRPr="00543AF3">
        <w:rPr>
          <w:rFonts w:ascii="Arial" w:eastAsia="Arial" w:hAnsi="Arial" w:cs="Arial"/>
          <w:lang w:val="mn"/>
        </w:rPr>
        <w:t>Малын индексжүүлсэн даатгал /МИД/-ын тухай хуульд өөрчлөлт оруулах хуулийн төслийг /цаашид “хуулийн төсөл” гэх/ хэрэгжүүлэхтэй холбогдон гарах зардлын тооцоог Засгийн газрын 2016 оны 59 дүгээр тогтоолын 4 дүгээр хавсралтаар батлагдсан “Хууль тогтоомжийг хэрэгжүүлэхтэй холбогдон гарах зардлын тооцоог хийх аргачлал”-д /цаашид “Аргачлал” гэх/ заасны дагуу дараах төрөл тус бүрээр тооцлоо. Үүнд:</w:t>
      </w:r>
    </w:p>
    <w:p w14:paraId="6990B76D" w14:textId="24193523" w:rsidR="00EA5E79" w:rsidRPr="00543AF3" w:rsidRDefault="540A0BB6" w:rsidP="43CF1FC7">
      <w:pPr>
        <w:pStyle w:val="ListParagraph"/>
        <w:numPr>
          <w:ilvl w:val="0"/>
          <w:numId w:val="2"/>
        </w:numPr>
        <w:spacing w:after="0" w:line="257" w:lineRule="auto"/>
        <w:jc w:val="both"/>
        <w:rPr>
          <w:rFonts w:ascii="Arial" w:eastAsia="Arial" w:hAnsi="Arial" w:cs="Arial"/>
          <w:lang w:val="mn"/>
        </w:rPr>
      </w:pPr>
      <w:r w:rsidRPr="00543AF3">
        <w:rPr>
          <w:rFonts w:ascii="Arial" w:eastAsia="Arial" w:hAnsi="Arial" w:cs="Arial"/>
          <w:lang w:val="mn"/>
        </w:rPr>
        <w:t>Хуулийн этгээдийн зардал</w:t>
      </w:r>
    </w:p>
    <w:p w14:paraId="1F42E71A" w14:textId="77777777" w:rsidR="00954C31" w:rsidRPr="00543AF3" w:rsidRDefault="00954C31" w:rsidP="00954C31">
      <w:pPr>
        <w:pStyle w:val="ListParagraph"/>
        <w:numPr>
          <w:ilvl w:val="0"/>
          <w:numId w:val="3"/>
        </w:numPr>
        <w:spacing w:after="0" w:line="257" w:lineRule="auto"/>
        <w:jc w:val="both"/>
        <w:rPr>
          <w:rFonts w:ascii="Arial" w:eastAsia="Arial" w:hAnsi="Arial" w:cs="Arial"/>
          <w:lang w:val="mn"/>
        </w:rPr>
      </w:pPr>
      <w:r w:rsidRPr="00543AF3">
        <w:rPr>
          <w:rFonts w:ascii="Arial" w:eastAsia="Arial" w:hAnsi="Arial" w:cs="Arial"/>
          <w:lang w:val="mn"/>
        </w:rPr>
        <w:t>Иргэнд үүсэх зардал</w:t>
      </w:r>
    </w:p>
    <w:p w14:paraId="32242C06" w14:textId="77777777" w:rsidR="00954C31" w:rsidRPr="00543AF3" w:rsidRDefault="00954C31" w:rsidP="00954C31">
      <w:pPr>
        <w:spacing w:after="0" w:line="257" w:lineRule="auto"/>
        <w:ind w:firstLine="360"/>
        <w:jc w:val="both"/>
        <w:rPr>
          <w:rFonts w:ascii="Arial" w:eastAsia="Arial" w:hAnsi="Arial" w:cs="Arial"/>
        </w:rPr>
      </w:pPr>
    </w:p>
    <w:p w14:paraId="406B88BE" w14:textId="64A89334" w:rsidR="00EA5E79" w:rsidRPr="00543AF3" w:rsidRDefault="540A0BB6" w:rsidP="00954C31">
      <w:pPr>
        <w:spacing w:line="257" w:lineRule="auto"/>
        <w:ind w:firstLine="720"/>
        <w:jc w:val="both"/>
        <w:rPr>
          <w:rFonts w:ascii="Arial" w:hAnsi="Arial" w:cs="Arial"/>
        </w:rPr>
      </w:pPr>
      <w:r w:rsidRPr="00543AF3">
        <w:rPr>
          <w:rFonts w:ascii="Arial" w:eastAsia="Arial" w:hAnsi="Arial" w:cs="Arial"/>
          <w:lang w:val="mn"/>
        </w:rPr>
        <w:t xml:space="preserve">Тус хуулийн төслийг хэрэгжүүлэхтэй холбогдон төрийн байгууллагаас гарах зардал байхгүй тул тооцоогүй болно. </w:t>
      </w:r>
    </w:p>
    <w:p w14:paraId="72731454" w14:textId="00E617E3" w:rsidR="38ED8F1A" w:rsidRPr="00543AF3" w:rsidRDefault="38ED8F1A" w:rsidP="38ED8F1A">
      <w:pPr>
        <w:pStyle w:val="ListParagraph"/>
        <w:spacing w:after="0" w:line="257" w:lineRule="auto"/>
        <w:ind w:hanging="360"/>
        <w:jc w:val="both"/>
        <w:rPr>
          <w:rFonts w:ascii="Arial" w:eastAsia="Arial" w:hAnsi="Arial" w:cs="Arial"/>
          <w:lang w:val="mn"/>
        </w:rPr>
      </w:pPr>
    </w:p>
    <w:p w14:paraId="6B1BDABA" w14:textId="3BC6B29C" w:rsidR="00EA5E79" w:rsidRPr="00543AF3" w:rsidRDefault="540A0BB6" w:rsidP="43CF1FC7">
      <w:pPr>
        <w:spacing w:after="0"/>
        <w:ind w:firstLine="720"/>
        <w:jc w:val="both"/>
        <w:rPr>
          <w:rFonts w:ascii="Arial" w:hAnsi="Arial" w:cs="Arial"/>
        </w:rPr>
      </w:pPr>
      <w:r w:rsidRPr="00543AF3">
        <w:rPr>
          <w:rFonts w:ascii="Arial" w:eastAsia="Arial" w:hAnsi="Arial" w:cs="Arial"/>
          <w:lang w:val="mn"/>
        </w:rPr>
        <w:t>Хууль тогтоомжийн тухай хуулийн 29.3-т “</w:t>
      </w:r>
      <w:r w:rsidRPr="00543AF3">
        <w:rPr>
          <w:rFonts w:ascii="Arial" w:eastAsia="Arial" w:hAnsi="Arial" w:cs="Arial"/>
          <w:color w:val="333333"/>
          <w:lang w:val="mn"/>
        </w:rPr>
        <w:t>Шаардлагатай тохиолдолд бусад хуульд нэмэлт, өөрчлөлт оруулах болон хууль хүчингүй болсонд тооцох тухай дагалдах хуулийн төслийг боловсруулна.</w:t>
      </w:r>
      <w:r w:rsidRPr="00543AF3">
        <w:rPr>
          <w:rFonts w:ascii="Arial" w:eastAsia="Arial" w:hAnsi="Arial" w:cs="Arial"/>
          <w:lang w:val="mn"/>
        </w:rPr>
        <w:t>” гэж заасны дагуу “Малчны тухай хууль”-д “12.3.5-д Малын индексжүүлсэн даатгалд хамрагдсан байх.” гэсэн нэмэлт зохицуулалт орж байгаатай холбогдуулан иргэнд үүсэх зардлыг дараах байдлаар тооцооллоо.</w:t>
      </w:r>
    </w:p>
    <w:p w14:paraId="41B2BF30" w14:textId="1C8B29F6" w:rsidR="00EA5E79" w:rsidRPr="00543AF3" w:rsidRDefault="540A0BB6" w:rsidP="43CF1FC7">
      <w:pPr>
        <w:spacing w:line="257" w:lineRule="auto"/>
        <w:ind w:firstLine="720"/>
        <w:jc w:val="both"/>
        <w:rPr>
          <w:rFonts w:ascii="Arial" w:hAnsi="Arial" w:cs="Arial"/>
        </w:rPr>
      </w:pPr>
      <w:r w:rsidRPr="00543AF3">
        <w:rPr>
          <w:rFonts w:ascii="Arial" w:eastAsia="Arial" w:hAnsi="Arial" w:cs="Arial"/>
          <w:lang w:val="mn"/>
        </w:rPr>
        <w:t>Нэг иргэнд учрах зардлын хэмжээг тооцоолохдоо</w:t>
      </w:r>
      <w:r w:rsidR="00954C31" w:rsidRPr="00543AF3">
        <w:rPr>
          <w:rFonts w:ascii="Arial" w:eastAsia="Arial" w:hAnsi="Arial" w:cs="Arial"/>
          <w:lang w:val="mn-MN"/>
        </w:rPr>
        <w:t xml:space="preserve"> </w:t>
      </w:r>
      <w:r w:rsidRPr="00543AF3">
        <w:rPr>
          <w:rFonts w:ascii="Arial" w:eastAsia="Arial" w:hAnsi="Arial" w:cs="Arial"/>
          <w:lang w:val="mn"/>
        </w:rPr>
        <w:t>жишээ</w:t>
      </w:r>
      <w:r w:rsidR="00954C31" w:rsidRPr="00543AF3">
        <w:rPr>
          <w:rFonts w:ascii="Arial" w:eastAsia="Arial" w:hAnsi="Arial" w:cs="Arial"/>
          <w:lang w:val="mn-MN"/>
        </w:rPr>
        <w:t xml:space="preserve"> </w:t>
      </w:r>
      <w:r w:rsidRPr="00543AF3">
        <w:rPr>
          <w:rFonts w:ascii="Arial" w:eastAsia="Arial" w:hAnsi="Arial" w:cs="Arial"/>
          <w:lang w:val="mn"/>
        </w:rPr>
        <w:t>болгон</w:t>
      </w:r>
      <w:r w:rsidR="00954C31" w:rsidRPr="00543AF3">
        <w:rPr>
          <w:rFonts w:ascii="Arial" w:eastAsia="Arial" w:hAnsi="Arial" w:cs="Arial"/>
          <w:lang w:val="mn-MN"/>
        </w:rPr>
        <w:t xml:space="preserve"> </w:t>
      </w:r>
      <w:r w:rsidRPr="00543AF3">
        <w:rPr>
          <w:rFonts w:ascii="Arial" w:eastAsia="Arial" w:hAnsi="Arial" w:cs="Arial"/>
          <w:lang w:val="mn"/>
        </w:rPr>
        <w:t>малын индексжүүлсэн даатгалд даатгуулаагүй болон даатгуулсан тооцооллыг хий</w:t>
      </w:r>
      <w:r w:rsidR="00954C31" w:rsidRPr="00543AF3">
        <w:rPr>
          <w:rFonts w:ascii="Arial" w:eastAsia="Arial" w:hAnsi="Arial" w:cs="Arial"/>
          <w:lang w:val="mn-MN"/>
        </w:rPr>
        <w:t>сэн</w:t>
      </w:r>
      <w:r w:rsidRPr="00543AF3">
        <w:rPr>
          <w:rFonts w:ascii="Arial" w:eastAsia="Arial" w:hAnsi="Arial" w:cs="Arial"/>
          <w:lang w:val="mn"/>
        </w:rPr>
        <w:t xml:space="preserve">. </w:t>
      </w:r>
    </w:p>
    <w:p w14:paraId="7013B308" w14:textId="0023632F" w:rsidR="00EA5E79" w:rsidRPr="00543AF3" w:rsidRDefault="540A0BB6" w:rsidP="43CF1FC7">
      <w:pPr>
        <w:spacing w:line="257" w:lineRule="auto"/>
        <w:ind w:firstLine="720"/>
        <w:jc w:val="both"/>
        <w:rPr>
          <w:rFonts w:ascii="Arial" w:hAnsi="Arial" w:cs="Arial"/>
        </w:rPr>
      </w:pPr>
      <w:r w:rsidRPr="00543AF3">
        <w:rPr>
          <w:rFonts w:ascii="Arial" w:eastAsia="Arial" w:hAnsi="Arial" w:cs="Arial"/>
          <w:lang w:val="mn"/>
        </w:rPr>
        <w:t>Тооцооллыг хийхдээ 2023-2024 оны нэг малчны төлдөг дундаж хураамжийн дүнг үндэслэн тооцоол</w:t>
      </w:r>
      <w:r w:rsidR="00954C31" w:rsidRPr="00543AF3">
        <w:rPr>
          <w:rFonts w:ascii="Arial" w:eastAsia="Arial" w:hAnsi="Arial" w:cs="Arial"/>
          <w:lang w:val="mn-MN" w:bidi="mn"/>
        </w:rPr>
        <w:t>сон ба м</w:t>
      </w:r>
      <w:r w:rsidRPr="00543AF3">
        <w:rPr>
          <w:rFonts w:ascii="Arial" w:eastAsia="Arial" w:hAnsi="Arial" w:cs="Arial"/>
          <w:lang w:val="mn"/>
        </w:rPr>
        <w:t xml:space="preserve">алчинд олгох нөхөн төлбөрийг тооцоолохдоо 2024 оны Үндэсний статистикийн хорооны хагас жилийн мал тооллогын дүн мэдээнд үндэслэн нөхөн төлбөрийг тооцоолсон болно. </w:t>
      </w:r>
    </w:p>
    <w:p w14:paraId="0290977E" w14:textId="47A5F0E9" w:rsidR="00EA5E79" w:rsidRPr="00543AF3" w:rsidRDefault="540A0BB6" w:rsidP="43CF1FC7">
      <w:pPr>
        <w:spacing w:line="257" w:lineRule="auto"/>
        <w:ind w:firstLine="720"/>
        <w:jc w:val="both"/>
        <w:rPr>
          <w:rFonts w:ascii="Arial" w:hAnsi="Arial" w:cs="Arial"/>
        </w:rPr>
      </w:pPr>
      <w:r w:rsidRPr="00543AF3">
        <w:rPr>
          <w:rFonts w:ascii="Arial" w:eastAsia="Arial" w:hAnsi="Arial" w:cs="Arial"/>
          <w:lang w:val="mn"/>
        </w:rPr>
        <w:t xml:space="preserve">Сүхбаатар аймгийн Баруун-Урт сумын малчин А нь “Малын индексжүүлсэн даатгал”-д 5 төрлийн малаа доорх байдлаар даатгуулсан.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600"/>
        <w:gridCol w:w="1170"/>
        <w:gridCol w:w="1440"/>
        <w:gridCol w:w="1350"/>
        <w:gridCol w:w="2250"/>
      </w:tblGrid>
      <w:tr w:rsidR="00954C31" w:rsidRPr="00543AF3" w14:paraId="10CF3FA6" w14:textId="77777777" w:rsidTr="00ED40D1">
        <w:trPr>
          <w:trHeight w:val="285"/>
        </w:trPr>
        <w:tc>
          <w:tcPr>
            <w:tcW w:w="1545" w:type="dxa"/>
            <w:shd w:val="clear" w:color="auto" w:fill="auto"/>
            <w:tcMar>
              <w:left w:w="108" w:type="dxa"/>
              <w:right w:w="108" w:type="dxa"/>
            </w:tcMar>
          </w:tcPr>
          <w:p w14:paraId="0647FC3A" w14:textId="5F6E623F" w:rsidR="43CF1FC7" w:rsidRPr="00543AF3" w:rsidRDefault="43CF1FC7" w:rsidP="43CF1FC7">
            <w:pPr>
              <w:jc w:val="center"/>
              <w:rPr>
                <w:rFonts w:ascii="Arial" w:hAnsi="Arial" w:cs="Arial"/>
                <w:b/>
                <w:bCs/>
              </w:rPr>
            </w:pPr>
            <w:r w:rsidRPr="00543AF3">
              <w:rPr>
                <w:rFonts w:ascii="Arial" w:eastAsia="Arial" w:hAnsi="Arial" w:cs="Arial"/>
                <w:b/>
                <w:bCs/>
              </w:rPr>
              <w:t xml:space="preserve"> </w:t>
            </w:r>
            <w:proofErr w:type="spellStart"/>
            <w:r w:rsidR="00ED40D1" w:rsidRPr="00543AF3">
              <w:rPr>
                <w:rFonts w:ascii="Arial" w:eastAsia="Arial" w:hAnsi="Arial" w:cs="Arial"/>
                <w:b/>
                <w:bCs/>
              </w:rPr>
              <w:t>Үзүүлэлт</w:t>
            </w:r>
            <w:proofErr w:type="spellEnd"/>
          </w:p>
        </w:tc>
        <w:tc>
          <w:tcPr>
            <w:tcW w:w="1600" w:type="dxa"/>
            <w:shd w:val="clear" w:color="auto" w:fill="auto"/>
            <w:tcMar>
              <w:left w:w="108" w:type="dxa"/>
              <w:right w:w="108" w:type="dxa"/>
            </w:tcMar>
            <w:vAlign w:val="center"/>
          </w:tcPr>
          <w:p w14:paraId="176E6BE4" w14:textId="0B406EA7" w:rsidR="43CF1FC7" w:rsidRPr="00543AF3" w:rsidRDefault="43CF1FC7" w:rsidP="43CF1FC7">
            <w:pPr>
              <w:jc w:val="center"/>
              <w:rPr>
                <w:rFonts w:ascii="Arial" w:hAnsi="Arial" w:cs="Arial"/>
                <w:b/>
                <w:bCs/>
              </w:rPr>
            </w:pPr>
            <w:proofErr w:type="spellStart"/>
            <w:r w:rsidRPr="00543AF3">
              <w:rPr>
                <w:rFonts w:ascii="Arial" w:eastAsia="Arial" w:hAnsi="Arial" w:cs="Arial"/>
                <w:b/>
                <w:bCs/>
              </w:rPr>
              <w:t>Хонь</w:t>
            </w:r>
            <w:proofErr w:type="spellEnd"/>
          </w:p>
        </w:tc>
        <w:tc>
          <w:tcPr>
            <w:tcW w:w="1170" w:type="dxa"/>
            <w:shd w:val="clear" w:color="auto" w:fill="auto"/>
            <w:tcMar>
              <w:left w:w="108" w:type="dxa"/>
              <w:right w:w="108" w:type="dxa"/>
            </w:tcMar>
            <w:vAlign w:val="center"/>
          </w:tcPr>
          <w:p w14:paraId="0B4E952E" w14:textId="6D968BC9" w:rsidR="43CF1FC7" w:rsidRPr="00543AF3" w:rsidRDefault="43CF1FC7" w:rsidP="43CF1FC7">
            <w:pPr>
              <w:jc w:val="center"/>
              <w:rPr>
                <w:rFonts w:ascii="Arial" w:hAnsi="Arial" w:cs="Arial"/>
                <w:b/>
                <w:bCs/>
              </w:rPr>
            </w:pPr>
            <w:proofErr w:type="spellStart"/>
            <w:r w:rsidRPr="00543AF3">
              <w:rPr>
                <w:rFonts w:ascii="Arial" w:eastAsia="Arial" w:hAnsi="Arial" w:cs="Arial"/>
                <w:b/>
                <w:bCs/>
              </w:rPr>
              <w:t>Ямаа</w:t>
            </w:r>
            <w:proofErr w:type="spellEnd"/>
          </w:p>
        </w:tc>
        <w:tc>
          <w:tcPr>
            <w:tcW w:w="1440" w:type="dxa"/>
            <w:shd w:val="clear" w:color="auto" w:fill="auto"/>
            <w:tcMar>
              <w:left w:w="108" w:type="dxa"/>
              <w:right w:w="108" w:type="dxa"/>
            </w:tcMar>
            <w:vAlign w:val="center"/>
          </w:tcPr>
          <w:p w14:paraId="39C26804" w14:textId="1107B6C1" w:rsidR="43CF1FC7" w:rsidRPr="00543AF3" w:rsidRDefault="43CF1FC7" w:rsidP="43CF1FC7">
            <w:pPr>
              <w:jc w:val="center"/>
              <w:rPr>
                <w:rFonts w:ascii="Arial" w:hAnsi="Arial" w:cs="Arial"/>
                <w:b/>
                <w:bCs/>
              </w:rPr>
            </w:pPr>
            <w:proofErr w:type="spellStart"/>
            <w:r w:rsidRPr="00543AF3">
              <w:rPr>
                <w:rFonts w:ascii="Arial" w:eastAsia="Arial" w:hAnsi="Arial" w:cs="Arial"/>
                <w:b/>
                <w:bCs/>
              </w:rPr>
              <w:t>Үхэр</w:t>
            </w:r>
            <w:proofErr w:type="spellEnd"/>
          </w:p>
        </w:tc>
        <w:tc>
          <w:tcPr>
            <w:tcW w:w="1350" w:type="dxa"/>
            <w:shd w:val="clear" w:color="auto" w:fill="auto"/>
            <w:tcMar>
              <w:left w:w="108" w:type="dxa"/>
              <w:right w:w="108" w:type="dxa"/>
            </w:tcMar>
            <w:vAlign w:val="center"/>
          </w:tcPr>
          <w:p w14:paraId="7D875BE6" w14:textId="512814FA" w:rsidR="43CF1FC7" w:rsidRPr="00543AF3" w:rsidRDefault="43CF1FC7" w:rsidP="43CF1FC7">
            <w:pPr>
              <w:jc w:val="center"/>
              <w:rPr>
                <w:rFonts w:ascii="Arial" w:hAnsi="Arial" w:cs="Arial"/>
                <w:b/>
                <w:bCs/>
              </w:rPr>
            </w:pPr>
            <w:proofErr w:type="spellStart"/>
            <w:r w:rsidRPr="00543AF3">
              <w:rPr>
                <w:rFonts w:ascii="Arial" w:eastAsia="Arial" w:hAnsi="Arial" w:cs="Arial"/>
                <w:b/>
                <w:bCs/>
              </w:rPr>
              <w:t>Адуу</w:t>
            </w:r>
            <w:proofErr w:type="spellEnd"/>
          </w:p>
        </w:tc>
        <w:tc>
          <w:tcPr>
            <w:tcW w:w="2250" w:type="dxa"/>
            <w:shd w:val="clear" w:color="auto" w:fill="auto"/>
            <w:tcMar>
              <w:left w:w="108" w:type="dxa"/>
              <w:right w:w="108" w:type="dxa"/>
            </w:tcMar>
            <w:vAlign w:val="center"/>
          </w:tcPr>
          <w:p w14:paraId="527B999C" w14:textId="7B444D03" w:rsidR="43CF1FC7" w:rsidRPr="00543AF3" w:rsidRDefault="43CF1FC7" w:rsidP="43CF1FC7">
            <w:pPr>
              <w:jc w:val="center"/>
              <w:rPr>
                <w:rFonts w:ascii="Arial" w:hAnsi="Arial" w:cs="Arial"/>
                <w:b/>
                <w:bCs/>
              </w:rPr>
            </w:pPr>
            <w:proofErr w:type="spellStart"/>
            <w:r w:rsidRPr="00543AF3">
              <w:rPr>
                <w:rFonts w:ascii="Arial" w:eastAsia="Arial" w:hAnsi="Arial" w:cs="Arial"/>
                <w:b/>
                <w:bCs/>
              </w:rPr>
              <w:t>Нийт</w:t>
            </w:r>
            <w:proofErr w:type="spellEnd"/>
          </w:p>
        </w:tc>
      </w:tr>
      <w:tr w:rsidR="00954C31" w:rsidRPr="00543AF3" w14:paraId="4A175566" w14:textId="77777777" w:rsidTr="00ED40D1">
        <w:trPr>
          <w:trHeight w:val="285"/>
        </w:trPr>
        <w:tc>
          <w:tcPr>
            <w:tcW w:w="1545" w:type="dxa"/>
            <w:shd w:val="clear" w:color="auto" w:fill="auto"/>
            <w:tcMar>
              <w:left w:w="108" w:type="dxa"/>
              <w:right w:w="108" w:type="dxa"/>
            </w:tcMar>
          </w:tcPr>
          <w:p w14:paraId="1ACBB375" w14:textId="74EE457C" w:rsidR="43CF1FC7" w:rsidRPr="00543AF3" w:rsidRDefault="43CF1FC7" w:rsidP="43CF1FC7">
            <w:pPr>
              <w:jc w:val="center"/>
              <w:rPr>
                <w:rFonts w:ascii="Arial" w:hAnsi="Arial" w:cs="Arial"/>
              </w:rPr>
            </w:pPr>
            <w:r w:rsidRPr="00543AF3">
              <w:rPr>
                <w:rFonts w:ascii="Arial" w:eastAsia="Arial" w:hAnsi="Arial" w:cs="Arial"/>
                <w:lang w:val="mn"/>
              </w:rPr>
              <w:t>Малын тоо</w:t>
            </w:r>
          </w:p>
        </w:tc>
        <w:tc>
          <w:tcPr>
            <w:tcW w:w="1600" w:type="dxa"/>
            <w:shd w:val="clear" w:color="auto" w:fill="auto"/>
            <w:tcMar>
              <w:left w:w="108" w:type="dxa"/>
              <w:right w:w="108" w:type="dxa"/>
            </w:tcMar>
            <w:vAlign w:val="bottom"/>
          </w:tcPr>
          <w:p w14:paraId="456C5A47" w14:textId="3C12318A" w:rsidR="43CF1FC7" w:rsidRPr="00543AF3" w:rsidRDefault="43CF1FC7" w:rsidP="43CF1FC7">
            <w:pPr>
              <w:jc w:val="center"/>
              <w:rPr>
                <w:rFonts w:ascii="Arial" w:hAnsi="Arial" w:cs="Arial"/>
              </w:rPr>
            </w:pPr>
            <w:r w:rsidRPr="00543AF3">
              <w:rPr>
                <w:rFonts w:ascii="Arial" w:eastAsia="Arial" w:hAnsi="Arial" w:cs="Arial"/>
                <w:lang w:val="mn"/>
              </w:rPr>
              <w:t>161</w:t>
            </w:r>
          </w:p>
        </w:tc>
        <w:tc>
          <w:tcPr>
            <w:tcW w:w="1170" w:type="dxa"/>
            <w:shd w:val="clear" w:color="auto" w:fill="auto"/>
            <w:tcMar>
              <w:left w:w="108" w:type="dxa"/>
              <w:right w:w="108" w:type="dxa"/>
            </w:tcMar>
            <w:vAlign w:val="bottom"/>
          </w:tcPr>
          <w:p w14:paraId="7D996449" w14:textId="2BFC0B52" w:rsidR="43CF1FC7" w:rsidRPr="00543AF3" w:rsidRDefault="43CF1FC7" w:rsidP="43CF1FC7">
            <w:pPr>
              <w:jc w:val="center"/>
              <w:rPr>
                <w:rFonts w:ascii="Arial" w:hAnsi="Arial" w:cs="Arial"/>
              </w:rPr>
            </w:pPr>
            <w:r w:rsidRPr="00543AF3">
              <w:rPr>
                <w:rFonts w:ascii="Arial" w:eastAsia="Arial" w:hAnsi="Arial" w:cs="Arial"/>
                <w:lang w:val="mn"/>
              </w:rPr>
              <w:t>154</w:t>
            </w:r>
          </w:p>
        </w:tc>
        <w:tc>
          <w:tcPr>
            <w:tcW w:w="1440" w:type="dxa"/>
            <w:shd w:val="clear" w:color="auto" w:fill="auto"/>
            <w:tcMar>
              <w:left w:w="108" w:type="dxa"/>
              <w:right w:w="108" w:type="dxa"/>
            </w:tcMar>
            <w:vAlign w:val="bottom"/>
          </w:tcPr>
          <w:p w14:paraId="24C3A17F" w14:textId="3BD54552" w:rsidR="43CF1FC7" w:rsidRPr="00543AF3" w:rsidRDefault="43CF1FC7" w:rsidP="43CF1FC7">
            <w:pPr>
              <w:jc w:val="center"/>
              <w:rPr>
                <w:rFonts w:ascii="Arial" w:hAnsi="Arial" w:cs="Arial"/>
              </w:rPr>
            </w:pPr>
            <w:r w:rsidRPr="00543AF3">
              <w:rPr>
                <w:rFonts w:ascii="Arial" w:eastAsia="Arial" w:hAnsi="Arial" w:cs="Arial"/>
                <w:lang w:val="mn"/>
              </w:rPr>
              <w:t>28</w:t>
            </w:r>
          </w:p>
        </w:tc>
        <w:tc>
          <w:tcPr>
            <w:tcW w:w="1350" w:type="dxa"/>
            <w:shd w:val="clear" w:color="auto" w:fill="auto"/>
            <w:tcMar>
              <w:left w:w="108" w:type="dxa"/>
              <w:right w:w="108" w:type="dxa"/>
            </w:tcMar>
            <w:vAlign w:val="bottom"/>
          </w:tcPr>
          <w:p w14:paraId="41813CE1" w14:textId="5228E1FE" w:rsidR="43CF1FC7" w:rsidRPr="00543AF3" w:rsidRDefault="43CF1FC7" w:rsidP="43CF1FC7">
            <w:pPr>
              <w:jc w:val="center"/>
              <w:rPr>
                <w:rFonts w:ascii="Arial" w:hAnsi="Arial" w:cs="Arial"/>
              </w:rPr>
            </w:pPr>
            <w:r w:rsidRPr="00543AF3">
              <w:rPr>
                <w:rFonts w:ascii="Arial" w:eastAsia="Arial" w:hAnsi="Arial" w:cs="Arial"/>
                <w:lang w:val="mn"/>
              </w:rPr>
              <w:t>15</w:t>
            </w:r>
          </w:p>
        </w:tc>
        <w:tc>
          <w:tcPr>
            <w:tcW w:w="2250" w:type="dxa"/>
            <w:shd w:val="clear" w:color="auto" w:fill="auto"/>
            <w:tcMar>
              <w:left w:w="108" w:type="dxa"/>
              <w:right w:w="108" w:type="dxa"/>
            </w:tcMar>
            <w:vAlign w:val="bottom"/>
          </w:tcPr>
          <w:p w14:paraId="4F69D5FB" w14:textId="7C12B50B" w:rsidR="43CF1FC7" w:rsidRPr="00543AF3" w:rsidRDefault="43CF1FC7" w:rsidP="43CF1FC7">
            <w:pPr>
              <w:jc w:val="center"/>
              <w:rPr>
                <w:rFonts w:ascii="Arial" w:hAnsi="Arial" w:cs="Arial"/>
              </w:rPr>
            </w:pPr>
            <w:r w:rsidRPr="00543AF3">
              <w:rPr>
                <w:rFonts w:ascii="Arial" w:eastAsia="Arial" w:hAnsi="Arial" w:cs="Arial"/>
                <w:b/>
                <w:bCs/>
              </w:rPr>
              <w:t>358</w:t>
            </w:r>
          </w:p>
        </w:tc>
      </w:tr>
      <w:tr w:rsidR="00954C31" w:rsidRPr="00543AF3" w14:paraId="40D60F34" w14:textId="77777777" w:rsidTr="00ED40D1">
        <w:trPr>
          <w:trHeight w:val="285"/>
        </w:trPr>
        <w:tc>
          <w:tcPr>
            <w:tcW w:w="1545" w:type="dxa"/>
            <w:shd w:val="clear" w:color="auto" w:fill="auto"/>
            <w:tcMar>
              <w:left w:w="108" w:type="dxa"/>
              <w:right w:w="108" w:type="dxa"/>
            </w:tcMar>
          </w:tcPr>
          <w:p w14:paraId="2608CB9E" w14:textId="75F6F6C1" w:rsidR="43CF1FC7" w:rsidRPr="00543AF3" w:rsidRDefault="43CF1FC7" w:rsidP="43CF1FC7">
            <w:pPr>
              <w:jc w:val="center"/>
              <w:rPr>
                <w:rFonts w:ascii="Arial" w:hAnsi="Arial" w:cs="Arial"/>
              </w:rPr>
            </w:pPr>
            <w:r w:rsidRPr="00543AF3">
              <w:rPr>
                <w:rFonts w:ascii="Arial" w:eastAsia="Arial" w:hAnsi="Arial" w:cs="Arial"/>
                <w:lang w:val="mn"/>
              </w:rPr>
              <w:t>Хураамж</w:t>
            </w:r>
          </w:p>
        </w:tc>
        <w:tc>
          <w:tcPr>
            <w:tcW w:w="1600" w:type="dxa"/>
            <w:shd w:val="clear" w:color="auto" w:fill="auto"/>
            <w:tcMar>
              <w:left w:w="108" w:type="dxa"/>
              <w:right w:w="108" w:type="dxa"/>
            </w:tcMar>
            <w:vAlign w:val="bottom"/>
          </w:tcPr>
          <w:p w14:paraId="0C6BBCCC" w14:textId="679C6AA5" w:rsidR="43CF1FC7" w:rsidRPr="00543AF3" w:rsidRDefault="43CF1FC7" w:rsidP="43CF1FC7">
            <w:pPr>
              <w:jc w:val="center"/>
              <w:rPr>
                <w:rFonts w:ascii="Arial" w:hAnsi="Arial" w:cs="Arial"/>
              </w:rPr>
            </w:pPr>
            <w:r w:rsidRPr="00543AF3">
              <w:rPr>
                <w:rFonts w:ascii="Arial" w:eastAsia="Arial" w:hAnsi="Arial" w:cs="Arial"/>
                <w:lang w:val="mn"/>
              </w:rPr>
              <w:t>53,000</w:t>
            </w:r>
          </w:p>
        </w:tc>
        <w:tc>
          <w:tcPr>
            <w:tcW w:w="1170" w:type="dxa"/>
            <w:shd w:val="clear" w:color="auto" w:fill="auto"/>
            <w:tcMar>
              <w:left w:w="108" w:type="dxa"/>
              <w:right w:w="108" w:type="dxa"/>
            </w:tcMar>
            <w:vAlign w:val="bottom"/>
          </w:tcPr>
          <w:p w14:paraId="30BD84C0" w14:textId="2F598CFA" w:rsidR="43CF1FC7" w:rsidRPr="00543AF3" w:rsidRDefault="43CF1FC7" w:rsidP="43CF1FC7">
            <w:pPr>
              <w:jc w:val="center"/>
              <w:rPr>
                <w:rFonts w:ascii="Arial" w:hAnsi="Arial" w:cs="Arial"/>
              </w:rPr>
            </w:pPr>
            <w:r w:rsidRPr="00543AF3">
              <w:rPr>
                <w:rFonts w:ascii="Arial" w:eastAsia="Arial" w:hAnsi="Arial" w:cs="Arial"/>
                <w:lang w:val="mn"/>
              </w:rPr>
              <w:t>60,000</w:t>
            </w:r>
          </w:p>
        </w:tc>
        <w:tc>
          <w:tcPr>
            <w:tcW w:w="1440" w:type="dxa"/>
            <w:shd w:val="clear" w:color="auto" w:fill="auto"/>
            <w:tcMar>
              <w:left w:w="108" w:type="dxa"/>
              <w:right w:w="108" w:type="dxa"/>
            </w:tcMar>
            <w:vAlign w:val="bottom"/>
          </w:tcPr>
          <w:p w14:paraId="048261C4" w14:textId="40709C2D" w:rsidR="43CF1FC7" w:rsidRPr="00543AF3" w:rsidRDefault="43CF1FC7" w:rsidP="43CF1FC7">
            <w:pPr>
              <w:jc w:val="center"/>
              <w:rPr>
                <w:rFonts w:ascii="Arial" w:hAnsi="Arial" w:cs="Arial"/>
              </w:rPr>
            </w:pPr>
            <w:r w:rsidRPr="00543AF3">
              <w:rPr>
                <w:rFonts w:ascii="Arial" w:eastAsia="Arial" w:hAnsi="Arial" w:cs="Arial"/>
                <w:lang w:val="mn"/>
              </w:rPr>
              <w:t>61,000</w:t>
            </w:r>
          </w:p>
        </w:tc>
        <w:tc>
          <w:tcPr>
            <w:tcW w:w="1350" w:type="dxa"/>
            <w:shd w:val="clear" w:color="auto" w:fill="auto"/>
            <w:tcMar>
              <w:left w:w="108" w:type="dxa"/>
              <w:right w:w="108" w:type="dxa"/>
            </w:tcMar>
            <w:vAlign w:val="bottom"/>
          </w:tcPr>
          <w:p w14:paraId="0D09C714" w14:textId="6831308F" w:rsidR="43CF1FC7" w:rsidRPr="00543AF3" w:rsidRDefault="43CF1FC7" w:rsidP="43CF1FC7">
            <w:pPr>
              <w:jc w:val="center"/>
              <w:rPr>
                <w:rFonts w:ascii="Arial" w:hAnsi="Arial" w:cs="Arial"/>
              </w:rPr>
            </w:pPr>
            <w:r w:rsidRPr="00543AF3">
              <w:rPr>
                <w:rFonts w:ascii="Arial" w:eastAsia="Arial" w:hAnsi="Arial" w:cs="Arial"/>
                <w:lang w:val="mn"/>
              </w:rPr>
              <w:t>26,000</w:t>
            </w:r>
          </w:p>
        </w:tc>
        <w:tc>
          <w:tcPr>
            <w:tcW w:w="2250" w:type="dxa"/>
            <w:shd w:val="clear" w:color="auto" w:fill="auto"/>
            <w:tcMar>
              <w:left w:w="108" w:type="dxa"/>
              <w:right w:w="108" w:type="dxa"/>
            </w:tcMar>
            <w:vAlign w:val="bottom"/>
          </w:tcPr>
          <w:p w14:paraId="3AFE8821" w14:textId="79605CC4" w:rsidR="43CF1FC7" w:rsidRPr="00543AF3" w:rsidRDefault="43CF1FC7" w:rsidP="43CF1FC7">
            <w:pPr>
              <w:jc w:val="center"/>
              <w:rPr>
                <w:rFonts w:ascii="Arial" w:hAnsi="Arial" w:cs="Arial"/>
              </w:rPr>
            </w:pPr>
            <w:r w:rsidRPr="00543AF3">
              <w:rPr>
                <w:rFonts w:ascii="Arial" w:eastAsia="Arial" w:hAnsi="Arial" w:cs="Arial"/>
                <w:b/>
                <w:bCs/>
              </w:rPr>
              <w:t>200,000</w:t>
            </w:r>
          </w:p>
        </w:tc>
      </w:tr>
    </w:tbl>
    <w:p w14:paraId="3272A239" w14:textId="16D8FA67" w:rsidR="00EA5E79" w:rsidRPr="00543AF3" w:rsidRDefault="540A0BB6" w:rsidP="00954C31">
      <w:pPr>
        <w:spacing w:before="240" w:line="257" w:lineRule="auto"/>
        <w:jc w:val="both"/>
        <w:rPr>
          <w:rFonts w:ascii="Arial" w:eastAsia="Arial" w:hAnsi="Arial" w:cs="Arial"/>
          <w:lang w:val="mn"/>
        </w:rPr>
      </w:pPr>
      <w:r w:rsidRPr="00543AF3">
        <w:rPr>
          <w:rFonts w:ascii="Arial" w:eastAsia="Arial" w:hAnsi="Arial" w:cs="Arial"/>
          <w:lang w:val="mn"/>
        </w:rPr>
        <w:t xml:space="preserve"> Сүхбаатар аймгийн Баруун-Урт сумын хорогдлын хувь малын төрөл  тус бүрээр:</w:t>
      </w:r>
      <w:r w:rsidR="00000000" w:rsidRPr="00543AF3">
        <w:rPr>
          <w:rFonts w:ascii="Arial" w:hAnsi="Arial" w:cs="Arial"/>
        </w:rPr>
        <w:tab/>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2430"/>
        <w:gridCol w:w="2340"/>
        <w:gridCol w:w="2250"/>
      </w:tblGrid>
      <w:tr w:rsidR="00954C31" w:rsidRPr="00543AF3" w14:paraId="7C9E890B" w14:textId="77777777" w:rsidTr="00ED40D1">
        <w:trPr>
          <w:trHeight w:val="285"/>
        </w:trPr>
        <w:tc>
          <w:tcPr>
            <w:tcW w:w="2335" w:type="dxa"/>
            <w:shd w:val="clear" w:color="auto" w:fill="auto"/>
            <w:tcMar>
              <w:left w:w="108" w:type="dxa"/>
              <w:right w:w="108" w:type="dxa"/>
            </w:tcMar>
            <w:vAlign w:val="center"/>
          </w:tcPr>
          <w:p w14:paraId="1FB4E5B9" w14:textId="6037F04A" w:rsidR="43CF1FC7" w:rsidRPr="00543AF3" w:rsidRDefault="43CF1FC7" w:rsidP="00ED40D1">
            <w:pPr>
              <w:jc w:val="center"/>
              <w:rPr>
                <w:rFonts w:ascii="Arial" w:hAnsi="Arial" w:cs="Arial"/>
                <w:b/>
                <w:bCs/>
              </w:rPr>
            </w:pPr>
            <w:proofErr w:type="spellStart"/>
            <w:r w:rsidRPr="00543AF3">
              <w:rPr>
                <w:rFonts w:ascii="Arial" w:eastAsia="Arial" w:hAnsi="Arial" w:cs="Arial"/>
                <w:b/>
                <w:bCs/>
              </w:rPr>
              <w:t>Хонь</w:t>
            </w:r>
            <w:proofErr w:type="spellEnd"/>
          </w:p>
        </w:tc>
        <w:tc>
          <w:tcPr>
            <w:tcW w:w="2430" w:type="dxa"/>
            <w:shd w:val="clear" w:color="auto" w:fill="auto"/>
            <w:tcMar>
              <w:left w:w="108" w:type="dxa"/>
              <w:right w:w="108" w:type="dxa"/>
            </w:tcMar>
            <w:vAlign w:val="center"/>
          </w:tcPr>
          <w:p w14:paraId="7E08C144" w14:textId="3821B817" w:rsidR="43CF1FC7" w:rsidRPr="00543AF3" w:rsidRDefault="43CF1FC7" w:rsidP="00ED40D1">
            <w:pPr>
              <w:jc w:val="center"/>
              <w:rPr>
                <w:rFonts w:ascii="Arial" w:hAnsi="Arial" w:cs="Arial"/>
                <w:b/>
                <w:bCs/>
              </w:rPr>
            </w:pPr>
            <w:proofErr w:type="spellStart"/>
            <w:r w:rsidRPr="00543AF3">
              <w:rPr>
                <w:rFonts w:ascii="Arial" w:eastAsia="Arial" w:hAnsi="Arial" w:cs="Arial"/>
                <w:b/>
                <w:bCs/>
              </w:rPr>
              <w:t>Ямаа</w:t>
            </w:r>
            <w:proofErr w:type="spellEnd"/>
          </w:p>
        </w:tc>
        <w:tc>
          <w:tcPr>
            <w:tcW w:w="2340" w:type="dxa"/>
            <w:shd w:val="clear" w:color="auto" w:fill="auto"/>
            <w:tcMar>
              <w:left w:w="108" w:type="dxa"/>
              <w:right w:w="108" w:type="dxa"/>
            </w:tcMar>
            <w:vAlign w:val="center"/>
          </w:tcPr>
          <w:p w14:paraId="3F74FD18" w14:textId="314D1806" w:rsidR="43CF1FC7" w:rsidRPr="00543AF3" w:rsidRDefault="43CF1FC7" w:rsidP="00ED40D1">
            <w:pPr>
              <w:jc w:val="center"/>
              <w:rPr>
                <w:rFonts w:ascii="Arial" w:hAnsi="Arial" w:cs="Arial"/>
                <w:b/>
                <w:bCs/>
              </w:rPr>
            </w:pPr>
            <w:proofErr w:type="spellStart"/>
            <w:r w:rsidRPr="00543AF3">
              <w:rPr>
                <w:rFonts w:ascii="Arial" w:eastAsia="Arial" w:hAnsi="Arial" w:cs="Arial"/>
                <w:b/>
                <w:bCs/>
              </w:rPr>
              <w:t>Үхэр</w:t>
            </w:r>
            <w:proofErr w:type="spellEnd"/>
          </w:p>
        </w:tc>
        <w:tc>
          <w:tcPr>
            <w:tcW w:w="2250" w:type="dxa"/>
            <w:shd w:val="clear" w:color="auto" w:fill="auto"/>
            <w:tcMar>
              <w:left w:w="108" w:type="dxa"/>
              <w:right w:w="108" w:type="dxa"/>
            </w:tcMar>
            <w:vAlign w:val="center"/>
          </w:tcPr>
          <w:p w14:paraId="67EE5662" w14:textId="212B21DF" w:rsidR="43CF1FC7" w:rsidRPr="00543AF3" w:rsidRDefault="43CF1FC7" w:rsidP="00ED40D1">
            <w:pPr>
              <w:jc w:val="center"/>
              <w:rPr>
                <w:rFonts w:ascii="Arial" w:hAnsi="Arial" w:cs="Arial"/>
                <w:b/>
                <w:bCs/>
              </w:rPr>
            </w:pPr>
            <w:proofErr w:type="spellStart"/>
            <w:r w:rsidRPr="00543AF3">
              <w:rPr>
                <w:rFonts w:ascii="Arial" w:eastAsia="Arial" w:hAnsi="Arial" w:cs="Arial"/>
                <w:b/>
                <w:bCs/>
              </w:rPr>
              <w:t>Адуу</w:t>
            </w:r>
            <w:proofErr w:type="spellEnd"/>
          </w:p>
        </w:tc>
      </w:tr>
      <w:tr w:rsidR="00954C31" w:rsidRPr="00543AF3" w14:paraId="1D52E45E" w14:textId="77777777" w:rsidTr="00ED40D1">
        <w:trPr>
          <w:trHeight w:val="285"/>
        </w:trPr>
        <w:tc>
          <w:tcPr>
            <w:tcW w:w="2335" w:type="dxa"/>
            <w:shd w:val="clear" w:color="auto" w:fill="auto"/>
            <w:tcMar>
              <w:left w:w="108" w:type="dxa"/>
              <w:right w:w="108" w:type="dxa"/>
            </w:tcMar>
            <w:vAlign w:val="bottom"/>
          </w:tcPr>
          <w:p w14:paraId="775D01EC" w14:textId="0D723082" w:rsidR="43CF1FC7" w:rsidRPr="00543AF3" w:rsidRDefault="43CF1FC7" w:rsidP="43CF1FC7">
            <w:pPr>
              <w:jc w:val="center"/>
              <w:rPr>
                <w:rFonts w:ascii="Arial" w:hAnsi="Arial" w:cs="Arial"/>
              </w:rPr>
            </w:pPr>
            <w:r w:rsidRPr="00543AF3">
              <w:rPr>
                <w:rFonts w:ascii="Arial" w:eastAsia="Arial" w:hAnsi="Arial" w:cs="Arial"/>
              </w:rPr>
              <w:t>75.79</w:t>
            </w:r>
          </w:p>
        </w:tc>
        <w:tc>
          <w:tcPr>
            <w:tcW w:w="2430" w:type="dxa"/>
            <w:shd w:val="clear" w:color="auto" w:fill="auto"/>
            <w:tcMar>
              <w:left w:w="108" w:type="dxa"/>
              <w:right w:w="108" w:type="dxa"/>
            </w:tcMar>
            <w:vAlign w:val="bottom"/>
          </w:tcPr>
          <w:p w14:paraId="06A27A1B" w14:textId="1D00030F" w:rsidR="43CF1FC7" w:rsidRPr="00543AF3" w:rsidRDefault="43CF1FC7" w:rsidP="43CF1FC7">
            <w:pPr>
              <w:jc w:val="center"/>
              <w:rPr>
                <w:rFonts w:ascii="Arial" w:hAnsi="Arial" w:cs="Arial"/>
              </w:rPr>
            </w:pPr>
            <w:r w:rsidRPr="00543AF3">
              <w:rPr>
                <w:rFonts w:ascii="Arial" w:eastAsia="Arial" w:hAnsi="Arial" w:cs="Arial"/>
              </w:rPr>
              <w:t>65.55</w:t>
            </w:r>
          </w:p>
        </w:tc>
        <w:tc>
          <w:tcPr>
            <w:tcW w:w="2340" w:type="dxa"/>
            <w:shd w:val="clear" w:color="auto" w:fill="auto"/>
            <w:tcMar>
              <w:left w:w="108" w:type="dxa"/>
              <w:right w:w="108" w:type="dxa"/>
            </w:tcMar>
            <w:vAlign w:val="bottom"/>
          </w:tcPr>
          <w:p w14:paraId="2C2968D8" w14:textId="12D9A550" w:rsidR="43CF1FC7" w:rsidRPr="00543AF3" w:rsidRDefault="43CF1FC7" w:rsidP="43CF1FC7">
            <w:pPr>
              <w:jc w:val="center"/>
              <w:rPr>
                <w:rFonts w:ascii="Arial" w:hAnsi="Arial" w:cs="Arial"/>
              </w:rPr>
            </w:pPr>
            <w:r w:rsidRPr="00543AF3">
              <w:rPr>
                <w:rFonts w:ascii="Arial" w:eastAsia="Arial" w:hAnsi="Arial" w:cs="Arial"/>
              </w:rPr>
              <w:t>58.04</w:t>
            </w:r>
          </w:p>
        </w:tc>
        <w:tc>
          <w:tcPr>
            <w:tcW w:w="2250" w:type="dxa"/>
            <w:shd w:val="clear" w:color="auto" w:fill="auto"/>
            <w:tcMar>
              <w:left w:w="108" w:type="dxa"/>
              <w:right w:w="108" w:type="dxa"/>
            </w:tcMar>
            <w:vAlign w:val="bottom"/>
          </w:tcPr>
          <w:p w14:paraId="6A0EA482" w14:textId="194C1A44" w:rsidR="43CF1FC7" w:rsidRPr="00543AF3" w:rsidRDefault="43CF1FC7" w:rsidP="43CF1FC7">
            <w:pPr>
              <w:jc w:val="center"/>
              <w:rPr>
                <w:rFonts w:ascii="Arial" w:hAnsi="Arial" w:cs="Arial"/>
              </w:rPr>
            </w:pPr>
            <w:r w:rsidRPr="00543AF3">
              <w:rPr>
                <w:rFonts w:ascii="Arial" w:eastAsia="Arial" w:hAnsi="Arial" w:cs="Arial"/>
              </w:rPr>
              <w:t>29.18</w:t>
            </w:r>
          </w:p>
        </w:tc>
      </w:tr>
    </w:tbl>
    <w:p w14:paraId="738E5FA6" w14:textId="6436274B" w:rsidR="00EA5E79" w:rsidRPr="00543AF3" w:rsidRDefault="540A0BB6" w:rsidP="00ED40D1">
      <w:pPr>
        <w:spacing w:before="240" w:line="257" w:lineRule="auto"/>
        <w:ind w:firstLine="720"/>
        <w:rPr>
          <w:rFonts w:ascii="Arial" w:hAnsi="Arial" w:cs="Arial"/>
          <w:lang w:val="ru-RU"/>
        </w:rPr>
      </w:pPr>
      <w:r w:rsidRPr="00543AF3">
        <w:rPr>
          <w:rFonts w:ascii="Arial" w:eastAsia="Arial" w:hAnsi="Arial" w:cs="Arial"/>
          <w:lang w:val="mn"/>
        </w:rPr>
        <w:t xml:space="preserve">А малчны авах нөхөн төлбөр: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1980"/>
        <w:gridCol w:w="1440"/>
        <w:gridCol w:w="1350"/>
        <w:gridCol w:w="2250"/>
      </w:tblGrid>
      <w:tr w:rsidR="00954C31" w:rsidRPr="00543AF3" w14:paraId="6102A3C8" w14:textId="77777777" w:rsidTr="00ED40D1">
        <w:trPr>
          <w:trHeight w:val="300"/>
        </w:trPr>
        <w:tc>
          <w:tcPr>
            <w:tcW w:w="2335" w:type="dxa"/>
            <w:shd w:val="clear" w:color="auto" w:fill="auto"/>
            <w:tcMar>
              <w:left w:w="108" w:type="dxa"/>
              <w:right w:w="108" w:type="dxa"/>
            </w:tcMar>
            <w:vAlign w:val="center"/>
          </w:tcPr>
          <w:p w14:paraId="5839DB65" w14:textId="3FA8330A" w:rsidR="43CF1FC7" w:rsidRPr="00543AF3" w:rsidRDefault="43CF1FC7" w:rsidP="43CF1FC7">
            <w:pPr>
              <w:jc w:val="center"/>
              <w:rPr>
                <w:rFonts w:ascii="Arial" w:hAnsi="Arial" w:cs="Arial"/>
                <w:b/>
                <w:bCs/>
              </w:rPr>
            </w:pPr>
            <w:proofErr w:type="spellStart"/>
            <w:r w:rsidRPr="00543AF3">
              <w:rPr>
                <w:rFonts w:ascii="Arial" w:eastAsia="Arial" w:hAnsi="Arial" w:cs="Arial"/>
                <w:b/>
                <w:bCs/>
              </w:rPr>
              <w:lastRenderedPageBreak/>
              <w:t>Хонь</w:t>
            </w:r>
            <w:proofErr w:type="spellEnd"/>
          </w:p>
        </w:tc>
        <w:tc>
          <w:tcPr>
            <w:tcW w:w="1980" w:type="dxa"/>
            <w:shd w:val="clear" w:color="auto" w:fill="auto"/>
            <w:tcMar>
              <w:left w:w="108" w:type="dxa"/>
              <w:right w:w="108" w:type="dxa"/>
            </w:tcMar>
            <w:vAlign w:val="center"/>
          </w:tcPr>
          <w:p w14:paraId="1EEBAACA" w14:textId="08B5F109" w:rsidR="43CF1FC7" w:rsidRPr="00543AF3" w:rsidRDefault="43CF1FC7" w:rsidP="43CF1FC7">
            <w:pPr>
              <w:jc w:val="center"/>
              <w:rPr>
                <w:rFonts w:ascii="Arial" w:hAnsi="Arial" w:cs="Arial"/>
                <w:b/>
                <w:bCs/>
              </w:rPr>
            </w:pPr>
            <w:proofErr w:type="spellStart"/>
            <w:r w:rsidRPr="00543AF3">
              <w:rPr>
                <w:rFonts w:ascii="Arial" w:eastAsia="Arial" w:hAnsi="Arial" w:cs="Arial"/>
                <w:b/>
                <w:bCs/>
              </w:rPr>
              <w:t>Ямаа</w:t>
            </w:r>
            <w:proofErr w:type="spellEnd"/>
          </w:p>
        </w:tc>
        <w:tc>
          <w:tcPr>
            <w:tcW w:w="1440" w:type="dxa"/>
            <w:shd w:val="clear" w:color="auto" w:fill="auto"/>
            <w:tcMar>
              <w:left w:w="108" w:type="dxa"/>
              <w:right w:w="108" w:type="dxa"/>
            </w:tcMar>
            <w:vAlign w:val="center"/>
          </w:tcPr>
          <w:p w14:paraId="720E8FE7" w14:textId="246F723D" w:rsidR="43CF1FC7" w:rsidRPr="00543AF3" w:rsidRDefault="43CF1FC7" w:rsidP="43CF1FC7">
            <w:pPr>
              <w:jc w:val="center"/>
              <w:rPr>
                <w:rFonts w:ascii="Arial" w:hAnsi="Arial" w:cs="Arial"/>
                <w:b/>
                <w:bCs/>
              </w:rPr>
            </w:pPr>
            <w:proofErr w:type="spellStart"/>
            <w:r w:rsidRPr="00543AF3">
              <w:rPr>
                <w:rFonts w:ascii="Arial" w:eastAsia="Arial" w:hAnsi="Arial" w:cs="Arial"/>
                <w:b/>
                <w:bCs/>
              </w:rPr>
              <w:t>Үхэр</w:t>
            </w:r>
            <w:proofErr w:type="spellEnd"/>
          </w:p>
        </w:tc>
        <w:tc>
          <w:tcPr>
            <w:tcW w:w="1350" w:type="dxa"/>
            <w:shd w:val="clear" w:color="auto" w:fill="auto"/>
            <w:tcMar>
              <w:left w:w="108" w:type="dxa"/>
              <w:right w:w="108" w:type="dxa"/>
            </w:tcMar>
            <w:vAlign w:val="center"/>
          </w:tcPr>
          <w:p w14:paraId="431465A6" w14:textId="60203884" w:rsidR="43CF1FC7" w:rsidRPr="00543AF3" w:rsidRDefault="43CF1FC7" w:rsidP="43CF1FC7">
            <w:pPr>
              <w:jc w:val="center"/>
              <w:rPr>
                <w:rFonts w:ascii="Arial" w:hAnsi="Arial" w:cs="Arial"/>
                <w:b/>
                <w:bCs/>
              </w:rPr>
            </w:pPr>
            <w:proofErr w:type="spellStart"/>
            <w:r w:rsidRPr="00543AF3">
              <w:rPr>
                <w:rFonts w:ascii="Arial" w:eastAsia="Arial" w:hAnsi="Arial" w:cs="Arial"/>
                <w:b/>
                <w:bCs/>
              </w:rPr>
              <w:t>Адуу</w:t>
            </w:r>
            <w:proofErr w:type="spellEnd"/>
          </w:p>
        </w:tc>
        <w:tc>
          <w:tcPr>
            <w:tcW w:w="2250" w:type="dxa"/>
            <w:shd w:val="clear" w:color="auto" w:fill="auto"/>
            <w:tcMar>
              <w:left w:w="108" w:type="dxa"/>
              <w:right w:w="108" w:type="dxa"/>
            </w:tcMar>
            <w:vAlign w:val="center"/>
          </w:tcPr>
          <w:p w14:paraId="3AD99418" w14:textId="6EDAFE9D" w:rsidR="43CF1FC7" w:rsidRPr="00543AF3" w:rsidRDefault="43CF1FC7" w:rsidP="43CF1FC7">
            <w:pPr>
              <w:jc w:val="center"/>
              <w:rPr>
                <w:rFonts w:ascii="Arial" w:hAnsi="Arial" w:cs="Arial"/>
                <w:b/>
                <w:bCs/>
              </w:rPr>
            </w:pPr>
            <w:proofErr w:type="spellStart"/>
            <w:r w:rsidRPr="00543AF3">
              <w:rPr>
                <w:rFonts w:ascii="Arial" w:eastAsia="Arial" w:hAnsi="Arial" w:cs="Arial"/>
                <w:b/>
                <w:bCs/>
              </w:rPr>
              <w:t>Нийт</w:t>
            </w:r>
            <w:proofErr w:type="spellEnd"/>
          </w:p>
        </w:tc>
      </w:tr>
      <w:tr w:rsidR="00954C31" w:rsidRPr="00543AF3" w14:paraId="4D6EC82D" w14:textId="77777777" w:rsidTr="00ED40D1">
        <w:trPr>
          <w:trHeight w:val="300"/>
        </w:trPr>
        <w:tc>
          <w:tcPr>
            <w:tcW w:w="2335" w:type="dxa"/>
            <w:shd w:val="clear" w:color="auto" w:fill="auto"/>
            <w:tcMar>
              <w:left w:w="108" w:type="dxa"/>
              <w:right w:w="108" w:type="dxa"/>
            </w:tcMar>
            <w:vAlign w:val="center"/>
          </w:tcPr>
          <w:p w14:paraId="6B9FB642" w14:textId="0E4EE478" w:rsidR="43CF1FC7" w:rsidRPr="00543AF3" w:rsidRDefault="43CF1FC7" w:rsidP="43CF1FC7">
            <w:pPr>
              <w:jc w:val="right"/>
              <w:rPr>
                <w:rFonts w:ascii="Arial" w:hAnsi="Arial" w:cs="Arial"/>
              </w:rPr>
            </w:pPr>
            <w:r w:rsidRPr="00543AF3">
              <w:rPr>
                <w:rFonts w:ascii="Arial" w:eastAsia="Arial" w:hAnsi="Arial" w:cs="Arial"/>
              </w:rPr>
              <w:t>1,222,000</w:t>
            </w:r>
          </w:p>
        </w:tc>
        <w:tc>
          <w:tcPr>
            <w:tcW w:w="1980" w:type="dxa"/>
            <w:shd w:val="clear" w:color="auto" w:fill="auto"/>
            <w:tcMar>
              <w:left w:w="108" w:type="dxa"/>
              <w:right w:w="108" w:type="dxa"/>
            </w:tcMar>
            <w:vAlign w:val="center"/>
          </w:tcPr>
          <w:p w14:paraId="5A83DF3B" w14:textId="59ADE0B9" w:rsidR="43CF1FC7" w:rsidRPr="00543AF3" w:rsidRDefault="43CF1FC7" w:rsidP="43CF1FC7">
            <w:pPr>
              <w:jc w:val="right"/>
              <w:rPr>
                <w:rFonts w:ascii="Arial" w:hAnsi="Arial" w:cs="Arial"/>
              </w:rPr>
            </w:pPr>
            <w:r w:rsidRPr="00543AF3">
              <w:rPr>
                <w:rFonts w:ascii="Arial" w:eastAsia="Arial" w:hAnsi="Arial" w:cs="Arial"/>
              </w:rPr>
              <w:t>1,041,000</w:t>
            </w:r>
          </w:p>
        </w:tc>
        <w:tc>
          <w:tcPr>
            <w:tcW w:w="1440" w:type="dxa"/>
            <w:shd w:val="clear" w:color="auto" w:fill="auto"/>
            <w:tcMar>
              <w:left w:w="108" w:type="dxa"/>
              <w:right w:w="108" w:type="dxa"/>
            </w:tcMar>
            <w:vAlign w:val="center"/>
          </w:tcPr>
          <w:p w14:paraId="44D07EF7" w14:textId="5B67997E" w:rsidR="43CF1FC7" w:rsidRPr="00543AF3" w:rsidRDefault="43CF1FC7" w:rsidP="43CF1FC7">
            <w:pPr>
              <w:jc w:val="right"/>
              <w:rPr>
                <w:rFonts w:ascii="Arial" w:hAnsi="Arial" w:cs="Arial"/>
              </w:rPr>
            </w:pPr>
            <w:r w:rsidRPr="00543AF3">
              <w:rPr>
                <w:rFonts w:ascii="Arial" w:eastAsia="Arial" w:hAnsi="Arial" w:cs="Arial"/>
              </w:rPr>
              <w:t>830,000</w:t>
            </w:r>
          </w:p>
        </w:tc>
        <w:tc>
          <w:tcPr>
            <w:tcW w:w="1350" w:type="dxa"/>
            <w:shd w:val="clear" w:color="auto" w:fill="auto"/>
            <w:tcMar>
              <w:left w:w="108" w:type="dxa"/>
              <w:right w:w="108" w:type="dxa"/>
            </w:tcMar>
            <w:vAlign w:val="center"/>
          </w:tcPr>
          <w:p w14:paraId="37A0F2C0" w14:textId="68CE866B" w:rsidR="43CF1FC7" w:rsidRPr="00543AF3" w:rsidRDefault="43CF1FC7" w:rsidP="43CF1FC7">
            <w:pPr>
              <w:jc w:val="right"/>
              <w:rPr>
                <w:rFonts w:ascii="Arial" w:hAnsi="Arial" w:cs="Arial"/>
              </w:rPr>
            </w:pPr>
            <w:r w:rsidRPr="00543AF3">
              <w:rPr>
                <w:rFonts w:ascii="Arial" w:eastAsia="Arial" w:hAnsi="Arial" w:cs="Arial"/>
              </w:rPr>
              <w:t>307,000</w:t>
            </w:r>
          </w:p>
        </w:tc>
        <w:tc>
          <w:tcPr>
            <w:tcW w:w="2250" w:type="dxa"/>
            <w:shd w:val="clear" w:color="auto" w:fill="auto"/>
            <w:tcMar>
              <w:left w:w="108" w:type="dxa"/>
              <w:right w:w="108" w:type="dxa"/>
            </w:tcMar>
            <w:vAlign w:val="bottom"/>
          </w:tcPr>
          <w:p w14:paraId="77338B2A" w14:textId="3F6693B6" w:rsidR="43CF1FC7" w:rsidRPr="00543AF3" w:rsidRDefault="43CF1FC7" w:rsidP="43CF1FC7">
            <w:pPr>
              <w:spacing w:line="257" w:lineRule="auto"/>
              <w:jc w:val="right"/>
              <w:rPr>
                <w:rFonts w:ascii="Arial" w:hAnsi="Arial" w:cs="Arial"/>
              </w:rPr>
            </w:pPr>
            <w:r w:rsidRPr="00543AF3">
              <w:rPr>
                <w:rFonts w:ascii="Arial" w:eastAsia="Arial" w:hAnsi="Arial" w:cs="Arial"/>
                <w:b/>
                <w:bCs/>
              </w:rPr>
              <w:t>3,400,000</w:t>
            </w:r>
          </w:p>
        </w:tc>
      </w:tr>
    </w:tbl>
    <w:p w14:paraId="1C21BB09" w14:textId="08112948" w:rsidR="00EA5E79" w:rsidRPr="00543AF3" w:rsidRDefault="540A0BB6" w:rsidP="00ED40D1">
      <w:pPr>
        <w:spacing w:before="240" w:line="257" w:lineRule="auto"/>
        <w:ind w:firstLine="720"/>
        <w:jc w:val="both"/>
        <w:rPr>
          <w:rFonts w:ascii="Arial" w:hAnsi="Arial" w:cs="Arial"/>
        </w:rPr>
      </w:pPr>
      <w:r w:rsidRPr="00543AF3">
        <w:rPr>
          <w:rFonts w:ascii="Arial" w:eastAsia="Arial" w:hAnsi="Arial" w:cs="Arial"/>
          <w:lang w:val="mn"/>
        </w:rPr>
        <w:t xml:space="preserve">Малчин А 4 төрлийн малдаа даатгалын хураамж болох 200,000 төгрөг төлөөд 3,400,000 төгрөгийн нөхөн төлбөр авна. </w:t>
      </w:r>
    </w:p>
    <w:p w14:paraId="0CCA3277" w14:textId="37B62F84" w:rsidR="00EA5E79" w:rsidRPr="00543AF3" w:rsidRDefault="540A0BB6" w:rsidP="00954C31">
      <w:pPr>
        <w:spacing w:line="257" w:lineRule="auto"/>
        <w:ind w:firstLine="720"/>
        <w:jc w:val="both"/>
        <w:rPr>
          <w:rFonts w:ascii="Arial" w:hAnsi="Arial" w:cs="Arial"/>
        </w:rPr>
      </w:pPr>
      <w:r w:rsidRPr="00543AF3">
        <w:rPr>
          <w:rFonts w:ascii="Arial" w:eastAsia="Arial" w:hAnsi="Arial" w:cs="Arial"/>
          <w:lang w:val="mn"/>
        </w:rPr>
        <w:t xml:space="preserve">Малчин арилжааны банкнаас нэн хөнгөлөлттэй болон хөнгөлөлттэй зээл авах, </w:t>
      </w:r>
      <w:r w:rsidRPr="00543AF3">
        <w:rPr>
          <w:rFonts w:ascii="Arial" w:eastAsia="Arial" w:hAnsi="Arial" w:cs="Arial"/>
          <w:color w:val="333333"/>
          <w:lang w:val="mn"/>
        </w:rPr>
        <w:t>үйлдвэрлэлдээ чанарын өөрчлөлт гаргах, байгальд ээлтэй, тогтвортой үйл ажиллагаа эрхлэхэд төрөөс үзүүлж буй дэмжлэгийг хүртэхэд гарах зардал дунджаар 200,000 төгрөг байхаар байна.</w:t>
      </w:r>
    </w:p>
    <w:p w14:paraId="6D634AD5" w14:textId="672C01B9" w:rsidR="00EA5E79" w:rsidRPr="00543AF3" w:rsidRDefault="540A0BB6" w:rsidP="43CF1FC7">
      <w:pPr>
        <w:pStyle w:val="ListParagraph"/>
        <w:numPr>
          <w:ilvl w:val="0"/>
          <w:numId w:val="3"/>
        </w:numPr>
        <w:spacing w:after="0" w:line="257" w:lineRule="auto"/>
        <w:jc w:val="both"/>
        <w:rPr>
          <w:rFonts w:ascii="Arial" w:eastAsia="Arial" w:hAnsi="Arial" w:cs="Arial"/>
          <w:b/>
          <w:bCs/>
          <w:lang w:val="mn"/>
        </w:rPr>
      </w:pPr>
      <w:r w:rsidRPr="00543AF3">
        <w:rPr>
          <w:rFonts w:ascii="Arial" w:eastAsia="Arial" w:hAnsi="Arial" w:cs="Arial"/>
          <w:b/>
          <w:bCs/>
          <w:lang w:val="mn"/>
        </w:rPr>
        <w:t>Ашигласан дата мэдээлэл болон таамаглал</w:t>
      </w:r>
    </w:p>
    <w:p w14:paraId="44970257" w14:textId="5E86B709" w:rsidR="00EA5E79" w:rsidRPr="00543AF3" w:rsidRDefault="540A0BB6" w:rsidP="00954C31">
      <w:pPr>
        <w:spacing w:before="240" w:line="257" w:lineRule="auto"/>
        <w:ind w:firstLine="360"/>
        <w:jc w:val="both"/>
        <w:rPr>
          <w:rFonts w:ascii="Arial" w:hAnsi="Arial" w:cs="Arial"/>
        </w:rPr>
      </w:pPr>
      <w:r w:rsidRPr="00543AF3">
        <w:rPr>
          <w:rFonts w:ascii="Arial" w:eastAsia="Arial" w:hAnsi="Arial" w:cs="Arial"/>
          <w:lang w:val="mn"/>
        </w:rPr>
        <w:t>Малын индексжүүлсэн даатгалын тухай хуулийн 7 болон 8 дугаар зүйлд сумын малын хорогдлын босго үзүүлэлтийг тогтоох болон даатгалын эрсдэлийн түвшинг тогтоосон юм. МИД-ын эрсдэлийн дунд түвшин буюу сумын малын хорогдлын 6 хувиас 30 хувь хүртэл арилжааны даатгалын түвшин бөгөөд энэ түвшин хүртэл л малчид даатгалын хураамж төлдөг. Харин эрсдэлийн дээд түвшин буюу 30 хувиас давсан түвшин нь гамшгийн эрсдэлийн түвшин бөгөөд Засгийн газрын хариуцах түвшин юм. Энэ талаар 2005 оноос хэрэгжиж эхэлсэн МИД төслийн мэргэжлийн зөвлөхүүд судалгаа хийж Засгийн газар энэхүү эрсдэлийг хариуцах нь зөв гэж үзсэн байна. /Зураг 1/</w:t>
      </w:r>
    </w:p>
    <w:p w14:paraId="3F7A7288" w14:textId="70903190" w:rsidR="00EA5E79" w:rsidRPr="00543AF3" w:rsidRDefault="540A0BB6" w:rsidP="43CF1FC7">
      <w:pPr>
        <w:spacing w:after="0"/>
        <w:ind w:left="567"/>
        <w:rPr>
          <w:rFonts w:ascii="Arial" w:hAnsi="Arial" w:cs="Arial"/>
          <w:b/>
          <w:bCs/>
        </w:rPr>
      </w:pPr>
      <w:proofErr w:type="spellStart"/>
      <w:r w:rsidRPr="00543AF3">
        <w:rPr>
          <w:rFonts w:ascii="Arial" w:eastAsia="Calibri" w:hAnsi="Arial" w:cs="Arial"/>
          <w:b/>
          <w:bCs/>
        </w:rPr>
        <w:t>Зураг</w:t>
      </w:r>
      <w:proofErr w:type="spellEnd"/>
      <w:r w:rsidRPr="00543AF3">
        <w:rPr>
          <w:rFonts w:ascii="Arial" w:eastAsia="Calibri" w:hAnsi="Arial" w:cs="Arial"/>
          <w:b/>
          <w:bCs/>
        </w:rPr>
        <w:t xml:space="preserve"> 1 </w:t>
      </w:r>
      <w:r w:rsidRPr="00543AF3">
        <w:rPr>
          <w:rFonts w:ascii="Arial" w:eastAsia="Calibri" w:hAnsi="Arial" w:cs="Arial"/>
          <w:b/>
          <w:bCs/>
          <w:lang w:val="mn"/>
        </w:rPr>
        <w:t>Эрсдэлийн түвшинг хариуцах этгээдүүд</w:t>
      </w:r>
    </w:p>
    <w:p w14:paraId="2094D55A" w14:textId="7F9BA51E" w:rsidR="00EA5E79" w:rsidRPr="00543AF3" w:rsidRDefault="540A0BB6" w:rsidP="00954C31">
      <w:pPr>
        <w:tabs>
          <w:tab w:val="left" w:pos="2475"/>
        </w:tabs>
        <w:spacing w:line="257" w:lineRule="auto"/>
        <w:ind w:firstLine="720"/>
        <w:jc w:val="both"/>
        <w:rPr>
          <w:rFonts w:ascii="Arial" w:hAnsi="Arial" w:cs="Arial"/>
        </w:rPr>
      </w:pPr>
      <w:r w:rsidRPr="00543AF3">
        <w:rPr>
          <w:rFonts w:ascii="Arial" w:eastAsia="Arial" w:hAnsi="Arial" w:cs="Arial"/>
          <w:lang w:val="mn"/>
        </w:rPr>
        <w:t xml:space="preserve"> Иймд 1976 оноос хойшхи нийт 46 жилийн сумын малын хорогдлын дүн мэдээнд үндэслэн МИД-ын эрсдэлийн дунд болон дээд түвшний хохирлын харьцааны мэдээллийг боловсруулж, Хавсралт 1-д харуулав.</w:t>
      </w:r>
    </w:p>
    <w:p w14:paraId="1D5737DB" w14:textId="31E4C029" w:rsidR="00EA5E79" w:rsidRPr="00543AF3" w:rsidRDefault="540A0BB6" w:rsidP="43CF1FC7">
      <w:pPr>
        <w:spacing w:line="257" w:lineRule="auto"/>
        <w:ind w:firstLine="360"/>
        <w:jc w:val="both"/>
        <w:rPr>
          <w:rFonts w:ascii="Arial" w:hAnsi="Arial" w:cs="Arial"/>
        </w:rPr>
      </w:pPr>
      <w:r w:rsidRPr="00543AF3">
        <w:rPr>
          <w:rFonts w:ascii="Arial" w:eastAsia="Arial" w:hAnsi="Arial" w:cs="Arial"/>
          <w:lang w:val="mn"/>
        </w:rPr>
        <w:t>Дунд түвшний эрсдэлийг хохирлын харьцаагаар 60 хувь давсан 130 хувийг нь олон улсын давхар даатгагчид шилжүүлж, бусад эрсдэлийг Үндэсний давхар даатгал ХК хариуцах буюу дунд түвшний эрсдэлээс хамгаалах сангийн тооцоолол хийв. Харин 10 жилд 1 удаагийн давтамжтай учирч болох эрсдэлийг Үндэсний давхар даатгал ХК хариуцахаар, 25 жилд 1 удаагийн давтамжтай учирч болох эрсдэлийг олон улсын давхар даатгалд шилжүүлэхээр дээд түвшний эрсдэлийг тооцсон /Г/.</w:t>
      </w:r>
    </w:p>
    <w:p w14:paraId="6595B0C0" w14:textId="4BA9C9EE" w:rsidR="00EA5E79" w:rsidRPr="00543AF3" w:rsidRDefault="540A0BB6" w:rsidP="43CF1FC7">
      <w:pPr>
        <w:spacing w:line="257" w:lineRule="auto"/>
        <w:ind w:firstLine="360"/>
        <w:jc w:val="both"/>
        <w:rPr>
          <w:rFonts w:ascii="Arial" w:hAnsi="Arial" w:cs="Arial"/>
        </w:rPr>
      </w:pPr>
      <w:r w:rsidRPr="00543AF3">
        <w:rPr>
          <w:rFonts w:ascii="Arial" w:eastAsia="Arial" w:hAnsi="Arial" w:cs="Arial"/>
          <w:lang w:val="mn"/>
        </w:rPr>
        <w:t xml:space="preserve">МИД-ын 2025 оны борлуулалтын орлогыг 2014 - 2024 оны борлуулалтын орлогуудын дундажтай тэнцүү байна гэж таамаглахад 3,099,622,070.11 төгрөг байхаар байна. Харин борлуулалтын орлогын түүхэн дата мэдээлэлд үндэслэн түүний дундаж болон стандарт хазайлтыг ашиглан 95 хувийн итгэх түвшинд хамгийн их борлуулалтын орлогыг таамаглахад  4,443,728,289.08 төгрөг болохоор байна. </w:t>
      </w:r>
      <w:r w:rsidRPr="00543AF3">
        <w:rPr>
          <w:rFonts w:ascii="Arial" w:eastAsia="Arial" w:hAnsi="Arial" w:cs="Arial"/>
        </w:rPr>
        <w:t>(</w:t>
      </w:r>
      <w:r w:rsidRPr="00543AF3">
        <w:rPr>
          <w:rFonts w:ascii="Arial" w:eastAsia="Arial" w:hAnsi="Arial" w:cs="Arial"/>
          <w:lang w:val="mn"/>
        </w:rPr>
        <w:t>Хүснэгт 1</w:t>
      </w:r>
      <w:r w:rsidRPr="00543AF3">
        <w:rPr>
          <w:rFonts w:ascii="Arial" w:eastAsia="Arial" w:hAnsi="Arial" w:cs="Arial"/>
        </w:rPr>
        <w:t>)</w:t>
      </w:r>
      <w:r w:rsidRPr="00543AF3">
        <w:rPr>
          <w:rFonts w:ascii="Arial" w:eastAsia="Arial" w:hAnsi="Arial" w:cs="Arial"/>
          <w:lang w:val="mn"/>
        </w:rPr>
        <w:t>.</w:t>
      </w:r>
    </w:p>
    <w:p w14:paraId="3ACAF5C4" w14:textId="7CFBB40A" w:rsidR="00EA5E79" w:rsidRPr="00543AF3" w:rsidRDefault="540A0BB6" w:rsidP="43CF1FC7">
      <w:pPr>
        <w:spacing w:after="0"/>
        <w:rPr>
          <w:rFonts w:ascii="Arial" w:hAnsi="Arial" w:cs="Arial"/>
        </w:rPr>
      </w:pPr>
      <w:proofErr w:type="spellStart"/>
      <w:r w:rsidRPr="00543AF3">
        <w:rPr>
          <w:rFonts w:ascii="Arial" w:eastAsia="Calibri" w:hAnsi="Arial" w:cs="Arial"/>
        </w:rPr>
        <w:t>Хүснэгт</w:t>
      </w:r>
      <w:proofErr w:type="spellEnd"/>
      <w:r w:rsidRPr="00543AF3">
        <w:rPr>
          <w:rFonts w:ascii="Arial" w:eastAsia="Calibri" w:hAnsi="Arial" w:cs="Arial"/>
        </w:rPr>
        <w:t xml:space="preserve"> 1 </w:t>
      </w:r>
      <w:r w:rsidRPr="00543AF3">
        <w:rPr>
          <w:rFonts w:ascii="Arial" w:eastAsia="Calibri" w:hAnsi="Arial" w:cs="Arial"/>
          <w:lang w:val="mn"/>
        </w:rPr>
        <w:t>МИД-ын үнэлгээ болон хураамж</w:t>
      </w:r>
      <w:r w:rsidR="00ED40D1" w:rsidRPr="00543AF3">
        <w:rPr>
          <w:rFonts w:ascii="Arial" w:eastAsia="Calibri" w:hAnsi="Arial" w:cs="Arial"/>
          <w:lang w:val="mn-MN"/>
        </w:rPr>
        <w:t>, төгрөгөөр</w:t>
      </w:r>
    </w:p>
    <w:tbl>
      <w:tblPr>
        <w:tblW w:w="9360" w:type="dxa"/>
        <w:tblLayout w:type="fixed"/>
        <w:tblLook w:val="04A0" w:firstRow="1" w:lastRow="0" w:firstColumn="1" w:lastColumn="0" w:noHBand="0" w:noVBand="1"/>
      </w:tblPr>
      <w:tblGrid>
        <w:gridCol w:w="1373"/>
        <w:gridCol w:w="4017"/>
        <w:gridCol w:w="3970"/>
      </w:tblGrid>
      <w:tr w:rsidR="43CF1FC7" w:rsidRPr="00543AF3" w14:paraId="06863003" w14:textId="77777777" w:rsidTr="00ED40D1">
        <w:trPr>
          <w:trHeight w:val="420"/>
        </w:trPr>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292BFD" w14:textId="26CFCB7A" w:rsidR="43CF1FC7" w:rsidRPr="00543AF3" w:rsidRDefault="43CF1FC7" w:rsidP="43CF1FC7">
            <w:pPr>
              <w:pStyle w:val="NoSpacing"/>
              <w:jc w:val="center"/>
              <w:rPr>
                <w:rFonts w:ascii="Arial" w:hAnsi="Arial" w:cs="Arial"/>
              </w:rPr>
            </w:pPr>
            <w:r w:rsidRPr="00543AF3">
              <w:rPr>
                <w:rFonts w:ascii="Arial" w:eastAsia="Arial" w:hAnsi="Arial" w:cs="Arial"/>
                <w:b/>
                <w:bCs/>
                <w:lang w:val="mn"/>
              </w:rPr>
              <w:t>Он</w:t>
            </w:r>
          </w:p>
        </w:tc>
        <w:tc>
          <w:tcPr>
            <w:tcW w:w="4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A0230F" w14:textId="59211A78" w:rsidR="43CF1FC7" w:rsidRPr="00543AF3" w:rsidRDefault="43CF1FC7" w:rsidP="43CF1FC7">
            <w:pPr>
              <w:pStyle w:val="NoSpacing"/>
              <w:jc w:val="center"/>
              <w:rPr>
                <w:rFonts w:ascii="Arial" w:hAnsi="Arial" w:cs="Arial"/>
              </w:rPr>
            </w:pPr>
            <w:proofErr w:type="spellStart"/>
            <w:r w:rsidRPr="00543AF3">
              <w:rPr>
                <w:rFonts w:ascii="Arial" w:eastAsia="Arial" w:hAnsi="Arial" w:cs="Arial"/>
                <w:b/>
                <w:bCs/>
              </w:rPr>
              <w:t>Даатгуулсан</w:t>
            </w:r>
            <w:proofErr w:type="spellEnd"/>
            <w:r w:rsidRPr="00543AF3">
              <w:rPr>
                <w:rFonts w:ascii="Arial" w:eastAsia="Arial" w:hAnsi="Arial" w:cs="Arial"/>
                <w:b/>
                <w:bCs/>
              </w:rPr>
              <w:t xml:space="preserve"> </w:t>
            </w:r>
            <w:proofErr w:type="spellStart"/>
            <w:r w:rsidRPr="00543AF3">
              <w:rPr>
                <w:rFonts w:ascii="Arial" w:eastAsia="Arial" w:hAnsi="Arial" w:cs="Arial"/>
                <w:b/>
                <w:bCs/>
              </w:rPr>
              <w:t>малын</w:t>
            </w:r>
            <w:proofErr w:type="spellEnd"/>
            <w:r w:rsidRPr="00543AF3">
              <w:rPr>
                <w:rFonts w:ascii="Arial" w:eastAsia="Arial" w:hAnsi="Arial" w:cs="Arial"/>
                <w:b/>
                <w:bCs/>
              </w:rPr>
              <w:t xml:space="preserve"> </w:t>
            </w:r>
            <w:proofErr w:type="spellStart"/>
            <w:r w:rsidRPr="00543AF3">
              <w:rPr>
                <w:rFonts w:ascii="Arial" w:eastAsia="Arial" w:hAnsi="Arial" w:cs="Arial"/>
                <w:b/>
                <w:bCs/>
              </w:rPr>
              <w:t>нийт</w:t>
            </w:r>
            <w:proofErr w:type="spellEnd"/>
            <w:r w:rsidRPr="00543AF3">
              <w:rPr>
                <w:rFonts w:ascii="Arial" w:eastAsia="Arial" w:hAnsi="Arial" w:cs="Arial"/>
                <w:b/>
                <w:bCs/>
              </w:rPr>
              <w:t xml:space="preserve"> </w:t>
            </w:r>
            <w:proofErr w:type="spellStart"/>
            <w:r w:rsidRPr="00543AF3">
              <w:rPr>
                <w:rFonts w:ascii="Arial" w:eastAsia="Arial" w:hAnsi="Arial" w:cs="Arial"/>
                <w:b/>
                <w:bCs/>
              </w:rPr>
              <w:t>үнэлгээ</w:t>
            </w:r>
            <w:proofErr w:type="spellEnd"/>
          </w:p>
        </w:tc>
        <w:tc>
          <w:tcPr>
            <w:tcW w:w="3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32BD05" w14:textId="14A5ACD2" w:rsidR="43CF1FC7" w:rsidRPr="00543AF3" w:rsidRDefault="43CF1FC7" w:rsidP="43CF1FC7">
            <w:pPr>
              <w:pStyle w:val="NoSpacing"/>
              <w:jc w:val="center"/>
              <w:rPr>
                <w:rFonts w:ascii="Arial" w:hAnsi="Arial" w:cs="Arial"/>
              </w:rPr>
            </w:pPr>
            <w:proofErr w:type="spellStart"/>
            <w:r w:rsidRPr="00543AF3">
              <w:rPr>
                <w:rFonts w:ascii="Arial" w:eastAsia="Arial" w:hAnsi="Arial" w:cs="Arial"/>
                <w:b/>
                <w:bCs/>
              </w:rPr>
              <w:t>Малчны</w:t>
            </w:r>
            <w:proofErr w:type="spellEnd"/>
            <w:r w:rsidRPr="00543AF3">
              <w:rPr>
                <w:rFonts w:ascii="Arial" w:eastAsia="Arial" w:hAnsi="Arial" w:cs="Arial"/>
                <w:b/>
                <w:bCs/>
              </w:rPr>
              <w:t xml:space="preserve"> </w:t>
            </w:r>
            <w:proofErr w:type="spellStart"/>
            <w:r w:rsidRPr="00543AF3">
              <w:rPr>
                <w:rFonts w:ascii="Arial" w:eastAsia="Arial" w:hAnsi="Arial" w:cs="Arial"/>
                <w:b/>
                <w:bCs/>
              </w:rPr>
              <w:t>төлсөн</w:t>
            </w:r>
            <w:proofErr w:type="spellEnd"/>
            <w:r w:rsidRPr="00543AF3">
              <w:rPr>
                <w:rFonts w:ascii="Arial" w:eastAsia="Arial" w:hAnsi="Arial" w:cs="Arial"/>
                <w:b/>
                <w:bCs/>
              </w:rPr>
              <w:t xml:space="preserve"> </w:t>
            </w:r>
            <w:proofErr w:type="spellStart"/>
            <w:r w:rsidRPr="00543AF3">
              <w:rPr>
                <w:rFonts w:ascii="Arial" w:eastAsia="Arial" w:hAnsi="Arial" w:cs="Arial"/>
                <w:b/>
                <w:bCs/>
              </w:rPr>
              <w:t>хураамжийн</w:t>
            </w:r>
            <w:proofErr w:type="spellEnd"/>
            <w:r w:rsidRPr="00543AF3">
              <w:rPr>
                <w:rFonts w:ascii="Arial" w:eastAsia="Arial" w:hAnsi="Arial" w:cs="Arial"/>
                <w:b/>
                <w:bCs/>
              </w:rPr>
              <w:t xml:space="preserve"> </w:t>
            </w:r>
            <w:proofErr w:type="spellStart"/>
            <w:r w:rsidRPr="00543AF3">
              <w:rPr>
                <w:rFonts w:ascii="Arial" w:eastAsia="Arial" w:hAnsi="Arial" w:cs="Arial"/>
                <w:b/>
                <w:bCs/>
              </w:rPr>
              <w:t>хэмжээ</w:t>
            </w:r>
            <w:proofErr w:type="spellEnd"/>
          </w:p>
        </w:tc>
      </w:tr>
      <w:tr w:rsidR="43CF1FC7" w:rsidRPr="00543AF3" w14:paraId="039A8E89" w14:textId="77777777" w:rsidTr="00ED40D1">
        <w:trPr>
          <w:trHeight w:val="300"/>
        </w:trPr>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EE88FF" w14:textId="11DEE51A" w:rsidR="43CF1FC7" w:rsidRPr="00543AF3" w:rsidRDefault="43CF1FC7" w:rsidP="43CF1FC7">
            <w:pPr>
              <w:pStyle w:val="NoSpacing"/>
              <w:jc w:val="center"/>
              <w:rPr>
                <w:rFonts w:ascii="Arial" w:hAnsi="Arial" w:cs="Arial"/>
              </w:rPr>
            </w:pPr>
            <w:r w:rsidRPr="00543AF3">
              <w:rPr>
                <w:rFonts w:ascii="Arial" w:eastAsia="Arial" w:hAnsi="Arial" w:cs="Arial"/>
              </w:rPr>
              <w:t>2014</w:t>
            </w:r>
          </w:p>
        </w:tc>
        <w:tc>
          <w:tcPr>
            <w:tcW w:w="4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341EF4" w14:textId="4C24F66B" w:rsidR="43CF1FC7" w:rsidRPr="00543AF3" w:rsidRDefault="43CF1FC7" w:rsidP="43CF1FC7">
            <w:pPr>
              <w:pStyle w:val="NoSpacing"/>
              <w:jc w:val="center"/>
              <w:rPr>
                <w:rFonts w:ascii="Arial" w:hAnsi="Arial" w:cs="Arial"/>
              </w:rPr>
            </w:pPr>
            <w:r w:rsidRPr="00543AF3">
              <w:rPr>
                <w:rFonts w:ascii="Arial" w:eastAsia="Arial" w:hAnsi="Arial" w:cs="Arial"/>
              </w:rPr>
              <w:t>30,019,031,531.83</w:t>
            </w:r>
          </w:p>
        </w:tc>
        <w:tc>
          <w:tcPr>
            <w:tcW w:w="3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DAC70B" w14:textId="72C869CE" w:rsidR="43CF1FC7" w:rsidRPr="00543AF3" w:rsidRDefault="43CF1FC7" w:rsidP="43CF1FC7">
            <w:pPr>
              <w:pStyle w:val="NoSpacing"/>
              <w:jc w:val="center"/>
              <w:rPr>
                <w:rFonts w:ascii="Arial" w:hAnsi="Arial" w:cs="Arial"/>
              </w:rPr>
            </w:pPr>
            <w:r w:rsidRPr="00543AF3">
              <w:rPr>
                <w:rFonts w:ascii="Arial" w:eastAsia="Arial" w:hAnsi="Arial" w:cs="Arial"/>
              </w:rPr>
              <w:t>1,374,088,230.00</w:t>
            </w:r>
          </w:p>
        </w:tc>
      </w:tr>
      <w:tr w:rsidR="43CF1FC7" w:rsidRPr="00543AF3" w14:paraId="7C12CFF2" w14:textId="77777777" w:rsidTr="00ED40D1">
        <w:trPr>
          <w:trHeight w:val="300"/>
        </w:trPr>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3400B5" w14:textId="4CB174CF" w:rsidR="43CF1FC7" w:rsidRPr="00543AF3" w:rsidRDefault="43CF1FC7" w:rsidP="43CF1FC7">
            <w:pPr>
              <w:pStyle w:val="NoSpacing"/>
              <w:jc w:val="center"/>
              <w:rPr>
                <w:rFonts w:ascii="Arial" w:hAnsi="Arial" w:cs="Arial"/>
              </w:rPr>
            </w:pPr>
            <w:r w:rsidRPr="00543AF3">
              <w:rPr>
                <w:rFonts w:ascii="Arial" w:eastAsia="Arial" w:hAnsi="Arial" w:cs="Arial"/>
              </w:rPr>
              <w:t>2015</w:t>
            </w:r>
          </w:p>
        </w:tc>
        <w:tc>
          <w:tcPr>
            <w:tcW w:w="4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3BED4" w14:textId="3E4CF29C" w:rsidR="43CF1FC7" w:rsidRPr="00543AF3" w:rsidRDefault="43CF1FC7" w:rsidP="43CF1FC7">
            <w:pPr>
              <w:pStyle w:val="NoSpacing"/>
              <w:jc w:val="center"/>
              <w:rPr>
                <w:rFonts w:ascii="Arial" w:hAnsi="Arial" w:cs="Arial"/>
              </w:rPr>
            </w:pPr>
            <w:r w:rsidRPr="00543AF3">
              <w:rPr>
                <w:rFonts w:ascii="Arial" w:eastAsia="Arial" w:hAnsi="Arial" w:cs="Arial"/>
              </w:rPr>
              <w:t>27,729,337,218.14</w:t>
            </w:r>
          </w:p>
        </w:tc>
        <w:tc>
          <w:tcPr>
            <w:tcW w:w="3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FAA234" w14:textId="5A961E14" w:rsidR="43CF1FC7" w:rsidRPr="00543AF3" w:rsidRDefault="43CF1FC7" w:rsidP="43CF1FC7">
            <w:pPr>
              <w:pStyle w:val="NoSpacing"/>
              <w:jc w:val="center"/>
              <w:rPr>
                <w:rFonts w:ascii="Arial" w:hAnsi="Arial" w:cs="Arial"/>
              </w:rPr>
            </w:pPr>
            <w:r w:rsidRPr="00543AF3">
              <w:rPr>
                <w:rFonts w:ascii="Arial" w:eastAsia="Arial" w:hAnsi="Arial" w:cs="Arial"/>
              </w:rPr>
              <w:t>1,313,446,950.47</w:t>
            </w:r>
          </w:p>
        </w:tc>
      </w:tr>
      <w:tr w:rsidR="43CF1FC7" w:rsidRPr="00543AF3" w14:paraId="22DA64BB" w14:textId="77777777" w:rsidTr="00ED40D1">
        <w:trPr>
          <w:trHeight w:val="300"/>
        </w:trPr>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1B496C" w14:textId="591E0D20" w:rsidR="43CF1FC7" w:rsidRPr="00543AF3" w:rsidRDefault="43CF1FC7" w:rsidP="43CF1FC7">
            <w:pPr>
              <w:pStyle w:val="NoSpacing"/>
              <w:jc w:val="center"/>
              <w:rPr>
                <w:rFonts w:ascii="Arial" w:hAnsi="Arial" w:cs="Arial"/>
              </w:rPr>
            </w:pPr>
            <w:r w:rsidRPr="00543AF3">
              <w:rPr>
                <w:rFonts w:ascii="Arial" w:eastAsia="Arial" w:hAnsi="Arial" w:cs="Arial"/>
              </w:rPr>
              <w:t>2016</w:t>
            </w:r>
          </w:p>
        </w:tc>
        <w:tc>
          <w:tcPr>
            <w:tcW w:w="4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A93CD6" w14:textId="301219C9" w:rsidR="43CF1FC7" w:rsidRPr="00543AF3" w:rsidRDefault="43CF1FC7" w:rsidP="43CF1FC7">
            <w:pPr>
              <w:pStyle w:val="NoSpacing"/>
              <w:jc w:val="center"/>
              <w:rPr>
                <w:rFonts w:ascii="Arial" w:hAnsi="Arial" w:cs="Arial"/>
              </w:rPr>
            </w:pPr>
            <w:r w:rsidRPr="00543AF3">
              <w:rPr>
                <w:rFonts w:ascii="Arial" w:eastAsia="Arial" w:hAnsi="Arial" w:cs="Arial"/>
              </w:rPr>
              <w:t>39,561,354,021.09</w:t>
            </w:r>
          </w:p>
        </w:tc>
        <w:tc>
          <w:tcPr>
            <w:tcW w:w="3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0FA982" w14:textId="364D7E37" w:rsidR="43CF1FC7" w:rsidRPr="00543AF3" w:rsidRDefault="43CF1FC7" w:rsidP="43CF1FC7">
            <w:pPr>
              <w:pStyle w:val="NoSpacing"/>
              <w:jc w:val="center"/>
              <w:rPr>
                <w:rFonts w:ascii="Arial" w:hAnsi="Arial" w:cs="Arial"/>
              </w:rPr>
            </w:pPr>
            <w:r w:rsidRPr="00543AF3">
              <w:rPr>
                <w:rFonts w:ascii="Arial" w:eastAsia="Arial" w:hAnsi="Arial" w:cs="Arial"/>
              </w:rPr>
              <w:t>1,774,078,180.87</w:t>
            </w:r>
          </w:p>
        </w:tc>
      </w:tr>
      <w:tr w:rsidR="43CF1FC7" w:rsidRPr="00543AF3" w14:paraId="38D1E4CE" w14:textId="77777777" w:rsidTr="00ED40D1">
        <w:trPr>
          <w:trHeight w:val="300"/>
        </w:trPr>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A176EC" w14:textId="4BEBA2EA" w:rsidR="43CF1FC7" w:rsidRPr="00543AF3" w:rsidRDefault="43CF1FC7" w:rsidP="43CF1FC7">
            <w:pPr>
              <w:pStyle w:val="NoSpacing"/>
              <w:jc w:val="center"/>
              <w:rPr>
                <w:rFonts w:ascii="Arial" w:hAnsi="Arial" w:cs="Arial"/>
              </w:rPr>
            </w:pPr>
            <w:r w:rsidRPr="00543AF3">
              <w:rPr>
                <w:rFonts w:ascii="Arial" w:eastAsia="Arial" w:hAnsi="Arial" w:cs="Arial"/>
              </w:rPr>
              <w:t>2017</w:t>
            </w:r>
          </w:p>
        </w:tc>
        <w:tc>
          <w:tcPr>
            <w:tcW w:w="4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E46D84" w14:textId="5B1A8698" w:rsidR="43CF1FC7" w:rsidRPr="00543AF3" w:rsidRDefault="43CF1FC7" w:rsidP="43CF1FC7">
            <w:pPr>
              <w:pStyle w:val="NoSpacing"/>
              <w:jc w:val="center"/>
              <w:rPr>
                <w:rFonts w:ascii="Arial" w:hAnsi="Arial" w:cs="Arial"/>
              </w:rPr>
            </w:pPr>
            <w:r w:rsidRPr="00543AF3">
              <w:rPr>
                <w:rFonts w:ascii="Arial" w:eastAsia="Arial" w:hAnsi="Arial" w:cs="Arial"/>
              </w:rPr>
              <w:t>55,022,877,851.47</w:t>
            </w:r>
          </w:p>
        </w:tc>
        <w:tc>
          <w:tcPr>
            <w:tcW w:w="3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BDF41D" w14:textId="1FAE1DD2" w:rsidR="43CF1FC7" w:rsidRPr="00543AF3" w:rsidRDefault="43CF1FC7" w:rsidP="43CF1FC7">
            <w:pPr>
              <w:pStyle w:val="NoSpacing"/>
              <w:jc w:val="center"/>
              <w:rPr>
                <w:rFonts w:ascii="Arial" w:hAnsi="Arial" w:cs="Arial"/>
              </w:rPr>
            </w:pPr>
            <w:r w:rsidRPr="00543AF3">
              <w:rPr>
                <w:rFonts w:ascii="Arial" w:eastAsia="Arial" w:hAnsi="Arial" w:cs="Arial"/>
              </w:rPr>
              <w:t>2,329,114,961.80</w:t>
            </w:r>
          </w:p>
        </w:tc>
      </w:tr>
      <w:tr w:rsidR="43CF1FC7" w:rsidRPr="00543AF3" w14:paraId="044DA91C" w14:textId="77777777" w:rsidTr="00ED40D1">
        <w:trPr>
          <w:trHeight w:val="300"/>
        </w:trPr>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FBF078" w14:textId="7ABF78F7" w:rsidR="43CF1FC7" w:rsidRPr="00543AF3" w:rsidRDefault="43CF1FC7" w:rsidP="43CF1FC7">
            <w:pPr>
              <w:pStyle w:val="NoSpacing"/>
              <w:jc w:val="center"/>
              <w:rPr>
                <w:rFonts w:ascii="Arial" w:hAnsi="Arial" w:cs="Arial"/>
              </w:rPr>
            </w:pPr>
            <w:r w:rsidRPr="00543AF3">
              <w:rPr>
                <w:rFonts w:ascii="Arial" w:eastAsia="Arial" w:hAnsi="Arial" w:cs="Arial"/>
              </w:rPr>
              <w:lastRenderedPageBreak/>
              <w:t>2018</w:t>
            </w:r>
          </w:p>
        </w:tc>
        <w:tc>
          <w:tcPr>
            <w:tcW w:w="4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DE3674" w14:textId="3E033D92" w:rsidR="43CF1FC7" w:rsidRPr="00543AF3" w:rsidRDefault="43CF1FC7" w:rsidP="43CF1FC7">
            <w:pPr>
              <w:pStyle w:val="NoSpacing"/>
              <w:jc w:val="center"/>
              <w:rPr>
                <w:rFonts w:ascii="Arial" w:hAnsi="Arial" w:cs="Arial"/>
              </w:rPr>
            </w:pPr>
            <w:r w:rsidRPr="00543AF3">
              <w:rPr>
                <w:rFonts w:ascii="Arial" w:eastAsia="Arial" w:hAnsi="Arial" w:cs="Arial"/>
              </w:rPr>
              <w:t>95,576,879,255.41</w:t>
            </w:r>
          </w:p>
        </w:tc>
        <w:tc>
          <w:tcPr>
            <w:tcW w:w="3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25400D" w14:textId="2B42B6F3" w:rsidR="43CF1FC7" w:rsidRPr="00543AF3" w:rsidRDefault="43CF1FC7" w:rsidP="43CF1FC7">
            <w:pPr>
              <w:pStyle w:val="NoSpacing"/>
              <w:jc w:val="center"/>
              <w:rPr>
                <w:rFonts w:ascii="Arial" w:hAnsi="Arial" w:cs="Arial"/>
              </w:rPr>
            </w:pPr>
            <w:r w:rsidRPr="00543AF3">
              <w:rPr>
                <w:rFonts w:ascii="Arial" w:eastAsia="Arial" w:hAnsi="Arial" w:cs="Arial"/>
              </w:rPr>
              <w:t>3,462,698,777.46</w:t>
            </w:r>
          </w:p>
        </w:tc>
      </w:tr>
      <w:tr w:rsidR="43CF1FC7" w:rsidRPr="00543AF3" w14:paraId="4B0C45EF" w14:textId="77777777" w:rsidTr="00ED40D1">
        <w:trPr>
          <w:trHeight w:val="300"/>
        </w:trPr>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B5884A" w14:textId="0FCC4319" w:rsidR="43CF1FC7" w:rsidRPr="00543AF3" w:rsidRDefault="43CF1FC7" w:rsidP="43CF1FC7">
            <w:pPr>
              <w:pStyle w:val="NoSpacing"/>
              <w:jc w:val="center"/>
              <w:rPr>
                <w:rFonts w:ascii="Arial" w:hAnsi="Arial" w:cs="Arial"/>
              </w:rPr>
            </w:pPr>
            <w:r w:rsidRPr="00543AF3">
              <w:rPr>
                <w:rFonts w:ascii="Arial" w:eastAsia="Arial" w:hAnsi="Arial" w:cs="Arial"/>
              </w:rPr>
              <w:t>2019</w:t>
            </w:r>
          </w:p>
        </w:tc>
        <w:tc>
          <w:tcPr>
            <w:tcW w:w="4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934C9D" w14:textId="63D9ECD9" w:rsidR="43CF1FC7" w:rsidRPr="00543AF3" w:rsidRDefault="43CF1FC7" w:rsidP="43CF1FC7">
            <w:pPr>
              <w:pStyle w:val="NoSpacing"/>
              <w:jc w:val="center"/>
              <w:rPr>
                <w:rFonts w:ascii="Arial" w:hAnsi="Arial" w:cs="Arial"/>
              </w:rPr>
            </w:pPr>
            <w:r w:rsidRPr="00543AF3">
              <w:rPr>
                <w:rFonts w:ascii="Arial" w:eastAsia="Arial" w:hAnsi="Arial" w:cs="Arial"/>
              </w:rPr>
              <w:t>114,874,097,489.99</w:t>
            </w:r>
          </w:p>
        </w:tc>
        <w:tc>
          <w:tcPr>
            <w:tcW w:w="3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BE1985" w14:textId="228DBA96" w:rsidR="43CF1FC7" w:rsidRPr="00543AF3" w:rsidRDefault="43CF1FC7" w:rsidP="43CF1FC7">
            <w:pPr>
              <w:pStyle w:val="NoSpacing"/>
              <w:jc w:val="center"/>
              <w:rPr>
                <w:rFonts w:ascii="Arial" w:hAnsi="Arial" w:cs="Arial"/>
              </w:rPr>
            </w:pPr>
            <w:r w:rsidRPr="00543AF3">
              <w:rPr>
                <w:rFonts w:ascii="Arial" w:eastAsia="Arial" w:hAnsi="Arial" w:cs="Arial"/>
              </w:rPr>
              <w:t>3,845,685,067.08</w:t>
            </w:r>
          </w:p>
        </w:tc>
      </w:tr>
      <w:tr w:rsidR="43CF1FC7" w:rsidRPr="00543AF3" w14:paraId="44384B17" w14:textId="77777777" w:rsidTr="00ED40D1">
        <w:trPr>
          <w:trHeight w:val="300"/>
        </w:trPr>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08B014" w14:textId="343C87FA" w:rsidR="43CF1FC7" w:rsidRPr="00543AF3" w:rsidRDefault="43CF1FC7" w:rsidP="43CF1FC7">
            <w:pPr>
              <w:pStyle w:val="NoSpacing"/>
              <w:jc w:val="center"/>
              <w:rPr>
                <w:rFonts w:ascii="Arial" w:hAnsi="Arial" w:cs="Arial"/>
              </w:rPr>
            </w:pPr>
            <w:r w:rsidRPr="00543AF3">
              <w:rPr>
                <w:rFonts w:ascii="Arial" w:eastAsia="Arial" w:hAnsi="Arial" w:cs="Arial"/>
              </w:rPr>
              <w:t>2020</w:t>
            </w:r>
          </w:p>
        </w:tc>
        <w:tc>
          <w:tcPr>
            <w:tcW w:w="4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33AF58" w14:textId="76FC9DD4" w:rsidR="43CF1FC7" w:rsidRPr="00543AF3" w:rsidRDefault="43CF1FC7" w:rsidP="43CF1FC7">
            <w:pPr>
              <w:pStyle w:val="NoSpacing"/>
              <w:jc w:val="center"/>
              <w:rPr>
                <w:rFonts w:ascii="Arial" w:hAnsi="Arial" w:cs="Arial"/>
              </w:rPr>
            </w:pPr>
            <w:r w:rsidRPr="00543AF3">
              <w:rPr>
                <w:rFonts w:ascii="Arial" w:eastAsia="Arial" w:hAnsi="Arial" w:cs="Arial"/>
              </w:rPr>
              <w:t>99,868,378,481.89</w:t>
            </w:r>
          </w:p>
        </w:tc>
        <w:tc>
          <w:tcPr>
            <w:tcW w:w="3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FD9DF5" w14:textId="2C620B5D" w:rsidR="43CF1FC7" w:rsidRPr="00543AF3" w:rsidRDefault="43CF1FC7" w:rsidP="43CF1FC7">
            <w:pPr>
              <w:pStyle w:val="NoSpacing"/>
              <w:jc w:val="center"/>
              <w:rPr>
                <w:rFonts w:ascii="Arial" w:hAnsi="Arial" w:cs="Arial"/>
              </w:rPr>
            </w:pPr>
            <w:r w:rsidRPr="00543AF3">
              <w:rPr>
                <w:rFonts w:ascii="Arial" w:eastAsia="Arial" w:hAnsi="Arial" w:cs="Arial"/>
              </w:rPr>
              <w:t>3,478,513,328.02</w:t>
            </w:r>
          </w:p>
        </w:tc>
      </w:tr>
      <w:tr w:rsidR="43CF1FC7" w:rsidRPr="00543AF3" w14:paraId="4F1F8A80" w14:textId="77777777" w:rsidTr="00ED40D1">
        <w:trPr>
          <w:trHeight w:val="300"/>
        </w:trPr>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076957" w14:textId="186BF20C" w:rsidR="43CF1FC7" w:rsidRPr="00543AF3" w:rsidRDefault="43CF1FC7" w:rsidP="43CF1FC7">
            <w:pPr>
              <w:pStyle w:val="NoSpacing"/>
              <w:jc w:val="center"/>
              <w:rPr>
                <w:rFonts w:ascii="Arial" w:hAnsi="Arial" w:cs="Arial"/>
              </w:rPr>
            </w:pPr>
            <w:r w:rsidRPr="00543AF3">
              <w:rPr>
                <w:rFonts w:ascii="Arial" w:eastAsia="Arial" w:hAnsi="Arial" w:cs="Arial"/>
              </w:rPr>
              <w:t>2021</w:t>
            </w:r>
          </w:p>
        </w:tc>
        <w:tc>
          <w:tcPr>
            <w:tcW w:w="4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602194" w14:textId="6960B067" w:rsidR="43CF1FC7" w:rsidRPr="00543AF3" w:rsidRDefault="43CF1FC7" w:rsidP="43CF1FC7">
            <w:pPr>
              <w:pStyle w:val="NoSpacing"/>
              <w:jc w:val="center"/>
              <w:rPr>
                <w:rFonts w:ascii="Arial" w:hAnsi="Arial" w:cs="Arial"/>
              </w:rPr>
            </w:pPr>
            <w:r w:rsidRPr="00543AF3">
              <w:rPr>
                <w:rFonts w:ascii="Arial" w:eastAsia="Arial" w:hAnsi="Arial" w:cs="Arial"/>
              </w:rPr>
              <w:t>120,805,633,656.12</w:t>
            </w:r>
          </w:p>
        </w:tc>
        <w:tc>
          <w:tcPr>
            <w:tcW w:w="3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E15A0F" w14:textId="22FFF7B2" w:rsidR="43CF1FC7" w:rsidRPr="00543AF3" w:rsidRDefault="43CF1FC7" w:rsidP="43CF1FC7">
            <w:pPr>
              <w:pStyle w:val="NoSpacing"/>
              <w:jc w:val="center"/>
              <w:rPr>
                <w:rFonts w:ascii="Arial" w:hAnsi="Arial" w:cs="Arial"/>
              </w:rPr>
            </w:pPr>
            <w:r w:rsidRPr="00543AF3">
              <w:rPr>
                <w:rFonts w:ascii="Arial" w:eastAsia="Arial" w:hAnsi="Arial" w:cs="Arial"/>
              </w:rPr>
              <w:t>3,921,972,274.61</w:t>
            </w:r>
          </w:p>
        </w:tc>
      </w:tr>
      <w:tr w:rsidR="43CF1FC7" w:rsidRPr="00543AF3" w14:paraId="2915B345" w14:textId="77777777" w:rsidTr="00ED40D1">
        <w:trPr>
          <w:trHeight w:val="300"/>
        </w:trPr>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D59F5D" w14:textId="3EAAD31D" w:rsidR="43CF1FC7" w:rsidRPr="00543AF3" w:rsidRDefault="43CF1FC7" w:rsidP="43CF1FC7">
            <w:pPr>
              <w:pStyle w:val="NoSpacing"/>
              <w:jc w:val="center"/>
              <w:rPr>
                <w:rFonts w:ascii="Arial" w:hAnsi="Arial" w:cs="Arial"/>
              </w:rPr>
            </w:pPr>
            <w:r w:rsidRPr="00543AF3">
              <w:rPr>
                <w:rFonts w:ascii="Arial" w:eastAsia="Arial" w:hAnsi="Arial" w:cs="Arial"/>
              </w:rPr>
              <w:t>2022</w:t>
            </w:r>
          </w:p>
        </w:tc>
        <w:tc>
          <w:tcPr>
            <w:tcW w:w="4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74F06F" w14:textId="3322CC2E" w:rsidR="43CF1FC7" w:rsidRPr="00543AF3" w:rsidRDefault="43CF1FC7" w:rsidP="43CF1FC7">
            <w:pPr>
              <w:pStyle w:val="NoSpacing"/>
              <w:jc w:val="center"/>
              <w:rPr>
                <w:rFonts w:ascii="Arial" w:hAnsi="Arial" w:cs="Arial"/>
              </w:rPr>
            </w:pPr>
            <w:r w:rsidRPr="00543AF3">
              <w:rPr>
                <w:rFonts w:ascii="Arial" w:eastAsia="Arial" w:hAnsi="Arial" w:cs="Arial"/>
              </w:rPr>
              <w:t>117,977,117,792.27</w:t>
            </w:r>
          </w:p>
        </w:tc>
        <w:tc>
          <w:tcPr>
            <w:tcW w:w="3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DB868F" w14:textId="48DDE13B" w:rsidR="43CF1FC7" w:rsidRPr="00543AF3" w:rsidRDefault="43CF1FC7" w:rsidP="43CF1FC7">
            <w:pPr>
              <w:pStyle w:val="NoSpacing"/>
              <w:jc w:val="center"/>
              <w:rPr>
                <w:rFonts w:ascii="Arial" w:hAnsi="Arial" w:cs="Arial"/>
              </w:rPr>
            </w:pPr>
            <w:r w:rsidRPr="00543AF3">
              <w:rPr>
                <w:rFonts w:ascii="Arial" w:eastAsia="Arial" w:hAnsi="Arial" w:cs="Arial"/>
              </w:rPr>
              <w:t>3,911,861,006.11</w:t>
            </w:r>
          </w:p>
        </w:tc>
      </w:tr>
      <w:tr w:rsidR="43CF1FC7" w:rsidRPr="00543AF3" w14:paraId="09BC7AE0" w14:textId="77777777" w:rsidTr="00ED40D1">
        <w:trPr>
          <w:trHeight w:val="300"/>
        </w:trPr>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E8A9E9" w14:textId="4DBB6147" w:rsidR="43CF1FC7" w:rsidRPr="00543AF3" w:rsidRDefault="43CF1FC7" w:rsidP="43CF1FC7">
            <w:pPr>
              <w:pStyle w:val="NoSpacing"/>
              <w:jc w:val="center"/>
              <w:rPr>
                <w:rFonts w:ascii="Arial" w:hAnsi="Arial" w:cs="Arial"/>
              </w:rPr>
            </w:pPr>
            <w:r w:rsidRPr="00543AF3">
              <w:rPr>
                <w:rFonts w:ascii="Arial" w:eastAsia="Arial" w:hAnsi="Arial" w:cs="Arial"/>
              </w:rPr>
              <w:t>2023</w:t>
            </w:r>
          </w:p>
        </w:tc>
        <w:tc>
          <w:tcPr>
            <w:tcW w:w="4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44AB3B" w14:textId="3D9A3224" w:rsidR="43CF1FC7" w:rsidRPr="00543AF3" w:rsidRDefault="43CF1FC7" w:rsidP="43CF1FC7">
            <w:pPr>
              <w:pStyle w:val="NoSpacing"/>
              <w:jc w:val="center"/>
              <w:rPr>
                <w:rFonts w:ascii="Arial" w:hAnsi="Arial" w:cs="Arial"/>
              </w:rPr>
            </w:pPr>
            <w:r w:rsidRPr="00543AF3">
              <w:rPr>
                <w:rFonts w:ascii="Arial" w:eastAsia="Arial" w:hAnsi="Arial" w:cs="Arial"/>
              </w:rPr>
              <w:t>149,082,650,669.64</w:t>
            </w:r>
          </w:p>
        </w:tc>
        <w:tc>
          <w:tcPr>
            <w:tcW w:w="3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020FCD" w14:textId="3B75B7DF" w:rsidR="43CF1FC7" w:rsidRPr="00543AF3" w:rsidRDefault="43CF1FC7" w:rsidP="43CF1FC7">
            <w:pPr>
              <w:pStyle w:val="NoSpacing"/>
              <w:jc w:val="center"/>
              <w:rPr>
                <w:rFonts w:ascii="Arial" w:hAnsi="Arial" w:cs="Arial"/>
              </w:rPr>
            </w:pPr>
            <w:r w:rsidRPr="00543AF3">
              <w:rPr>
                <w:rFonts w:ascii="Arial" w:eastAsia="Arial" w:hAnsi="Arial" w:cs="Arial"/>
              </w:rPr>
              <w:t>4,965,484,303.54</w:t>
            </w:r>
          </w:p>
        </w:tc>
      </w:tr>
      <w:tr w:rsidR="43CF1FC7" w:rsidRPr="00543AF3" w14:paraId="799922B2" w14:textId="77777777" w:rsidTr="00ED40D1">
        <w:trPr>
          <w:trHeight w:val="300"/>
        </w:trPr>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E611AB" w14:textId="0A587EF5" w:rsidR="43CF1FC7" w:rsidRPr="00543AF3" w:rsidRDefault="43CF1FC7" w:rsidP="43CF1FC7">
            <w:pPr>
              <w:pStyle w:val="NoSpacing"/>
              <w:jc w:val="center"/>
              <w:rPr>
                <w:rFonts w:ascii="Arial" w:hAnsi="Arial" w:cs="Arial"/>
              </w:rPr>
            </w:pPr>
            <w:r w:rsidRPr="00543AF3">
              <w:rPr>
                <w:rFonts w:ascii="Arial" w:eastAsia="Arial" w:hAnsi="Arial" w:cs="Arial"/>
              </w:rPr>
              <w:t>2024</w:t>
            </w:r>
          </w:p>
        </w:tc>
        <w:tc>
          <w:tcPr>
            <w:tcW w:w="4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FC9380" w14:textId="28AD8892" w:rsidR="43CF1FC7" w:rsidRPr="00543AF3" w:rsidRDefault="43CF1FC7" w:rsidP="43CF1FC7">
            <w:pPr>
              <w:pStyle w:val="NoSpacing"/>
              <w:jc w:val="center"/>
              <w:rPr>
                <w:rFonts w:ascii="Arial" w:hAnsi="Arial" w:cs="Arial"/>
              </w:rPr>
            </w:pPr>
            <w:r w:rsidRPr="00543AF3">
              <w:rPr>
                <w:rFonts w:ascii="Arial" w:eastAsia="Arial" w:hAnsi="Arial" w:cs="Arial"/>
              </w:rPr>
              <w:t>106,335,096,612.25</w:t>
            </w:r>
          </w:p>
        </w:tc>
        <w:tc>
          <w:tcPr>
            <w:tcW w:w="3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4F2159" w14:textId="4843F197" w:rsidR="43CF1FC7" w:rsidRPr="00543AF3" w:rsidRDefault="43CF1FC7" w:rsidP="43CF1FC7">
            <w:pPr>
              <w:pStyle w:val="NoSpacing"/>
              <w:jc w:val="center"/>
              <w:rPr>
                <w:rFonts w:ascii="Arial" w:hAnsi="Arial" w:cs="Arial"/>
              </w:rPr>
            </w:pPr>
            <w:r w:rsidRPr="00543AF3">
              <w:rPr>
                <w:rFonts w:ascii="Arial" w:eastAsia="Arial" w:hAnsi="Arial" w:cs="Arial"/>
              </w:rPr>
              <w:t>3,718,899,691.30</w:t>
            </w:r>
          </w:p>
        </w:tc>
      </w:tr>
      <w:tr w:rsidR="43CF1FC7" w:rsidRPr="00543AF3" w14:paraId="6579972A" w14:textId="77777777" w:rsidTr="00ED40D1">
        <w:trPr>
          <w:trHeight w:val="300"/>
        </w:trPr>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6E0E22" w14:textId="66C3B4D7" w:rsidR="43CF1FC7" w:rsidRPr="00543AF3" w:rsidRDefault="43CF1FC7" w:rsidP="43CF1FC7">
            <w:pPr>
              <w:pStyle w:val="NoSpacing"/>
              <w:jc w:val="center"/>
              <w:rPr>
                <w:rFonts w:ascii="Arial" w:hAnsi="Arial" w:cs="Arial"/>
              </w:rPr>
            </w:pPr>
            <w:r w:rsidRPr="00543AF3">
              <w:rPr>
                <w:rFonts w:ascii="Arial" w:eastAsia="Arial" w:hAnsi="Arial" w:cs="Arial"/>
                <w:b/>
                <w:bCs/>
                <w:lang w:val="mn"/>
              </w:rPr>
              <w:t>Дундаж</w:t>
            </w:r>
          </w:p>
        </w:tc>
        <w:tc>
          <w:tcPr>
            <w:tcW w:w="4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97997B" w14:textId="3AE0BCD5" w:rsidR="43CF1FC7" w:rsidRPr="00543AF3" w:rsidRDefault="43CF1FC7" w:rsidP="43CF1FC7">
            <w:pPr>
              <w:pStyle w:val="NoSpacing"/>
              <w:jc w:val="center"/>
              <w:rPr>
                <w:rFonts w:ascii="Arial" w:hAnsi="Arial" w:cs="Arial"/>
              </w:rPr>
            </w:pPr>
            <w:r w:rsidRPr="00543AF3">
              <w:rPr>
                <w:rFonts w:ascii="Arial" w:eastAsia="Arial" w:hAnsi="Arial" w:cs="Arial"/>
                <w:b/>
                <w:bCs/>
              </w:rPr>
              <w:t>86,986,586,780.01</w:t>
            </w:r>
          </w:p>
        </w:tc>
        <w:tc>
          <w:tcPr>
            <w:tcW w:w="3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CECAFE" w14:textId="2347EC4D" w:rsidR="43CF1FC7" w:rsidRPr="00543AF3" w:rsidRDefault="43CF1FC7" w:rsidP="43CF1FC7">
            <w:pPr>
              <w:pStyle w:val="NoSpacing"/>
              <w:jc w:val="center"/>
              <w:rPr>
                <w:rFonts w:ascii="Arial" w:hAnsi="Arial" w:cs="Arial"/>
              </w:rPr>
            </w:pPr>
            <w:r w:rsidRPr="00543AF3">
              <w:rPr>
                <w:rFonts w:ascii="Arial" w:eastAsia="Arial" w:hAnsi="Arial" w:cs="Arial"/>
                <w:b/>
                <w:bCs/>
              </w:rPr>
              <w:t>3,099,622,070.11</w:t>
            </w:r>
          </w:p>
        </w:tc>
      </w:tr>
      <w:tr w:rsidR="43CF1FC7" w:rsidRPr="00543AF3" w14:paraId="37921957" w14:textId="77777777" w:rsidTr="00ED40D1">
        <w:trPr>
          <w:trHeight w:val="300"/>
        </w:trPr>
        <w:tc>
          <w:tcPr>
            <w:tcW w:w="13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827CEC" w14:textId="12DFB130" w:rsidR="43CF1FC7" w:rsidRPr="00543AF3" w:rsidRDefault="43CF1FC7" w:rsidP="43CF1FC7">
            <w:pPr>
              <w:pStyle w:val="NoSpacing"/>
              <w:jc w:val="center"/>
              <w:rPr>
                <w:rFonts w:ascii="Arial" w:hAnsi="Arial" w:cs="Arial"/>
              </w:rPr>
            </w:pPr>
            <w:proofErr w:type="spellStart"/>
            <w:r w:rsidRPr="00543AF3">
              <w:rPr>
                <w:rFonts w:ascii="Arial" w:eastAsia="Arial" w:hAnsi="Arial" w:cs="Arial"/>
                <w:b/>
                <w:bCs/>
              </w:rPr>
              <w:t>VaR</w:t>
            </w:r>
            <w:proofErr w:type="spellEnd"/>
            <w:r w:rsidRPr="00543AF3">
              <w:rPr>
                <w:rFonts w:ascii="Arial" w:eastAsia="Arial" w:hAnsi="Arial" w:cs="Arial"/>
                <w:b/>
                <w:bCs/>
              </w:rPr>
              <w:t xml:space="preserve"> (95%)</w:t>
            </w:r>
          </w:p>
        </w:tc>
        <w:tc>
          <w:tcPr>
            <w:tcW w:w="40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4CA4C4" w14:textId="2EFD0B41" w:rsidR="43CF1FC7" w:rsidRPr="00543AF3" w:rsidRDefault="43CF1FC7" w:rsidP="43CF1FC7">
            <w:pPr>
              <w:pStyle w:val="NoSpacing"/>
              <w:jc w:val="center"/>
              <w:rPr>
                <w:rFonts w:ascii="Arial" w:hAnsi="Arial" w:cs="Arial"/>
              </w:rPr>
            </w:pPr>
            <w:r w:rsidRPr="00543AF3">
              <w:rPr>
                <w:rFonts w:ascii="Arial" w:eastAsia="Arial" w:hAnsi="Arial" w:cs="Arial"/>
                <w:b/>
                <w:bCs/>
              </w:rPr>
              <w:t>134,944,142,162.88</w:t>
            </w:r>
          </w:p>
        </w:tc>
        <w:tc>
          <w:tcPr>
            <w:tcW w:w="3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F36D9C" w14:textId="67E2F7B5" w:rsidR="43CF1FC7" w:rsidRPr="00543AF3" w:rsidRDefault="43CF1FC7" w:rsidP="43CF1FC7">
            <w:pPr>
              <w:pStyle w:val="NoSpacing"/>
              <w:jc w:val="center"/>
              <w:rPr>
                <w:rFonts w:ascii="Arial" w:hAnsi="Arial" w:cs="Arial"/>
              </w:rPr>
            </w:pPr>
            <w:r w:rsidRPr="00543AF3">
              <w:rPr>
                <w:rFonts w:ascii="Arial" w:eastAsia="Arial" w:hAnsi="Arial" w:cs="Arial"/>
                <w:b/>
                <w:bCs/>
              </w:rPr>
              <w:t>4,443,728,289.08</w:t>
            </w:r>
          </w:p>
        </w:tc>
      </w:tr>
    </w:tbl>
    <w:p w14:paraId="6656D51C" w14:textId="6E1A4F15" w:rsidR="00EA5E79" w:rsidRPr="00543AF3" w:rsidRDefault="540A0BB6" w:rsidP="43CF1FC7">
      <w:pPr>
        <w:spacing w:line="257" w:lineRule="auto"/>
        <w:jc w:val="both"/>
        <w:rPr>
          <w:rFonts w:ascii="Arial" w:hAnsi="Arial" w:cs="Arial"/>
        </w:rPr>
      </w:pPr>
      <w:r w:rsidRPr="00543AF3">
        <w:rPr>
          <w:rFonts w:ascii="Arial" w:eastAsia="Arial" w:hAnsi="Arial" w:cs="Arial"/>
          <w:lang w:val="mn"/>
        </w:rPr>
        <w:t xml:space="preserve"> </w:t>
      </w:r>
    </w:p>
    <w:p w14:paraId="54324383" w14:textId="16AAF579" w:rsidR="00EA5E79" w:rsidRPr="00543AF3" w:rsidRDefault="540A0BB6" w:rsidP="43CF1FC7">
      <w:pPr>
        <w:pStyle w:val="ListParagraph"/>
        <w:numPr>
          <w:ilvl w:val="0"/>
          <w:numId w:val="3"/>
        </w:numPr>
        <w:spacing w:after="0" w:line="257" w:lineRule="auto"/>
        <w:jc w:val="both"/>
        <w:rPr>
          <w:rFonts w:ascii="Arial" w:eastAsia="Arial" w:hAnsi="Arial" w:cs="Arial"/>
          <w:b/>
          <w:bCs/>
          <w:lang w:val="mn"/>
        </w:rPr>
      </w:pPr>
      <w:r w:rsidRPr="00543AF3">
        <w:rPr>
          <w:rFonts w:ascii="Arial" w:eastAsia="Arial" w:hAnsi="Arial" w:cs="Arial"/>
          <w:b/>
          <w:bCs/>
          <w:lang w:val="mn"/>
        </w:rPr>
        <w:t>Хуулийн этгээдийн зардлын тооцоолол</w:t>
      </w:r>
    </w:p>
    <w:p w14:paraId="30A58032" w14:textId="2771DC60" w:rsidR="00EA5E79" w:rsidRPr="00543AF3" w:rsidRDefault="540A0BB6" w:rsidP="43CF1FC7">
      <w:pPr>
        <w:pStyle w:val="ListParagraph"/>
        <w:numPr>
          <w:ilvl w:val="1"/>
          <w:numId w:val="3"/>
        </w:numPr>
        <w:spacing w:after="0" w:line="257" w:lineRule="auto"/>
        <w:ind w:left="1080" w:hanging="720"/>
        <w:jc w:val="both"/>
        <w:rPr>
          <w:rFonts w:ascii="Arial" w:eastAsia="Arial" w:hAnsi="Arial" w:cs="Arial"/>
          <w:b/>
          <w:bCs/>
          <w:lang w:val="mn"/>
        </w:rPr>
      </w:pPr>
      <w:r w:rsidRPr="00543AF3">
        <w:rPr>
          <w:rFonts w:ascii="Arial" w:eastAsia="Arial" w:hAnsi="Arial" w:cs="Arial"/>
          <w:b/>
          <w:bCs/>
          <w:lang w:val="mn"/>
        </w:rPr>
        <w:t>Үндэсний давхар даатгал ХК-ийн гүйцэтгэх үүрэг</w:t>
      </w:r>
    </w:p>
    <w:tbl>
      <w:tblPr>
        <w:tblStyle w:val="TableGrid"/>
        <w:tblW w:w="9350" w:type="dxa"/>
        <w:tblLayout w:type="fixed"/>
        <w:tblLook w:val="04A0" w:firstRow="1" w:lastRow="0" w:firstColumn="1" w:lastColumn="0" w:noHBand="0" w:noVBand="1"/>
      </w:tblPr>
      <w:tblGrid>
        <w:gridCol w:w="400"/>
        <w:gridCol w:w="8950"/>
      </w:tblGrid>
      <w:tr w:rsidR="43CF1FC7" w:rsidRPr="00543AF3" w14:paraId="2EF5B6AE" w14:textId="77777777" w:rsidTr="00ED40D1">
        <w:trPr>
          <w:trHeight w:val="270"/>
        </w:trPr>
        <w:tc>
          <w:tcPr>
            <w:tcW w:w="935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1B29096" w14:textId="7E9A7FC3" w:rsidR="43CF1FC7" w:rsidRPr="00543AF3" w:rsidRDefault="43CF1FC7" w:rsidP="43CF1FC7">
            <w:pPr>
              <w:jc w:val="both"/>
              <w:rPr>
                <w:rFonts w:ascii="Arial" w:hAnsi="Arial" w:cs="Arial"/>
              </w:rPr>
            </w:pPr>
            <w:r w:rsidRPr="00543AF3">
              <w:rPr>
                <w:rFonts w:ascii="Arial" w:eastAsia="Arial" w:hAnsi="Arial" w:cs="Arial"/>
                <w:b/>
                <w:bCs/>
                <w:lang w:val="mn"/>
              </w:rPr>
              <w:t>Хууль тогтоомжийн зохицуулалт</w:t>
            </w:r>
          </w:p>
        </w:tc>
      </w:tr>
      <w:tr w:rsidR="43CF1FC7" w:rsidRPr="00543AF3" w14:paraId="6E9C96B7" w14:textId="77777777" w:rsidTr="00ED40D1">
        <w:trPr>
          <w:trHeight w:val="1980"/>
        </w:trPr>
        <w:tc>
          <w:tcPr>
            <w:tcW w:w="400" w:type="dxa"/>
            <w:tcBorders>
              <w:top w:val="single" w:sz="8" w:space="0" w:color="auto"/>
              <w:left w:val="single" w:sz="8" w:space="0" w:color="auto"/>
              <w:bottom w:val="single" w:sz="8" w:space="0" w:color="auto"/>
              <w:right w:val="single" w:sz="8" w:space="0" w:color="auto"/>
            </w:tcBorders>
            <w:tcMar>
              <w:left w:w="108" w:type="dxa"/>
              <w:right w:w="108" w:type="dxa"/>
            </w:tcMar>
          </w:tcPr>
          <w:p w14:paraId="0520B091" w14:textId="5694AB66" w:rsidR="43CF1FC7" w:rsidRPr="00543AF3" w:rsidRDefault="43CF1FC7" w:rsidP="43CF1FC7">
            <w:pPr>
              <w:jc w:val="both"/>
              <w:rPr>
                <w:rFonts w:ascii="Arial" w:hAnsi="Arial" w:cs="Arial"/>
              </w:rPr>
            </w:pPr>
            <w:r w:rsidRPr="00543AF3">
              <w:rPr>
                <w:rFonts w:ascii="Arial" w:eastAsia="Arial" w:hAnsi="Arial" w:cs="Arial"/>
                <w:b/>
                <w:bCs/>
                <w:lang w:val="mn"/>
              </w:rPr>
              <w:t xml:space="preserve"> </w:t>
            </w:r>
          </w:p>
        </w:tc>
        <w:tc>
          <w:tcPr>
            <w:tcW w:w="8950" w:type="dxa"/>
            <w:tcBorders>
              <w:top w:val="nil"/>
              <w:left w:val="single" w:sz="8" w:space="0" w:color="auto"/>
              <w:bottom w:val="single" w:sz="8" w:space="0" w:color="auto"/>
              <w:right w:val="single" w:sz="8" w:space="0" w:color="auto"/>
            </w:tcBorders>
            <w:tcMar>
              <w:left w:w="108" w:type="dxa"/>
              <w:right w:w="108" w:type="dxa"/>
            </w:tcMar>
          </w:tcPr>
          <w:p w14:paraId="7D892B49" w14:textId="02BC97FB" w:rsidR="43CF1FC7" w:rsidRPr="00543AF3" w:rsidRDefault="43CF1FC7" w:rsidP="43CF1FC7">
            <w:pPr>
              <w:jc w:val="both"/>
              <w:rPr>
                <w:rFonts w:ascii="Arial" w:hAnsi="Arial" w:cs="Arial"/>
              </w:rPr>
            </w:pPr>
            <w:r w:rsidRPr="00543AF3">
              <w:rPr>
                <w:rFonts w:ascii="Arial" w:eastAsia="Arial" w:hAnsi="Arial" w:cs="Arial"/>
                <w:b/>
                <w:bCs/>
                <w:lang w:val="mn"/>
              </w:rPr>
              <w:t xml:space="preserve">      12 дугаар зүйл. Нөхөн төлбөр</w:t>
            </w:r>
          </w:p>
          <w:p w14:paraId="771EDE32" w14:textId="22779A4C" w:rsidR="43CF1FC7" w:rsidRPr="00543AF3" w:rsidRDefault="43CF1FC7" w:rsidP="43CF1FC7">
            <w:pPr>
              <w:jc w:val="both"/>
              <w:rPr>
                <w:rFonts w:ascii="Arial" w:hAnsi="Arial" w:cs="Arial"/>
              </w:rPr>
            </w:pPr>
            <w:r w:rsidRPr="00543AF3">
              <w:rPr>
                <w:rFonts w:ascii="Arial" w:eastAsia="Arial" w:hAnsi="Arial" w:cs="Arial"/>
                <w:lang w:val="mn"/>
              </w:rPr>
              <w:t xml:space="preserve"> </w:t>
            </w:r>
          </w:p>
          <w:p w14:paraId="42C211E4" w14:textId="1D60235A" w:rsidR="43CF1FC7" w:rsidRPr="00543AF3" w:rsidRDefault="43CF1FC7" w:rsidP="007E1691">
            <w:pPr>
              <w:spacing w:after="160" w:line="257" w:lineRule="auto"/>
              <w:jc w:val="both"/>
              <w:rPr>
                <w:rFonts w:ascii="Arial" w:eastAsia="Arial" w:hAnsi="Arial" w:cs="Arial"/>
                <w:lang w:val="mn"/>
              </w:rPr>
            </w:pPr>
            <w:r w:rsidRPr="00543AF3">
              <w:rPr>
                <w:rFonts w:ascii="Arial" w:eastAsia="Arial" w:hAnsi="Arial" w:cs="Arial"/>
                <w:lang w:val="mn"/>
              </w:rPr>
              <w:t>12.2.</w:t>
            </w:r>
            <w:r w:rsidR="007E1691" w:rsidRPr="00543AF3">
              <w:rPr>
                <w:rFonts w:ascii="Arial" w:eastAsia="Arial" w:hAnsi="Arial" w:cs="Arial"/>
                <w:lang w:val="mn"/>
              </w:rPr>
              <w:t xml:space="preserve"> </w:t>
            </w:r>
            <w:r w:rsidR="007E1691" w:rsidRPr="00543AF3">
              <w:rPr>
                <w:rFonts w:ascii="Arial" w:eastAsia="Arial" w:hAnsi="Arial" w:cs="Arial"/>
                <w:lang w:val="mn"/>
              </w:rPr>
              <w:t>Даатгагч нөхөн төлбөрийг энэ хуулийн 12.4-т зааснаас бусад тохиолдолд хэсэгчлэн олгохыг хориглоно.</w:t>
            </w:r>
          </w:p>
          <w:p w14:paraId="15CF1B4A" w14:textId="17CDF06A" w:rsidR="43CF1FC7" w:rsidRPr="00543AF3" w:rsidRDefault="43CF1FC7" w:rsidP="007E1691">
            <w:pPr>
              <w:spacing w:after="160" w:line="257" w:lineRule="auto"/>
              <w:jc w:val="both"/>
              <w:rPr>
                <w:rFonts w:ascii="Arial" w:eastAsia="Arial" w:hAnsi="Arial" w:cs="Arial"/>
                <w:lang w:val="mn"/>
              </w:rPr>
            </w:pPr>
            <w:r w:rsidRPr="00543AF3">
              <w:rPr>
                <w:rFonts w:ascii="Arial" w:eastAsia="Arial" w:hAnsi="Arial" w:cs="Arial"/>
                <w:lang w:val="mn"/>
              </w:rPr>
              <w:t xml:space="preserve"> </w:t>
            </w:r>
          </w:p>
          <w:p w14:paraId="6E48FAB1" w14:textId="2E24392C" w:rsidR="43CF1FC7" w:rsidRPr="00543AF3" w:rsidRDefault="43CF1FC7" w:rsidP="007E1691">
            <w:pPr>
              <w:spacing w:after="160" w:line="257" w:lineRule="auto"/>
              <w:jc w:val="both"/>
              <w:rPr>
                <w:rFonts w:ascii="Arial" w:hAnsi="Arial" w:cs="Arial"/>
              </w:rPr>
            </w:pPr>
            <w:r w:rsidRPr="00543AF3">
              <w:rPr>
                <w:rFonts w:ascii="Arial" w:eastAsia="Arial" w:hAnsi="Arial" w:cs="Arial"/>
                <w:lang w:val="mn"/>
              </w:rPr>
              <w:t>12.4.</w:t>
            </w:r>
            <w:r w:rsidR="007E1691" w:rsidRPr="00543AF3">
              <w:rPr>
                <w:rFonts w:ascii="Arial" w:eastAsia="Arial" w:hAnsi="Arial" w:cs="Arial"/>
                <w:lang w:val="mn"/>
              </w:rPr>
              <w:t xml:space="preserve"> </w:t>
            </w:r>
            <w:r w:rsidR="007E1691" w:rsidRPr="00543AF3">
              <w:rPr>
                <w:rFonts w:ascii="Arial" w:eastAsia="Arial" w:hAnsi="Arial" w:cs="Arial"/>
                <w:lang w:val="mn"/>
              </w:rPr>
              <w:t xml:space="preserve">Статистикийн асуудал эрхэлсэн төрийн захиргааны байгууллагын энэ хуулийн 6.1-д заасан хугацаанаас өмнө гаргасан мэдээллийг үндэслэн даатгагч энэ хуулийн 4.1.8-д заасан гэрээний хугацаанд нөхөн төлбөрийг нэг удаа урьдчилан олгож болно.  </w:t>
            </w:r>
          </w:p>
        </w:tc>
      </w:tr>
    </w:tbl>
    <w:p w14:paraId="45EC304D" w14:textId="5401269B" w:rsidR="00EA5E79" w:rsidRPr="00543AF3" w:rsidRDefault="540A0BB6" w:rsidP="007E1691">
      <w:pPr>
        <w:spacing w:line="257" w:lineRule="auto"/>
        <w:ind w:firstLine="720"/>
        <w:jc w:val="both"/>
        <w:rPr>
          <w:rFonts w:ascii="Arial" w:hAnsi="Arial" w:cs="Arial"/>
        </w:rPr>
      </w:pPr>
      <w:r w:rsidRPr="00543AF3">
        <w:rPr>
          <w:rFonts w:ascii="Arial" w:eastAsia="Arial" w:hAnsi="Arial" w:cs="Arial"/>
          <w:lang w:val="mn"/>
        </w:rPr>
        <w:t xml:space="preserve"> Үндэсний давхар даатгал ХК нь МИД-ын тухай хуульд заасны дагуу хорогдлын хэмжээ босго үзүүлэлтийг давсан үед даатгуулагчид буюу малчдад нөхөн төлбөр олгох үүрэгтэй. Дээрх зохицуулалтын дагуу нөхөн төлбөрийг урьдчилан олгох нь даатгалын ашиг тусыг нэмэгдүүлэх, хүртээмжийг өсгөх, малын хорогдлыг тодорхой хэмжээгээр бууруулж чадна гэж үзэж байна. </w:t>
      </w:r>
    </w:p>
    <w:p w14:paraId="56B06E01" w14:textId="77777777" w:rsidR="007E1691" w:rsidRPr="00543AF3" w:rsidRDefault="540A0BB6" w:rsidP="43CF1FC7">
      <w:pPr>
        <w:spacing w:line="257" w:lineRule="auto"/>
        <w:ind w:firstLine="360"/>
        <w:jc w:val="both"/>
        <w:rPr>
          <w:rFonts w:ascii="Arial" w:eastAsia="Arial" w:hAnsi="Arial" w:cs="Arial"/>
        </w:rPr>
      </w:pPr>
      <w:r w:rsidRPr="00543AF3">
        <w:rPr>
          <w:rFonts w:ascii="Arial" w:eastAsia="Arial" w:hAnsi="Arial" w:cs="Arial"/>
          <w:lang w:val="mn"/>
        </w:rPr>
        <w:t xml:space="preserve">МИД-ын нөхөн төлбөрийг олгохдоо Үндэсний статистикийн хорооноос хагас жилийн мал тооллогын түүвэр судалгааг зохион байгуулж, малын хорогдлын дүн мэдээ гарсны дараа малчдад олгох нөхөн төлбөрийг тооцоолж, тухайн оны 10 сард нөхөн төлбөрийг олгодог. Энэхүү хугацаа нь зудын эрсдэл болж дууссаны дараа буюу даруй 8 сарын дараа нөхөн төлбөр олгогдож байгаа нь зудад өртсөн малчид гамшгийн эрсдэлээс урьдчилан сэргийлэх, даван туулах, даатгалын үр шимийг хүртэх боломжийг бууруулж байгаа юм. </w:t>
      </w:r>
    </w:p>
    <w:p w14:paraId="4539D015" w14:textId="2F572FF7" w:rsidR="00EA5E79" w:rsidRPr="00543AF3" w:rsidRDefault="540A0BB6" w:rsidP="43CF1FC7">
      <w:pPr>
        <w:spacing w:line="257" w:lineRule="auto"/>
        <w:ind w:firstLine="360"/>
        <w:jc w:val="both"/>
        <w:rPr>
          <w:rFonts w:ascii="Arial" w:hAnsi="Arial" w:cs="Arial"/>
          <w:lang w:val="mn-MN"/>
        </w:rPr>
      </w:pPr>
      <w:r w:rsidRPr="00543AF3">
        <w:rPr>
          <w:rFonts w:ascii="Arial" w:eastAsia="Arial" w:hAnsi="Arial" w:cs="Arial"/>
          <w:lang w:val="mn"/>
        </w:rPr>
        <w:t>Иймд МИД-ын нөхөн төлбөрийг малчдад урьдчилж олгох, ингэхдээ Статистикийн асуудал эрхэлсэн төрийн захиргааны төв байгууллагын мэдээнд үндэслэн босго үзүүлэлтийг 50 хувиас дээш давах нь тодорхой болсон тохиолдолд нөхөн төлбөрийг урьдчилан олг</w:t>
      </w:r>
      <w:r w:rsidR="007E1691" w:rsidRPr="00543AF3">
        <w:rPr>
          <w:rFonts w:ascii="Arial" w:eastAsia="Arial" w:hAnsi="Arial" w:cs="Arial"/>
          <w:lang w:val="mn-MN"/>
        </w:rPr>
        <w:t xml:space="preserve">оно. Нөхөн төлбөр урьдчилан олгох нөхцөл, шаардлагыг Малын индексжүүлсэн даатгалын тухай хуулийн 26 дугаар зүйлийн 26.2 дахь хэсэгт заасан Хамтын эрсдэлийн сангийн тухай журамд тусгана. Нөхөн төлбөрийн урьдчилж олгосноор </w:t>
      </w:r>
      <w:r w:rsidRPr="00543AF3">
        <w:rPr>
          <w:rFonts w:ascii="Arial" w:eastAsia="Arial" w:hAnsi="Arial" w:cs="Arial"/>
          <w:lang w:val="mn"/>
        </w:rPr>
        <w:t xml:space="preserve">малчид гамшгийн эрсдэлийг хохирол багатай даван туулах, даатгалын үр шимийг хүртэх, даатгалын хамрагдалтыг нэмэгдүүлэх чухал ач холбогдолтой юм. </w:t>
      </w:r>
    </w:p>
    <w:p w14:paraId="075D7059" w14:textId="51F15A6E" w:rsidR="00EA5E79" w:rsidRPr="00543AF3" w:rsidRDefault="540A0BB6" w:rsidP="43CF1FC7">
      <w:pPr>
        <w:pStyle w:val="ListParagraph"/>
        <w:numPr>
          <w:ilvl w:val="1"/>
          <w:numId w:val="3"/>
        </w:numPr>
        <w:spacing w:after="0" w:line="257" w:lineRule="auto"/>
        <w:ind w:left="1080" w:hanging="720"/>
        <w:jc w:val="both"/>
        <w:rPr>
          <w:rFonts w:ascii="Arial" w:eastAsia="Arial" w:hAnsi="Arial" w:cs="Arial"/>
          <w:b/>
          <w:bCs/>
          <w:lang w:val="mn"/>
        </w:rPr>
      </w:pPr>
      <w:r w:rsidRPr="00543AF3">
        <w:rPr>
          <w:rFonts w:ascii="Arial" w:eastAsia="Arial" w:hAnsi="Arial" w:cs="Arial"/>
          <w:b/>
          <w:bCs/>
          <w:lang w:val="mn"/>
        </w:rPr>
        <w:t>Дунд түвшний нөхөн төлбөрийн зардлын тооцоолол</w:t>
      </w:r>
    </w:p>
    <w:p w14:paraId="46DE492A" w14:textId="66ED4FCB" w:rsidR="00EA5E79" w:rsidRPr="00543AF3" w:rsidRDefault="540A0BB6" w:rsidP="43CF1FC7">
      <w:pPr>
        <w:spacing w:line="257" w:lineRule="auto"/>
        <w:ind w:firstLine="360"/>
        <w:jc w:val="both"/>
        <w:rPr>
          <w:rFonts w:ascii="Arial" w:hAnsi="Arial" w:cs="Arial"/>
        </w:rPr>
      </w:pPr>
      <w:r w:rsidRPr="00543AF3">
        <w:rPr>
          <w:rFonts w:ascii="Arial" w:eastAsia="Arial" w:hAnsi="Arial" w:cs="Arial"/>
          <w:lang w:val="mn"/>
        </w:rPr>
        <w:lastRenderedPageBreak/>
        <w:t>Дунд түвшинд учирч болзошгүй эрсдэлийг тооцоолохдоо 1978-2024 оны буюу өнгөрсөн 46 жилийн хорогдлын мэдээнд үндэслэн ирээдүйд гарах нөхөн төлбөрийн хэмжээг болзошгүй хамгийн их даатгалын хураамжийг тооцоолж, хохирлын харьцааг гаргасан. Хохирлын харьцааны нягтын функцийн 1 хувийн итгэлцлийн түвшинд буюу VaR-ийн 0.99 түвшин нь 288.65 хувь байна.  Өөрөөр хэлбэл 99.0 хувийн итгэх түвшинд хохирлын харьцаа 288.6 хувиас ихгүй байна. МИД-ын хураамжийн орлогын хэмжээнээс хамааран гарах нөхөн төлбөрийн хэмжээ дараах байдалтай байна (Хүснэгт 2).</w:t>
      </w:r>
    </w:p>
    <w:p w14:paraId="73C32C24" w14:textId="33D550BD" w:rsidR="00EA5E79" w:rsidRPr="00543AF3" w:rsidRDefault="540A0BB6" w:rsidP="43CF1FC7">
      <w:pPr>
        <w:spacing w:after="0"/>
        <w:rPr>
          <w:rFonts w:ascii="Arial" w:hAnsi="Arial" w:cs="Arial"/>
        </w:rPr>
      </w:pPr>
      <w:r w:rsidRPr="00543AF3">
        <w:rPr>
          <w:rFonts w:ascii="Arial" w:eastAsia="Calibri" w:hAnsi="Arial" w:cs="Arial"/>
          <w:i/>
          <w:iCs/>
          <w:color w:val="44546A"/>
          <w:lang w:val="mn"/>
        </w:rPr>
        <w:t>Хүснэгт 2 Дунд түвшинээс гарч болзошгүй нөхөн төлбөрийн хэмжээ /төгрөг/</w:t>
      </w:r>
    </w:p>
    <w:tbl>
      <w:tblPr>
        <w:tblStyle w:val="TableGrid"/>
        <w:tblW w:w="0" w:type="auto"/>
        <w:tblLayout w:type="fixed"/>
        <w:tblLook w:val="04A0" w:firstRow="1" w:lastRow="0" w:firstColumn="1" w:lastColumn="0" w:noHBand="0" w:noVBand="1"/>
      </w:tblPr>
      <w:tblGrid>
        <w:gridCol w:w="1588"/>
        <w:gridCol w:w="2976"/>
        <w:gridCol w:w="4553"/>
      </w:tblGrid>
      <w:tr w:rsidR="43CF1FC7" w:rsidRPr="00543AF3" w14:paraId="0CF209F0" w14:textId="77777777" w:rsidTr="43CF1FC7">
        <w:trPr>
          <w:trHeight w:val="300"/>
        </w:trPr>
        <w:tc>
          <w:tcPr>
            <w:tcW w:w="1588" w:type="dxa"/>
            <w:tcBorders>
              <w:top w:val="single" w:sz="8" w:space="0" w:color="auto"/>
              <w:left w:val="single" w:sz="8" w:space="0" w:color="auto"/>
              <w:bottom w:val="single" w:sz="8" w:space="0" w:color="auto"/>
              <w:right w:val="single" w:sz="8" w:space="0" w:color="auto"/>
            </w:tcBorders>
            <w:tcMar>
              <w:left w:w="108" w:type="dxa"/>
              <w:right w:w="108" w:type="dxa"/>
            </w:tcMar>
          </w:tcPr>
          <w:p w14:paraId="106C3D25" w14:textId="0DB5022F" w:rsidR="43CF1FC7" w:rsidRPr="00543AF3" w:rsidRDefault="43CF1FC7" w:rsidP="43CF1FC7">
            <w:pPr>
              <w:jc w:val="both"/>
              <w:rPr>
                <w:rFonts w:ascii="Arial" w:hAnsi="Arial" w:cs="Arial"/>
              </w:rPr>
            </w:pPr>
            <w:r w:rsidRPr="00543AF3">
              <w:rPr>
                <w:rFonts w:ascii="Arial" w:eastAsia="Arial" w:hAnsi="Arial" w:cs="Arial"/>
                <w:b/>
                <w:bCs/>
                <w:lang w:val="mn"/>
              </w:rPr>
              <w:t>Хувилбар</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16D7DD5A" w14:textId="1AC008E5" w:rsidR="43CF1FC7" w:rsidRPr="00543AF3" w:rsidRDefault="43CF1FC7" w:rsidP="43CF1FC7">
            <w:pPr>
              <w:jc w:val="both"/>
              <w:rPr>
                <w:rFonts w:ascii="Arial" w:hAnsi="Arial" w:cs="Arial"/>
              </w:rPr>
            </w:pPr>
            <w:r w:rsidRPr="00543AF3">
              <w:rPr>
                <w:rFonts w:ascii="Arial" w:eastAsia="Arial" w:hAnsi="Arial" w:cs="Arial"/>
                <w:b/>
                <w:bCs/>
                <w:lang w:val="mn"/>
              </w:rPr>
              <w:t>Хураамжийн орлого</w:t>
            </w:r>
          </w:p>
        </w:tc>
        <w:tc>
          <w:tcPr>
            <w:tcW w:w="4553" w:type="dxa"/>
            <w:tcBorders>
              <w:top w:val="single" w:sz="8" w:space="0" w:color="auto"/>
              <w:left w:val="single" w:sz="8" w:space="0" w:color="auto"/>
              <w:bottom w:val="single" w:sz="8" w:space="0" w:color="auto"/>
              <w:right w:val="single" w:sz="8" w:space="0" w:color="auto"/>
            </w:tcBorders>
            <w:tcMar>
              <w:left w:w="108" w:type="dxa"/>
              <w:right w:w="108" w:type="dxa"/>
            </w:tcMar>
          </w:tcPr>
          <w:p w14:paraId="09B75637" w14:textId="3B3C6D01" w:rsidR="43CF1FC7" w:rsidRPr="00543AF3" w:rsidRDefault="43CF1FC7" w:rsidP="43CF1FC7">
            <w:pPr>
              <w:jc w:val="both"/>
              <w:rPr>
                <w:rFonts w:ascii="Arial" w:hAnsi="Arial" w:cs="Arial"/>
              </w:rPr>
            </w:pPr>
            <w:r w:rsidRPr="00543AF3">
              <w:rPr>
                <w:rFonts w:ascii="Arial" w:eastAsia="Arial" w:hAnsi="Arial" w:cs="Arial"/>
                <w:b/>
                <w:bCs/>
                <w:lang w:val="mn"/>
              </w:rPr>
              <w:t>Гарах нөхөн төлбөрийн хэмжээ /А/</w:t>
            </w:r>
          </w:p>
        </w:tc>
      </w:tr>
      <w:tr w:rsidR="43CF1FC7" w:rsidRPr="00543AF3" w14:paraId="5D7B0B37" w14:textId="77777777" w:rsidTr="43CF1FC7">
        <w:trPr>
          <w:trHeight w:val="195"/>
        </w:trPr>
        <w:tc>
          <w:tcPr>
            <w:tcW w:w="1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DC7076" w14:textId="78A0D3CD" w:rsidR="43CF1FC7" w:rsidRPr="00543AF3" w:rsidRDefault="43CF1FC7" w:rsidP="43CF1FC7">
            <w:pPr>
              <w:jc w:val="center"/>
              <w:rPr>
                <w:rFonts w:ascii="Arial" w:hAnsi="Arial" w:cs="Arial"/>
              </w:rPr>
            </w:pPr>
            <w:r w:rsidRPr="00543AF3">
              <w:rPr>
                <w:rFonts w:ascii="Arial" w:eastAsia="Arial" w:hAnsi="Arial" w:cs="Arial"/>
                <w:lang w:val="mn"/>
              </w:rPr>
              <w:t>1</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5D99FBCA" w14:textId="0553DEA4" w:rsidR="43CF1FC7" w:rsidRPr="00543AF3" w:rsidRDefault="43CF1FC7" w:rsidP="43CF1FC7">
            <w:pPr>
              <w:jc w:val="center"/>
              <w:rPr>
                <w:rFonts w:ascii="Arial" w:hAnsi="Arial" w:cs="Arial"/>
              </w:rPr>
            </w:pPr>
            <w:r w:rsidRPr="00543AF3">
              <w:rPr>
                <w:rFonts w:ascii="Arial" w:eastAsia="Arial" w:hAnsi="Arial" w:cs="Arial"/>
                <w:lang w:val="mn"/>
              </w:rPr>
              <w:t>3 тэрбум</w:t>
            </w:r>
          </w:p>
        </w:tc>
        <w:tc>
          <w:tcPr>
            <w:tcW w:w="45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EB3956" w14:textId="670B6FD4" w:rsidR="43CF1FC7" w:rsidRPr="00543AF3" w:rsidRDefault="43CF1FC7" w:rsidP="43CF1FC7">
            <w:pPr>
              <w:jc w:val="center"/>
              <w:rPr>
                <w:rFonts w:ascii="Arial" w:hAnsi="Arial" w:cs="Arial"/>
              </w:rPr>
            </w:pPr>
            <w:r w:rsidRPr="00543AF3">
              <w:rPr>
                <w:rFonts w:ascii="Arial" w:eastAsia="Arial" w:hAnsi="Arial" w:cs="Arial"/>
                <w:lang w:val="mn"/>
              </w:rPr>
              <w:t>8,659,635,918.70</w:t>
            </w:r>
          </w:p>
        </w:tc>
      </w:tr>
      <w:tr w:rsidR="43CF1FC7" w:rsidRPr="00543AF3" w14:paraId="38E96FD3" w14:textId="77777777" w:rsidTr="43CF1FC7">
        <w:trPr>
          <w:trHeight w:val="300"/>
        </w:trPr>
        <w:tc>
          <w:tcPr>
            <w:tcW w:w="1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F54274" w14:textId="1F72B17E" w:rsidR="43CF1FC7" w:rsidRPr="00543AF3" w:rsidRDefault="43CF1FC7" w:rsidP="43CF1FC7">
            <w:pPr>
              <w:jc w:val="center"/>
              <w:rPr>
                <w:rFonts w:ascii="Arial" w:hAnsi="Arial" w:cs="Arial"/>
              </w:rPr>
            </w:pPr>
            <w:r w:rsidRPr="00543AF3">
              <w:rPr>
                <w:rFonts w:ascii="Arial" w:eastAsia="Arial" w:hAnsi="Arial" w:cs="Arial"/>
                <w:lang w:val="mn"/>
              </w:rPr>
              <w:t>2</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5A4D885C" w14:textId="2B5835BC" w:rsidR="43CF1FC7" w:rsidRPr="00543AF3" w:rsidRDefault="43CF1FC7" w:rsidP="43CF1FC7">
            <w:pPr>
              <w:jc w:val="center"/>
              <w:rPr>
                <w:rFonts w:ascii="Arial" w:hAnsi="Arial" w:cs="Arial"/>
              </w:rPr>
            </w:pPr>
            <w:r w:rsidRPr="00543AF3">
              <w:rPr>
                <w:rFonts w:ascii="Arial" w:eastAsia="Arial" w:hAnsi="Arial" w:cs="Arial"/>
                <w:lang w:val="mn"/>
              </w:rPr>
              <w:t>4 тэрбум</w:t>
            </w:r>
          </w:p>
        </w:tc>
        <w:tc>
          <w:tcPr>
            <w:tcW w:w="45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C5AA73" w14:textId="52EB0690" w:rsidR="43CF1FC7" w:rsidRPr="00543AF3" w:rsidRDefault="43CF1FC7" w:rsidP="43CF1FC7">
            <w:pPr>
              <w:jc w:val="center"/>
              <w:rPr>
                <w:rFonts w:ascii="Arial" w:hAnsi="Arial" w:cs="Arial"/>
              </w:rPr>
            </w:pPr>
            <w:r w:rsidRPr="00543AF3">
              <w:rPr>
                <w:rFonts w:ascii="Arial" w:eastAsia="Arial" w:hAnsi="Arial" w:cs="Arial"/>
                <w:lang w:val="mn"/>
              </w:rPr>
              <w:t>11,546,181,224.93</w:t>
            </w:r>
          </w:p>
        </w:tc>
      </w:tr>
      <w:tr w:rsidR="43CF1FC7" w:rsidRPr="00543AF3" w14:paraId="7F25C635" w14:textId="77777777" w:rsidTr="43CF1FC7">
        <w:trPr>
          <w:trHeight w:val="300"/>
        </w:trPr>
        <w:tc>
          <w:tcPr>
            <w:tcW w:w="15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8DC035" w14:textId="6EF9D2D6" w:rsidR="43CF1FC7" w:rsidRPr="00543AF3" w:rsidRDefault="43CF1FC7" w:rsidP="43CF1FC7">
            <w:pPr>
              <w:jc w:val="center"/>
              <w:rPr>
                <w:rFonts w:ascii="Arial" w:hAnsi="Arial" w:cs="Arial"/>
              </w:rPr>
            </w:pPr>
            <w:r w:rsidRPr="00543AF3">
              <w:rPr>
                <w:rFonts w:ascii="Arial" w:eastAsia="Arial" w:hAnsi="Arial" w:cs="Arial"/>
                <w:lang w:val="mn"/>
              </w:rPr>
              <w:t>3</w:t>
            </w:r>
          </w:p>
        </w:tc>
        <w:tc>
          <w:tcPr>
            <w:tcW w:w="2976" w:type="dxa"/>
            <w:tcBorders>
              <w:top w:val="single" w:sz="8" w:space="0" w:color="auto"/>
              <w:left w:val="single" w:sz="8" w:space="0" w:color="auto"/>
              <w:bottom w:val="single" w:sz="8" w:space="0" w:color="auto"/>
              <w:right w:val="single" w:sz="8" w:space="0" w:color="auto"/>
            </w:tcBorders>
            <w:tcMar>
              <w:left w:w="108" w:type="dxa"/>
              <w:right w:w="108" w:type="dxa"/>
            </w:tcMar>
          </w:tcPr>
          <w:p w14:paraId="2850CE05" w14:textId="52303EAA" w:rsidR="43CF1FC7" w:rsidRPr="00543AF3" w:rsidRDefault="43CF1FC7" w:rsidP="43CF1FC7">
            <w:pPr>
              <w:jc w:val="center"/>
              <w:rPr>
                <w:rFonts w:ascii="Arial" w:hAnsi="Arial" w:cs="Arial"/>
              </w:rPr>
            </w:pPr>
            <w:r w:rsidRPr="00543AF3">
              <w:rPr>
                <w:rFonts w:ascii="Arial" w:eastAsia="Arial" w:hAnsi="Arial" w:cs="Arial"/>
                <w:lang w:val="mn"/>
              </w:rPr>
              <w:t>5 тэрбум</w:t>
            </w:r>
          </w:p>
        </w:tc>
        <w:tc>
          <w:tcPr>
            <w:tcW w:w="45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2FB74A" w14:textId="5AE3FF66" w:rsidR="43CF1FC7" w:rsidRPr="00543AF3" w:rsidRDefault="43CF1FC7" w:rsidP="43CF1FC7">
            <w:pPr>
              <w:jc w:val="center"/>
              <w:rPr>
                <w:rFonts w:ascii="Arial" w:hAnsi="Arial" w:cs="Arial"/>
              </w:rPr>
            </w:pPr>
            <w:r w:rsidRPr="00543AF3">
              <w:rPr>
                <w:rFonts w:ascii="Arial" w:eastAsia="Arial" w:hAnsi="Arial" w:cs="Arial"/>
                <w:lang w:val="mn"/>
              </w:rPr>
              <w:t>14,432,726,531.17</w:t>
            </w:r>
          </w:p>
        </w:tc>
      </w:tr>
    </w:tbl>
    <w:p w14:paraId="58324235" w14:textId="7B468FF4" w:rsidR="38ED8F1A" w:rsidRPr="00543AF3" w:rsidRDefault="540A0BB6" w:rsidP="00ED40D1">
      <w:pPr>
        <w:spacing w:after="0" w:line="257" w:lineRule="auto"/>
        <w:jc w:val="both"/>
        <w:rPr>
          <w:rFonts w:ascii="Arial" w:eastAsia="Arial" w:hAnsi="Arial" w:cs="Arial"/>
          <w:lang w:val="mn"/>
        </w:rPr>
      </w:pPr>
      <w:r w:rsidRPr="00543AF3">
        <w:rPr>
          <w:rFonts w:ascii="Arial" w:eastAsia="Arial" w:hAnsi="Arial" w:cs="Arial"/>
          <w:lang w:val="mn"/>
        </w:rPr>
        <w:t xml:space="preserve"> </w:t>
      </w:r>
    </w:p>
    <w:p w14:paraId="3B81878D" w14:textId="0EFC9E1B" w:rsidR="00EA5E79" w:rsidRPr="00543AF3" w:rsidRDefault="540A0BB6" w:rsidP="00ED40D1">
      <w:pPr>
        <w:pStyle w:val="ListParagraph"/>
        <w:numPr>
          <w:ilvl w:val="1"/>
          <w:numId w:val="3"/>
        </w:numPr>
        <w:spacing w:line="257" w:lineRule="auto"/>
        <w:ind w:left="1080" w:hanging="720"/>
        <w:jc w:val="both"/>
        <w:rPr>
          <w:rFonts w:ascii="Arial" w:eastAsia="Arial" w:hAnsi="Arial" w:cs="Arial"/>
          <w:b/>
          <w:bCs/>
          <w:lang w:val="mn"/>
        </w:rPr>
      </w:pPr>
      <w:r w:rsidRPr="00543AF3">
        <w:rPr>
          <w:rFonts w:ascii="Arial" w:eastAsia="Arial" w:hAnsi="Arial" w:cs="Arial"/>
          <w:b/>
          <w:bCs/>
          <w:lang w:val="mn"/>
        </w:rPr>
        <w:t>Дээд түвшний нөхөн төлбөрийн зардлын тооцоолол</w:t>
      </w:r>
    </w:p>
    <w:p w14:paraId="43B3FDE8" w14:textId="7E3C3706" w:rsidR="00EA5E79" w:rsidRPr="00543AF3" w:rsidRDefault="540A0BB6" w:rsidP="43CF1FC7">
      <w:pPr>
        <w:spacing w:line="257" w:lineRule="auto"/>
        <w:ind w:firstLine="360"/>
        <w:jc w:val="both"/>
        <w:rPr>
          <w:rFonts w:ascii="Arial" w:hAnsi="Arial" w:cs="Arial"/>
        </w:rPr>
      </w:pPr>
      <w:r w:rsidRPr="00543AF3">
        <w:rPr>
          <w:rFonts w:ascii="Arial" w:eastAsia="Arial" w:hAnsi="Arial" w:cs="Arial"/>
          <w:lang w:val="mn"/>
        </w:rPr>
        <w:t>Харин дээд түвшинд учирч болзошгүй эрсдэлийг өнгөрсөн 46 жилийн хорогдлын мэдээнд үндэслэн эрсдэлийн дээд түвшинд гарах нөхөн төлбөрийн хэмжээг даатгуулж болзошгүй хамгийн их малын үнэлгээгээр тооцоолж, нийт даатгалын үнэлгээнд эзлэх хувийг жил бүрийн хувьд гаргасан. Энэхүү нийт даатгалын үнэлгээнд эзлэх нөхөн төлбөрийн хувийн нягтын функцийн 1.0 хувийн итгэлцлийн түвшинд буюу VaR-ийн 0.99 түвшин нь 4.38 хувь байна.  Өөрөөр хэлбэл нийт даатгалын үнэлгээнд эзлэх нөхөн төлбөрийн хувь нь 4.38 хувиас их байх магадлал 1.0 хувь байна. МИД-ын хураамжийн орлого болон даатгалын нийт үнэлгээний хэмжээнээс хамааран гарах нөхөн төлбөрийн хэмжээ дараах байдалтай байна (Хүснэгт 3).</w:t>
      </w:r>
    </w:p>
    <w:p w14:paraId="7506F362" w14:textId="2FC29BFA" w:rsidR="00EA5E79" w:rsidRPr="00543AF3" w:rsidRDefault="540A0BB6" w:rsidP="43CF1FC7">
      <w:pPr>
        <w:spacing w:after="0"/>
        <w:rPr>
          <w:rFonts w:ascii="Arial" w:hAnsi="Arial" w:cs="Arial"/>
        </w:rPr>
      </w:pPr>
      <w:r w:rsidRPr="00543AF3">
        <w:rPr>
          <w:rFonts w:ascii="Arial" w:eastAsia="Calibri" w:hAnsi="Arial" w:cs="Arial"/>
          <w:i/>
          <w:iCs/>
          <w:color w:val="44546A"/>
          <w:lang w:val="mn"/>
        </w:rPr>
        <w:t>Хүснэгт 3</w:t>
      </w:r>
      <w:r w:rsidRPr="00543AF3">
        <w:rPr>
          <w:rFonts w:ascii="Arial" w:eastAsia="Calibri" w:hAnsi="Arial" w:cs="Arial"/>
          <w:i/>
          <w:iCs/>
          <w:color w:val="44546A"/>
        </w:rPr>
        <w:t xml:space="preserve"> </w:t>
      </w:r>
      <w:r w:rsidRPr="00543AF3">
        <w:rPr>
          <w:rFonts w:ascii="Arial" w:eastAsia="Calibri" w:hAnsi="Arial" w:cs="Arial"/>
          <w:i/>
          <w:iCs/>
          <w:color w:val="44546A"/>
          <w:lang w:val="mn"/>
        </w:rPr>
        <w:t>Дээд түвшинээс гарч болзошгүй нөхөн төлбөрийн хэмжээ /төгрөг/</w:t>
      </w:r>
    </w:p>
    <w:tbl>
      <w:tblPr>
        <w:tblStyle w:val="TableGrid"/>
        <w:tblW w:w="0" w:type="auto"/>
        <w:tblLayout w:type="fixed"/>
        <w:tblLook w:val="04A0" w:firstRow="1" w:lastRow="0" w:firstColumn="1" w:lastColumn="0" w:noHBand="0" w:noVBand="1"/>
      </w:tblPr>
      <w:tblGrid>
        <w:gridCol w:w="1246"/>
        <w:gridCol w:w="2991"/>
        <w:gridCol w:w="2202"/>
        <w:gridCol w:w="2921"/>
      </w:tblGrid>
      <w:tr w:rsidR="43CF1FC7" w:rsidRPr="00543AF3" w14:paraId="023A7427" w14:textId="77777777" w:rsidTr="43CF1FC7">
        <w:trPr>
          <w:trHeight w:val="300"/>
        </w:trPr>
        <w:tc>
          <w:tcPr>
            <w:tcW w:w="12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D426D8" w14:textId="581EFA11" w:rsidR="43CF1FC7" w:rsidRPr="00543AF3" w:rsidRDefault="43CF1FC7" w:rsidP="43CF1FC7">
            <w:pPr>
              <w:jc w:val="center"/>
              <w:rPr>
                <w:rFonts w:ascii="Arial" w:hAnsi="Arial" w:cs="Arial"/>
              </w:rPr>
            </w:pPr>
            <w:r w:rsidRPr="00543AF3">
              <w:rPr>
                <w:rFonts w:ascii="Arial" w:eastAsia="Arial" w:hAnsi="Arial" w:cs="Arial"/>
                <w:b/>
                <w:bCs/>
                <w:lang w:val="mn"/>
              </w:rPr>
              <w:t>Хувилбар</w:t>
            </w:r>
          </w:p>
        </w:tc>
        <w:tc>
          <w:tcPr>
            <w:tcW w:w="29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A7273C" w14:textId="2A648030" w:rsidR="43CF1FC7" w:rsidRPr="00543AF3" w:rsidRDefault="43CF1FC7" w:rsidP="43CF1FC7">
            <w:pPr>
              <w:jc w:val="center"/>
              <w:rPr>
                <w:rFonts w:ascii="Arial" w:hAnsi="Arial" w:cs="Arial"/>
              </w:rPr>
            </w:pPr>
            <w:r w:rsidRPr="00543AF3">
              <w:rPr>
                <w:rFonts w:ascii="Arial" w:eastAsia="Arial" w:hAnsi="Arial" w:cs="Arial"/>
                <w:b/>
                <w:bCs/>
                <w:lang w:val="mn"/>
              </w:rPr>
              <w:t>Даатгалын үнэлгээ</w:t>
            </w:r>
          </w:p>
        </w:tc>
        <w:tc>
          <w:tcPr>
            <w:tcW w:w="22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AC59A9" w14:textId="3D6B26CE" w:rsidR="43CF1FC7" w:rsidRPr="00543AF3" w:rsidRDefault="43CF1FC7" w:rsidP="43CF1FC7">
            <w:pPr>
              <w:jc w:val="center"/>
              <w:rPr>
                <w:rFonts w:ascii="Arial" w:hAnsi="Arial" w:cs="Arial"/>
              </w:rPr>
            </w:pPr>
            <w:r w:rsidRPr="00543AF3">
              <w:rPr>
                <w:rFonts w:ascii="Arial" w:eastAsia="Arial" w:hAnsi="Arial" w:cs="Arial"/>
                <w:b/>
                <w:bCs/>
                <w:lang w:val="mn"/>
              </w:rPr>
              <w:t>Хураамж</w:t>
            </w:r>
          </w:p>
        </w:tc>
        <w:tc>
          <w:tcPr>
            <w:tcW w:w="29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517E7F" w14:textId="34D2D2A6" w:rsidR="43CF1FC7" w:rsidRPr="00543AF3" w:rsidRDefault="43CF1FC7" w:rsidP="43CF1FC7">
            <w:pPr>
              <w:jc w:val="center"/>
              <w:rPr>
                <w:rFonts w:ascii="Arial" w:hAnsi="Arial" w:cs="Arial"/>
              </w:rPr>
            </w:pPr>
            <w:r w:rsidRPr="00543AF3">
              <w:rPr>
                <w:rFonts w:ascii="Arial" w:eastAsia="Arial" w:hAnsi="Arial" w:cs="Arial"/>
                <w:b/>
                <w:bCs/>
                <w:lang w:val="mn"/>
              </w:rPr>
              <w:t>Гарах нөхөн төлбөрийн хэмжээ /Б/</w:t>
            </w:r>
          </w:p>
        </w:tc>
      </w:tr>
      <w:tr w:rsidR="43CF1FC7" w:rsidRPr="00543AF3" w14:paraId="6ECDECC1" w14:textId="77777777" w:rsidTr="43CF1FC7">
        <w:trPr>
          <w:trHeight w:val="300"/>
        </w:trPr>
        <w:tc>
          <w:tcPr>
            <w:tcW w:w="12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1F0ABF" w14:textId="4CEF507F" w:rsidR="43CF1FC7" w:rsidRPr="00543AF3" w:rsidRDefault="43CF1FC7" w:rsidP="43CF1FC7">
            <w:pPr>
              <w:jc w:val="center"/>
              <w:rPr>
                <w:rFonts w:ascii="Arial" w:hAnsi="Arial" w:cs="Arial"/>
              </w:rPr>
            </w:pPr>
            <w:r w:rsidRPr="00543AF3">
              <w:rPr>
                <w:rFonts w:ascii="Arial" w:eastAsia="Arial" w:hAnsi="Arial" w:cs="Arial"/>
                <w:lang w:val="mn"/>
              </w:rPr>
              <w:t>1</w:t>
            </w:r>
          </w:p>
        </w:tc>
        <w:tc>
          <w:tcPr>
            <w:tcW w:w="29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E0B572" w14:textId="5A17654B" w:rsidR="43CF1FC7" w:rsidRPr="00543AF3" w:rsidRDefault="43CF1FC7" w:rsidP="43CF1FC7">
            <w:pPr>
              <w:jc w:val="center"/>
              <w:rPr>
                <w:rFonts w:ascii="Arial" w:hAnsi="Arial" w:cs="Arial"/>
              </w:rPr>
            </w:pPr>
            <w:r w:rsidRPr="00543AF3">
              <w:rPr>
                <w:rFonts w:ascii="Arial" w:eastAsia="Arial" w:hAnsi="Arial" w:cs="Arial"/>
                <w:lang w:val="mn"/>
              </w:rPr>
              <w:t>78,804,965,709.775</w:t>
            </w:r>
          </w:p>
        </w:tc>
        <w:tc>
          <w:tcPr>
            <w:tcW w:w="2202" w:type="dxa"/>
            <w:tcBorders>
              <w:top w:val="single" w:sz="8" w:space="0" w:color="auto"/>
              <w:left w:val="single" w:sz="8" w:space="0" w:color="auto"/>
              <w:bottom w:val="single" w:sz="8" w:space="0" w:color="auto"/>
              <w:right w:val="single" w:sz="8" w:space="0" w:color="auto"/>
            </w:tcBorders>
            <w:tcMar>
              <w:left w:w="108" w:type="dxa"/>
              <w:right w:w="108" w:type="dxa"/>
            </w:tcMar>
          </w:tcPr>
          <w:p w14:paraId="1D45A641" w14:textId="03B9272B" w:rsidR="43CF1FC7" w:rsidRPr="00543AF3" w:rsidRDefault="43CF1FC7" w:rsidP="43CF1FC7">
            <w:pPr>
              <w:jc w:val="center"/>
              <w:rPr>
                <w:rFonts w:ascii="Arial" w:hAnsi="Arial" w:cs="Arial"/>
              </w:rPr>
            </w:pPr>
            <w:r w:rsidRPr="00543AF3">
              <w:rPr>
                <w:rFonts w:ascii="Arial" w:eastAsia="Arial" w:hAnsi="Arial" w:cs="Arial"/>
                <w:lang w:val="mn"/>
              </w:rPr>
              <w:t>3 тэрбум</w:t>
            </w:r>
          </w:p>
        </w:tc>
        <w:tc>
          <w:tcPr>
            <w:tcW w:w="29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528482" w14:textId="42CFBEBA" w:rsidR="43CF1FC7" w:rsidRPr="00543AF3" w:rsidRDefault="43CF1FC7" w:rsidP="43CF1FC7">
            <w:pPr>
              <w:jc w:val="center"/>
              <w:rPr>
                <w:rFonts w:ascii="Arial" w:hAnsi="Arial" w:cs="Arial"/>
              </w:rPr>
            </w:pPr>
            <w:r w:rsidRPr="00543AF3">
              <w:rPr>
                <w:rFonts w:ascii="Arial" w:eastAsia="Arial" w:hAnsi="Arial" w:cs="Arial"/>
                <w:lang w:val="mn"/>
              </w:rPr>
              <w:t>3,451,657,498.09</w:t>
            </w:r>
          </w:p>
        </w:tc>
      </w:tr>
      <w:tr w:rsidR="43CF1FC7" w:rsidRPr="00543AF3" w14:paraId="22491F9E" w14:textId="77777777" w:rsidTr="43CF1FC7">
        <w:trPr>
          <w:trHeight w:val="300"/>
        </w:trPr>
        <w:tc>
          <w:tcPr>
            <w:tcW w:w="12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A878F4" w14:textId="7158239C" w:rsidR="43CF1FC7" w:rsidRPr="00543AF3" w:rsidRDefault="43CF1FC7" w:rsidP="43CF1FC7">
            <w:pPr>
              <w:jc w:val="center"/>
              <w:rPr>
                <w:rFonts w:ascii="Arial" w:hAnsi="Arial" w:cs="Arial"/>
              </w:rPr>
            </w:pPr>
            <w:r w:rsidRPr="00543AF3">
              <w:rPr>
                <w:rFonts w:ascii="Arial" w:eastAsia="Arial" w:hAnsi="Arial" w:cs="Arial"/>
                <w:lang w:val="mn"/>
              </w:rPr>
              <w:t>2</w:t>
            </w:r>
          </w:p>
        </w:tc>
        <w:tc>
          <w:tcPr>
            <w:tcW w:w="29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2B5229" w14:textId="4416AD96" w:rsidR="43CF1FC7" w:rsidRPr="00543AF3" w:rsidRDefault="43CF1FC7" w:rsidP="43CF1FC7">
            <w:pPr>
              <w:jc w:val="center"/>
              <w:rPr>
                <w:rFonts w:ascii="Arial" w:hAnsi="Arial" w:cs="Arial"/>
              </w:rPr>
            </w:pPr>
            <w:r w:rsidRPr="00543AF3">
              <w:rPr>
                <w:rFonts w:ascii="Arial" w:eastAsia="Arial" w:hAnsi="Arial" w:cs="Arial"/>
                <w:lang w:val="mn"/>
              </w:rPr>
              <w:t>105,073,287,613.033</w:t>
            </w:r>
          </w:p>
        </w:tc>
        <w:tc>
          <w:tcPr>
            <w:tcW w:w="2202" w:type="dxa"/>
            <w:tcBorders>
              <w:top w:val="single" w:sz="8" w:space="0" w:color="auto"/>
              <w:left w:val="single" w:sz="8" w:space="0" w:color="auto"/>
              <w:bottom w:val="single" w:sz="8" w:space="0" w:color="auto"/>
              <w:right w:val="single" w:sz="8" w:space="0" w:color="auto"/>
            </w:tcBorders>
            <w:tcMar>
              <w:left w:w="108" w:type="dxa"/>
              <w:right w:w="108" w:type="dxa"/>
            </w:tcMar>
          </w:tcPr>
          <w:p w14:paraId="1151AA22" w14:textId="11492A99" w:rsidR="43CF1FC7" w:rsidRPr="00543AF3" w:rsidRDefault="43CF1FC7" w:rsidP="43CF1FC7">
            <w:pPr>
              <w:jc w:val="center"/>
              <w:rPr>
                <w:rFonts w:ascii="Arial" w:hAnsi="Arial" w:cs="Arial"/>
              </w:rPr>
            </w:pPr>
            <w:r w:rsidRPr="00543AF3">
              <w:rPr>
                <w:rFonts w:ascii="Arial" w:eastAsia="Arial" w:hAnsi="Arial" w:cs="Arial"/>
                <w:lang w:val="mn"/>
              </w:rPr>
              <w:t>4 тэрбум</w:t>
            </w:r>
          </w:p>
        </w:tc>
        <w:tc>
          <w:tcPr>
            <w:tcW w:w="29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A3DDF1" w14:textId="37CC1C92" w:rsidR="43CF1FC7" w:rsidRPr="00543AF3" w:rsidRDefault="43CF1FC7" w:rsidP="43CF1FC7">
            <w:pPr>
              <w:jc w:val="center"/>
              <w:rPr>
                <w:rFonts w:ascii="Arial" w:hAnsi="Arial" w:cs="Arial"/>
              </w:rPr>
            </w:pPr>
            <w:r w:rsidRPr="00543AF3">
              <w:rPr>
                <w:rFonts w:ascii="Arial" w:eastAsia="Arial" w:hAnsi="Arial" w:cs="Arial"/>
                <w:lang w:val="mn"/>
              </w:rPr>
              <w:t>4,602,209,997.45</w:t>
            </w:r>
          </w:p>
        </w:tc>
      </w:tr>
      <w:tr w:rsidR="43CF1FC7" w:rsidRPr="00543AF3" w14:paraId="7549CB73" w14:textId="77777777" w:rsidTr="43CF1FC7">
        <w:trPr>
          <w:trHeight w:val="300"/>
        </w:trPr>
        <w:tc>
          <w:tcPr>
            <w:tcW w:w="12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6F37E3" w14:textId="07EF2D4E" w:rsidR="43CF1FC7" w:rsidRPr="00543AF3" w:rsidRDefault="43CF1FC7" w:rsidP="43CF1FC7">
            <w:pPr>
              <w:jc w:val="center"/>
              <w:rPr>
                <w:rFonts w:ascii="Arial" w:hAnsi="Arial" w:cs="Arial"/>
              </w:rPr>
            </w:pPr>
            <w:r w:rsidRPr="00543AF3">
              <w:rPr>
                <w:rFonts w:ascii="Arial" w:eastAsia="Arial" w:hAnsi="Arial" w:cs="Arial"/>
                <w:lang w:val="mn"/>
              </w:rPr>
              <w:t>3</w:t>
            </w:r>
          </w:p>
        </w:tc>
        <w:tc>
          <w:tcPr>
            <w:tcW w:w="29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2CA8F0" w14:textId="7CDCC20F" w:rsidR="43CF1FC7" w:rsidRPr="00543AF3" w:rsidRDefault="43CF1FC7" w:rsidP="43CF1FC7">
            <w:pPr>
              <w:jc w:val="center"/>
              <w:rPr>
                <w:rFonts w:ascii="Arial" w:hAnsi="Arial" w:cs="Arial"/>
              </w:rPr>
            </w:pPr>
            <w:r w:rsidRPr="00543AF3">
              <w:rPr>
                <w:rFonts w:ascii="Arial" w:eastAsia="Arial" w:hAnsi="Arial" w:cs="Arial"/>
                <w:lang w:val="mn"/>
              </w:rPr>
              <w:t>131,341,609,516.291</w:t>
            </w:r>
          </w:p>
        </w:tc>
        <w:tc>
          <w:tcPr>
            <w:tcW w:w="2202" w:type="dxa"/>
            <w:tcBorders>
              <w:top w:val="single" w:sz="8" w:space="0" w:color="auto"/>
              <w:left w:val="single" w:sz="8" w:space="0" w:color="auto"/>
              <w:bottom w:val="single" w:sz="8" w:space="0" w:color="auto"/>
              <w:right w:val="single" w:sz="8" w:space="0" w:color="auto"/>
            </w:tcBorders>
            <w:tcMar>
              <w:left w:w="108" w:type="dxa"/>
              <w:right w:w="108" w:type="dxa"/>
            </w:tcMar>
          </w:tcPr>
          <w:p w14:paraId="6FE3C4E8" w14:textId="67B36D96" w:rsidR="43CF1FC7" w:rsidRPr="00543AF3" w:rsidRDefault="43CF1FC7" w:rsidP="43CF1FC7">
            <w:pPr>
              <w:jc w:val="center"/>
              <w:rPr>
                <w:rFonts w:ascii="Arial" w:hAnsi="Arial" w:cs="Arial"/>
              </w:rPr>
            </w:pPr>
            <w:r w:rsidRPr="00543AF3">
              <w:rPr>
                <w:rFonts w:ascii="Arial" w:eastAsia="Arial" w:hAnsi="Arial" w:cs="Arial"/>
                <w:lang w:val="mn"/>
              </w:rPr>
              <w:t>5 тэрбум</w:t>
            </w:r>
          </w:p>
        </w:tc>
        <w:tc>
          <w:tcPr>
            <w:tcW w:w="29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FDB111" w14:textId="6400CAC6" w:rsidR="43CF1FC7" w:rsidRPr="00543AF3" w:rsidRDefault="43CF1FC7" w:rsidP="43CF1FC7">
            <w:pPr>
              <w:jc w:val="center"/>
              <w:rPr>
                <w:rFonts w:ascii="Arial" w:hAnsi="Arial" w:cs="Arial"/>
              </w:rPr>
            </w:pPr>
            <w:r w:rsidRPr="00543AF3">
              <w:rPr>
                <w:rFonts w:ascii="Arial" w:eastAsia="Arial" w:hAnsi="Arial" w:cs="Arial"/>
                <w:lang w:val="mn"/>
              </w:rPr>
              <w:t>5,752,762,496.81</w:t>
            </w:r>
          </w:p>
        </w:tc>
      </w:tr>
    </w:tbl>
    <w:p w14:paraId="0D3114E2" w14:textId="4160E7F3" w:rsidR="00EA5E79" w:rsidRPr="00543AF3" w:rsidRDefault="540A0BB6" w:rsidP="43CF1FC7">
      <w:pPr>
        <w:spacing w:line="257" w:lineRule="auto"/>
        <w:ind w:firstLine="360"/>
        <w:jc w:val="both"/>
        <w:rPr>
          <w:rFonts w:ascii="Arial" w:hAnsi="Arial" w:cs="Arial"/>
        </w:rPr>
      </w:pPr>
      <w:r w:rsidRPr="00543AF3">
        <w:rPr>
          <w:rFonts w:ascii="Arial" w:eastAsia="Arial" w:hAnsi="Arial" w:cs="Arial"/>
          <w:highlight w:val="yellow"/>
          <w:lang w:val="mn"/>
        </w:rPr>
        <w:t xml:space="preserve"> </w:t>
      </w:r>
    </w:p>
    <w:p w14:paraId="14A77609" w14:textId="3FEA5F99" w:rsidR="00EA5E79" w:rsidRPr="00543AF3" w:rsidRDefault="540A0BB6" w:rsidP="43CF1FC7">
      <w:pPr>
        <w:pStyle w:val="ListParagraph"/>
        <w:numPr>
          <w:ilvl w:val="1"/>
          <w:numId w:val="3"/>
        </w:numPr>
        <w:spacing w:after="0" w:line="257" w:lineRule="auto"/>
        <w:ind w:left="1080" w:hanging="720"/>
        <w:jc w:val="both"/>
        <w:rPr>
          <w:rFonts w:ascii="Arial" w:eastAsia="Arial" w:hAnsi="Arial" w:cs="Arial"/>
          <w:b/>
          <w:bCs/>
          <w:lang w:val="mn"/>
        </w:rPr>
      </w:pPr>
      <w:r w:rsidRPr="00543AF3">
        <w:rPr>
          <w:rFonts w:ascii="Arial" w:eastAsia="Arial" w:hAnsi="Arial" w:cs="Arial"/>
          <w:b/>
          <w:bCs/>
          <w:lang w:val="mn"/>
        </w:rPr>
        <w:t>Нийт нөхөн төлбөрийн зардлын тооцоолол</w:t>
      </w:r>
    </w:p>
    <w:p w14:paraId="128E6ABD" w14:textId="55DFDE5F" w:rsidR="00EA5E79" w:rsidRPr="00543AF3" w:rsidRDefault="540A0BB6" w:rsidP="43CF1FC7">
      <w:pPr>
        <w:spacing w:line="257" w:lineRule="auto"/>
        <w:ind w:firstLine="360"/>
        <w:jc w:val="both"/>
        <w:rPr>
          <w:rFonts w:ascii="Arial" w:hAnsi="Arial" w:cs="Arial"/>
        </w:rPr>
      </w:pPr>
      <w:r w:rsidRPr="00543AF3">
        <w:rPr>
          <w:rFonts w:ascii="Arial" w:eastAsia="Arial" w:hAnsi="Arial" w:cs="Arial"/>
          <w:lang w:val="mn"/>
        </w:rPr>
        <w:t>Олон улсын давхар даатгагчийн хариуцах хувь өөрчлөгдөхгүй гэж таамаглахад Үндэсний давхар даатгал ХК-аас эрсдэлийн дунд болон дээд түвшний нөхөн төлбөрт зарцуулж болзошгүй нийт зардлын хэмжээг Хүснэгт 4-д харуулав.</w:t>
      </w:r>
    </w:p>
    <w:p w14:paraId="0393D299" w14:textId="48A44450" w:rsidR="00EA5E79" w:rsidRPr="00543AF3" w:rsidRDefault="540A0BB6" w:rsidP="43CF1FC7">
      <w:pPr>
        <w:spacing w:after="0"/>
        <w:rPr>
          <w:rFonts w:ascii="Arial" w:hAnsi="Arial" w:cs="Arial"/>
        </w:rPr>
      </w:pPr>
      <w:r w:rsidRPr="00543AF3">
        <w:rPr>
          <w:rFonts w:ascii="Arial" w:eastAsia="Calibri" w:hAnsi="Arial" w:cs="Arial"/>
          <w:i/>
          <w:iCs/>
          <w:color w:val="44546A"/>
          <w:lang w:val="mn"/>
        </w:rPr>
        <w:t>Хүснэгт 4 Нийт нөхөн төлбөрийн зардал /төгрөг/</w:t>
      </w:r>
    </w:p>
    <w:tbl>
      <w:tblPr>
        <w:tblStyle w:val="TableGrid"/>
        <w:tblW w:w="0" w:type="auto"/>
        <w:tblLayout w:type="fixed"/>
        <w:tblLook w:val="04A0" w:firstRow="1" w:lastRow="0" w:firstColumn="1" w:lastColumn="0" w:noHBand="0" w:noVBand="1"/>
      </w:tblPr>
      <w:tblGrid>
        <w:gridCol w:w="1246"/>
        <w:gridCol w:w="2725"/>
        <w:gridCol w:w="3090"/>
        <w:gridCol w:w="2299"/>
      </w:tblGrid>
      <w:tr w:rsidR="43CF1FC7" w:rsidRPr="00543AF3" w14:paraId="30952E5F" w14:textId="77777777" w:rsidTr="43CF1FC7">
        <w:trPr>
          <w:trHeight w:val="300"/>
        </w:trPr>
        <w:tc>
          <w:tcPr>
            <w:tcW w:w="12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25CDF1" w14:textId="5343C8BE" w:rsidR="43CF1FC7" w:rsidRPr="00543AF3" w:rsidRDefault="43CF1FC7" w:rsidP="43CF1FC7">
            <w:pPr>
              <w:jc w:val="center"/>
              <w:rPr>
                <w:rFonts w:ascii="Arial" w:hAnsi="Arial" w:cs="Arial"/>
              </w:rPr>
            </w:pPr>
            <w:r w:rsidRPr="00543AF3">
              <w:rPr>
                <w:rFonts w:ascii="Arial" w:eastAsia="Arial" w:hAnsi="Arial" w:cs="Arial"/>
                <w:b/>
                <w:bCs/>
                <w:lang w:val="mn"/>
              </w:rPr>
              <w:t>Хувилбар</w:t>
            </w:r>
          </w:p>
        </w:tc>
        <w:tc>
          <w:tcPr>
            <w:tcW w:w="27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D24ED9" w14:textId="62F23137" w:rsidR="43CF1FC7" w:rsidRPr="00543AF3" w:rsidRDefault="43CF1FC7" w:rsidP="43CF1FC7">
            <w:pPr>
              <w:jc w:val="center"/>
              <w:rPr>
                <w:rFonts w:ascii="Arial" w:hAnsi="Arial" w:cs="Arial"/>
                <w:lang w:val="ru-RU"/>
              </w:rPr>
            </w:pPr>
            <w:r w:rsidRPr="00543AF3">
              <w:rPr>
                <w:rFonts w:ascii="Arial" w:eastAsia="Arial" w:hAnsi="Arial" w:cs="Arial"/>
                <w:b/>
                <w:bCs/>
                <w:lang w:val="mn"/>
              </w:rPr>
              <w:t>Нийт нөхөн төлбөрийн хэмжээ /В=А+Б/</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25E960" w14:textId="615ED85C" w:rsidR="43CF1FC7" w:rsidRPr="00543AF3" w:rsidRDefault="43CF1FC7" w:rsidP="43CF1FC7">
            <w:pPr>
              <w:jc w:val="center"/>
              <w:rPr>
                <w:rFonts w:ascii="Arial" w:hAnsi="Arial" w:cs="Arial"/>
                <w:lang w:val="ru-RU"/>
              </w:rPr>
            </w:pPr>
            <w:r w:rsidRPr="00543AF3">
              <w:rPr>
                <w:rFonts w:ascii="Arial" w:eastAsia="Arial" w:hAnsi="Arial" w:cs="Arial"/>
                <w:b/>
                <w:bCs/>
                <w:lang w:val="mn"/>
              </w:rPr>
              <w:t>Олон улсын давхар нийт даатгагчийн хариуцлага /Г/</w:t>
            </w: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503343" w14:textId="286775ED" w:rsidR="43CF1FC7" w:rsidRPr="00543AF3" w:rsidRDefault="43CF1FC7" w:rsidP="43CF1FC7">
            <w:pPr>
              <w:jc w:val="center"/>
              <w:rPr>
                <w:rFonts w:ascii="Arial" w:hAnsi="Arial" w:cs="Arial"/>
                <w:lang w:val="ru-RU"/>
              </w:rPr>
            </w:pPr>
            <w:r w:rsidRPr="00543AF3">
              <w:rPr>
                <w:rFonts w:ascii="Arial" w:eastAsia="Arial" w:hAnsi="Arial" w:cs="Arial"/>
                <w:b/>
                <w:bCs/>
                <w:lang w:val="mn"/>
              </w:rPr>
              <w:t>Үндэсний давхар даатгал ХК-ийн нийт хариуцлага /Д=В-Г/</w:t>
            </w:r>
          </w:p>
        </w:tc>
      </w:tr>
      <w:tr w:rsidR="43CF1FC7" w:rsidRPr="00543AF3" w14:paraId="0737775C" w14:textId="77777777" w:rsidTr="43CF1FC7">
        <w:trPr>
          <w:trHeight w:val="300"/>
        </w:trPr>
        <w:tc>
          <w:tcPr>
            <w:tcW w:w="12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BCFA91" w14:textId="24B19160" w:rsidR="43CF1FC7" w:rsidRPr="00543AF3" w:rsidRDefault="43CF1FC7" w:rsidP="43CF1FC7">
            <w:pPr>
              <w:jc w:val="center"/>
              <w:rPr>
                <w:rFonts w:ascii="Arial" w:hAnsi="Arial" w:cs="Arial"/>
              </w:rPr>
            </w:pPr>
            <w:r w:rsidRPr="00543AF3">
              <w:rPr>
                <w:rFonts w:ascii="Arial" w:eastAsia="Arial" w:hAnsi="Arial" w:cs="Arial"/>
                <w:lang w:val="mn"/>
              </w:rPr>
              <w:t>1</w:t>
            </w:r>
          </w:p>
        </w:tc>
        <w:tc>
          <w:tcPr>
            <w:tcW w:w="2725" w:type="dxa"/>
            <w:tcBorders>
              <w:top w:val="single" w:sz="8" w:space="0" w:color="auto"/>
              <w:left w:val="single" w:sz="8" w:space="0" w:color="auto"/>
              <w:bottom w:val="single" w:sz="8" w:space="0" w:color="auto"/>
              <w:right w:val="single" w:sz="8" w:space="0" w:color="auto"/>
            </w:tcBorders>
            <w:tcMar>
              <w:left w:w="108" w:type="dxa"/>
              <w:right w:w="108" w:type="dxa"/>
            </w:tcMar>
          </w:tcPr>
          <w:p w14:paraId="3A14A891" w14:textId="341AEAEB" w:rsidR="43CF1FC7" w:rsidRPr="00543AF3" w:rsidRDefault="43CF1FC7" w:rsidP="43CF1FC7">
            <w:pPr>
              <w:jc w:val="center"/>
              <w:rPr>
                <w:rFonts w:ascii="Arial" w:hAnsi="Arial" w:cs="Arial"/>
              </w:rPr>
            </w:pPr>
            <w:r w:rsidRPr="00543AF3">
              <w:rPr>
                <w:rFonts w:ascii="Arial" w:eastAsia="Arial" w:hAnsi="Arial" w:cs="Arial"/>
              </w:rPr>
              <w:t>12,111,293,416.79</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tcPr>
          <w:p w14:paraId="68DD0815" w14:textId="6C69B087" w:rsidR="43CF1FC7" w:rsidRPr="00543AF3" w:rsidRDefault="43CF1FC7" w:rsidP="43CF1FC7">
            <w:pPr>
              <w:jc w:val="center"/>
              <w:rPr>
                <w:rFonts w:ascii="Arial" w:hAnsi="Arial" w:cs="Arial"/>
              </w:rPr>
            </w:pPr>
            <w:r w:rsidRPr="00543AF3">
              <w:rPr>
                <w:rFonts w:ascii="Arial" w:eastAsia="Arial" w:hAnsi="Arial" w:cs="Arial"/>
              </w:rPr>
              <w:t xml:space="preserve"> 5,058,432,995.93 </w:t>
            </w: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tcPr>
          <w:p w14:paraId="61761426" w14:textId="2B879162" w:rsidR="43CF1FC7" w:rsidRPr="00543AF3" w:rsidRDefault="43CF1FC7" w:rsidP="43CF1FC7">
            <w:pPr>
              <w:jc w:val="center"/>
              <w:rPr>
                <w:rFonts w:ascii="Arial" w:hAnsi="Arial" w:cs="Arial"/>
              </w:rPr>
            </w:pPr>
            <w:r w:rsidRPr="00543AF3">
              <w:rPr>
                <w:rFonts w:ascii="Arial" w:eastAsia="Arial" w:hAnsi="Arial" w:cs="Arial"/>
              </w:rPr>
              <w:t xml:space="preserve"> 7,052,860,420.86 </w:t>
            </w:r>
          </w:p>
        </w:tc>
      </w:tr>
      <w:tr w:rsidR="43CF1FC7" w:rsidRPr="00543AF3" w14:paraId="25E67325" w14:textId="77777777" w:rsidTr="43CF1FC7">
        <w:trPr>
          <w:trHeight w:val="300"/>
        </w:trPr>
        <w:tc>
          <w:tcPr>
            <w:tcW w:w="12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820E46" w14:textId="3E237557" w:rsidR="43CF1FC7" w:rsidRPr="00543AF3" w:rsidRDefault="43CF1FC7" w:rsidP="43CF1FC7">
            <w:pPr>
              <w:jc w:val="center"/>
              <w:rPr>
                <w:rFonts w:ascii="Arial" w:hAnsi="Arial" w:cs="Arial"/>
              </w:rPr>
            </w:pPr>
            <w:r w:rsidRPr="00543AF3">
              <w:rPr>
                <w:rFonts w:ascii="Arial" w:eastAsia="Arial" w:hAnsi="Arial" w:cs="Arial"/>
                <w:lang w:val="mn"/>
              </w:rPr>
              <w:t>2</w:t>
            </w:r>
          </w:p>
        </w:tc>
        <w:tc>
          <w:tcPr>
            <w:tcW w:w="2725" w:type="dxa"/>
            <w:tcBorders>
              <w:top w:val="single" w:sz="8" w:space="0" w:color="auto"/>
              <w:left w:val="single" w:sz="8" w:space="0" w:color="auto"/>
              <w:bottom w:val="single" w:sz="8" w:space="0" w:color="auto"/>
              <w:right w:val="single" w:sz="8" w:space="0" w:color="auto"/>
            </w:tcBorders>
            <w:tcMar>
              <w:left w:w="108" w:type="dxa"/>
              <w:right w:w="108" w:type="dxa"/>
            </w:tcMar>
          </w:tcPr>
          <w:p w14:paraId="0DAB82B2" w14:textId="39F2456A" w:rsidR="43CF1FC7" w:rsidRPr="00543AF3" w:rsidRDefault="43CF1FC7" w:rsidP="43CF1FC7">
            <w:pPr>
              <w:jc w:val="center"/>
              <w:rPr>
                <w:rFonts w:ascii="Arial" w:hAnsi="Arial" w:cs="Arial"/>
              </w:rPr>
            </w:pPr>
            <w:r w:rsidRPr="00543AF3">
              <w:rPr>
                <w:rFonts w:ascii="Arial" w:eastAsia="Arial" w:hAnsi="Arial" w:cs="Arial"/>
              </w:rPr>
              <w:t>16,148,391,222.38</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tcPr>
          <w:p w14:paraId="351ABE1A" w14:textId="2F2546E5" w:rsidR="43CF1FC7" w:rsidRPr="00543AF3" w:rsidRDefault="43CF1FC7" w:rsidP="43CF1FC7">
            <w:pPr>
              <w:jc w:val="center"/>
              <w:rPr>
                <w:rFonts w:ascii="Arial" w:hAnsi="Arial" w:cs="Arial"/>
              </w:rPr>
            </w:pPr>
            <w:r w:rsidRPr="00543AF3">
              <w:rPr>
                <w:rFonts w:ascii="Arial" w:eastAsia="Arial" w:hAnsi="Arial" w:cs="Arial"/>
              </w:rPr>
              <w:t xml:space="preserve"> 6,744,577,327.91 </w:t>
            </w: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tcPr>
          <w:p w14:paraId="7E0DEE2A" w14:textId="2E15AFEF" w:rsidR="43CF1FC7" w:rsidRPr="00543AF3" w:rsidRDefault="43CF1FC7" w:rsidP="43CF1FC7">
            <w:pPr>
              <w:jc w:val="center"/>
              <w:rPr>
                <w:rFonts w:ascii="Arial" w:hAnsi="Arial" w:cs="Arial"/>
              </w:rPr>
            </w:pPr>
            <w:r w:rsidRPr="00543AF3">
              <w:rPr>
                <w:rFonts w:ascii="Arial" w:eastAsia="Arial" w:hAnsi="Arial" w:cs="Arial"/>
              </w:rPr>
              <w:t xml:space="preserve"> 9,403,813,894.47 </w:t>
            </w:r>
          </w:p>
        </w:tc>
      </w:tr>
      <w:tr w:rsidR="43CF1FC7" w:rsidRPr="00543AF3" w14:paraId="3BB1F633" w14:textId="77777777" w:rsidTr="43CF1FC7">
        <w:trPr>
          <w:trHeight w:val="300"/>
        </w:trPr>
        <w:tc>
          <w:tcPr>
            <w:tcW w:w="12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07E0E6" w14:textId="5DF9DEC5" w:rsidR="43CF1FC7" w:rsidRPr="00543AF3" w:rsidRDefault="43CF1FC7" w:rsidP="43CF1FC7">
            <w:pPr>
              <w:jc w:val="center"/>
              <w:rPr>
                <w:rFonts w:ascii="Arial" w:hAnsi="Arial" w:cs="Arial"/>
              </w:rPr>
            </w:pPr>
            <w:r w:rsidRPr="00543AF3">
              <w:rPr>
                <w:rFonts w:ascii="Arial" w:eastAsia="Arial" w:hAnsi="Arial" w:cs="Arial"/>
                <w:lang w:val="mn"/>
              </w:rPr>
              <w:t>3</w:t>
            </w:r>
          </w:p>
        </w:tc>
        <w:tc>
          <w:tcPr>
            <w:tcW w:w="2725" w:type="dxa"/>
            <w:tcBorders>
              <w:top w:val="single" w:sz="8" w:space="0" w:color="auto"/>
              <w:left w:val="single" w:sz="8" w:space="0" w:color="auto"/>
              <w:bottom w:val="single" w:sz="8" w:space="0" w:color="auto"/>
              <w:right w:val="single" w:sz="8" w:space="0" w:color="auto"/>
            </w:tcBorders>
            <w:tcMar>
              <w:left w:w="108" w:type="dxa"/>
              <w:right w:w="108" w:type="dxa"/>
            </w:tcMar>
          </w:tcPr>
          <w:p w14:paraId="42B06A81" w14:textId="566F20A8" w:rsidR="43CF1FC7" w:rsidRPr="00543AF3" w:rsidRDefault="43CF1FC7" w:rsidP="43CF1FC7">
            <w:pPr>
              <w:jc w:val="center"/>
              <w:rPr>
                <w:rFonts w:ascii="Arial" w:hAnsi="Arial" w:cs="Arial"/>
              </w:rPr>
            </w:pPr>
            <w:r w:rsidRPr="00543AF3">
              <w:rPr>
                <w:rFonts w:ascii="Arial" w:eastAsia="Arial" w:hAnsi="Arial" w:cs="Arial"/>
              </w:rPr>
              <w:t>20,185,489,027.98</w:t>
            </w:r>
          </w:p>
        </w:tc>
        <w:tc>
          <w:tcPr>
            <w:tcW w:w="3090" w:type="dxa"/>
            <w:tcBorders>
              <w:top w:val="single" w:sz="8" w:space="0" w:color="auto"/>
              <w:left w:val="single" w:sz="8" w:space="0" w:color="auto"/>
              <w:bottom w:val="single" w:sz="8" w:space="0" w:color="auto"/>
              <w:right w:val="single" w:sz="8" w:space="0" w:color="auto"/>
            </w:tcBorders>
            <w:tcMar>
              <w:left w:w="108" w:type="dxa"/>
              <w:right w:w="108" w:type="dxa"/>
            </w:tcMar>
          </w:tcPr>
          <w:p w14:paraId="70D75A5F" w14:textId="39FDE4F4" w:rsidR="43CF1FC7" w:rsidRPr="00543AF3" w:rsidRDefault="43CF1FC7" w:rsidP="43CF1FC7">
            <w:pPr>
              <w:jc w:val="center"/>
              <w:rPr>
                <w:rFonts w:ascii="Arial" w:hAnsi="Arial" w:cs="Arial"/>
              </w:rPr>
            </w:pPr>
            <w:r w:rsidRPr="00543AF3">
              <w:rPr>
                <w:rFonts w:ascii="Arial" w:eastAsia="Arial" w:hAnsi="Arial" w:cs="Arial"/>
              </w:rPr>
              <w:t xml:space="preserve"> 8,430,721,659.89 </w:t>
            </w: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tcPr>
          <w:p w14:paraId="3BF4FA33" w14:textId="46466463" w:rsidR="43CF1FC7" w:rsidRPr="00543AF3" w:rsidRDefault="43CF1FC7" w:rsidP="43CF1FC7">
            <w:pPr>
              <w:jc w:val="center"/>
              <w:rPr>
                <w:rFonts w:ascii="Arial" w:hAnsi="Arial" w:cs="Arial"/>
              </w:rPr>
            </w:pPr>
            <w:r w:rsidRPr="00543AF3">
              <w:rPr>
                <w:rFonts w:ascii="Arial" w:eastAsia="Arial" w:hAnsi="Arial" w:cs="Arial"/>
              </w:rPr>
              <w:t xml:space="preserve"> 11,754,767,368.09 </w:t>
            </w:r>
          </w:p>
        </w:tc>
      </w:tr>
    </w:tbl>
    <w:p w14:paraId="3E1382D7" w14:textId="63AEAB52" w:rsidR="00EA5E79" w:rsidRPr="00543AF3" w:rsidRDefault="540A0BB6" w:rsidP="007E1691">
      <w:pPr>
        <w:spacing w:before="240" w:line="257" w:lineRule="auto"/>
        <w:ind w:firstLine="720"/>
        <w:jc w:val="both"/>
        <w:rPr>
          <w:rFonts w:ascii="Arial" w:eastAsia="Arial" w:hAnsi="Arial" w:cs="Arial"/>
          <w:b/>
          <w:bCs/>
        </w:rPr>
      </w:pPr>
      <w:r w:rsidRPr="00543AF3">
        <w:rPr>
          <w:rFonts w:ascii="Arial" w:eastAsia="Arial" w:hAnsi="Arial" w:cs="Arial"/>
          <w:lang w:val="mn"/>
        </w:rPr>
        <w:lastRenderedPageBreak/>
        <w:t xml:space="preserve">Дээрх тооцооллоос харахад Үндэсний давхар даатгал ХК-аас гарч болзошгүй хамгийн их зардал </w:t>
      </w:r>
      <w:r w:rsidRPr="00543AF3">
        <w:rPr>
          <w:rFonts w:ascii="Arial" w:eastAsia="Arial" w:hAnsi="Arial" w:cs="Arial"/>
          <w:b/>
          <w:bCs/>
        </w:rPr>
        <w:t xml:space="preserve">11,754,767,368.09 </w:t>
      </w:r>
      <w:r w:rsidRPr="00543AF3">
        <w:rPr>
          <w:rFonts w:ascii="Arial" w:eastAsia="Arial" w:hAnsi="Arial" w:cs="Arial"/>
          <w:b/>
          <w:bCs/>
          <w:lang w:val="mn"/>
        </w:rPr>
        <w:t xml:space="preserve">төгрөг </w:t>
      </w:r>
      <w:r w:rsidRPr="00543AF3">
        <w:rPr>
          <w:rFonts w:ascii="Arial" w:eastAsia="Arial" w:hAnsi="Arial" w:cs="Arial"/>
          <w:lang w:val="mn"/>
        </w:rPr>
        <w:t>байхаар</w:t>
      </w:r>
      <w:r w:rsidRPr="00543AF3">
        <w:rPr>
          <w:rFonts w:ascii="Arial" w:eastAsia="Arial" w:hAnsi="Arial" w:cs="Arial"/>
          <w:b/>
          <w:bCs/>
          <w:lang w:val="mn"/>
        </w:rPr>
        <w:t xml:space="preserve"> </w:t>
      </w:r>
      <w:r w:rsidRPr="00543AF3">
        <w:rPr>
          <w:rFonts w:ascii="Arial" w:eastAsia="Arial" w:hAnsi="Arial" w:cs="Arial"/>
          <w:lang w:val="mn"/>
        </w:rPr>
        <w:t>байна</w:t>
      </w:r>
      <w:r w:rsidRPr="00543AF3">
        <w:rPr>
          <w:rFonts w:ascii="Arial" w:eastAsia="Arial" w:hAnsi="Arial" w:cs="Arial"/>
          <w:b/>
          <w:bCs/>
          <w:lang w:val="mn"/>
        </w:rPr>
        <w:t>.</w:t>
      </w:r>
      <w:r w:rsidR="007E1691" w:rsidRPr="00543AF3">
        <w:rPr>
          <w:rFonts w:ascii="Arial" w:eastAsia="Arial" w:hAnsi="Arial" w:cs="Arial"/>
          <w:b/>
          <w:bCs/>
        </w:rPr>
        <w:t xml:space="preserve"> </w:t>
      </w:r>
    </w:p>
    <w:p w14:paraId="7D7419CB" w14:textId="6DB2C8B2" w:rsidR="007E1691" w:rsidRPr="00543AF3" w:rsidRDefault="007E1691" w:rsidP="007E1691">
      <w:pPr>
        <w:spacing w:before="240" w:line="257" w:lineRule="auto"/>
        <w:ind w:firstLine="720"/>
        <w:jc w:val="both"/>
        <w:rPr>
          <w:rFonts w:ascii="Arial" w:hAnsi="Arial" w:cs="Arial"/>
          <w:lang w:val="mn-MN"/>
        </w:rPr>
      </w:pPr>
      <w:r w:rsidRPr="00543AF3">
        <w:rPr>
          <w:rFonts w:ascii="Arial" w:hAnsi="Arial" w:cs="Arial"/>
          <w:lang w:val="mn-MN"/>
        </w:rPr>
        <w:t>Монгол Улсад 2 ба түүнээс дээш жил дараалан зудын гамшигт үзэгдэл тохиолдоход Үндэсний давхар даатгал ХК-ийн алдагдлаас хамгаалах санд ирэх ачааллыг урьдчилан тооцов. Санхүүгийн зохицуулах хорооны 2019 оны 01 дүгээр сарын 09-ны өдрийн 02 дугаар тогтоолоор баталсан “Даатгалын багц дүрэм”-ийг гуравдугаар хавсралтаар баталсан “Даатгалын нөөц сан, албан журмын даатгалын сан болон бусад санг бүрдүүлэх, хуваарилах, түүнд хяналт тавих журам”-д заасны дагуу Үндэсний давхар даатгалын компани ХК-ийн Алдагдлаас хамгаалах санд 15.0 тэрбум төгрөг байна.</w:t>
      </w:r>
    </w:p>
    <w:p w14:paraId="477886BF" w14:textId="5D0D8C9C" w:rsidR="00EA5E79" w:rsidRPr="00543AF3" w:rsidRDefault="540A0BB6" w:rsidP="007E1691">
      <w:pPr>
        <w:spacing w:before="240" w:line="257" w:lineRule="auto"/>
        <w:jc w:val="both"/>
        <w:rPr>
          <w:rFonts w:ascii="Arial" w:eastAsia="Arial" w:hAnsi="Arial" w:cs="Arial"/>
          <w:b/>
          <w:bCs/>
          <w:lang w:val="mn"/>
        </w:rPr>
      </w:pPr>
      <w:r w:rsidRPr="00543AF3">
        <w:rPr>
          <w:rFonts w:ascii="Arial" w:eastAsia="Arial" w:hAnsi="Arial" w:cs="Arial"/>
          <w:b/>
          <w:bCs/>
          <w:lang w:val="mn"/>
        </w:rPr>
        <w:t xml:space="preserve"> Нэмэлт зардал</w:t>
      </w:r>
    </w:p>
    <w:p w14:paraId="2CF9F32C" w14:textId="0991A83C" w:rsidR="00EA5E79" w:rsidRPr="00543AF3" w:rsidRDefault="540A0BB6" w:rsidP="43CF1FC7">
      <w:pPr>
        <w:spacing w:line="257" w:lineRule="auto"/>
        <w:ind w:firstLine="360"/>
        <w:jc w:val="both"/>
        <w:rPr>
          <w:rFonts w:ascii="Arial" w:hAnsi="Arial" w:cs="Arial"/>
        </w:rPr>
      </w:pPr>
      <w:r w:rsidRPr="00543AF3">
        <w:rPr>
          <w:rFonts w:ascii="Arial" w:eastAsia="Arial" w:hAnsi="Arial" w:cs="Arial"/>
          <w:lang w:val="mn"/>
        </w:rPr>
        <w:t>Дээрх зардлын тооцоололд Олон улсын давхар даатгагчийн хариуцлага болон хураамжийн зардлыг тогтмол байхаар тооцоолсон бөгөөд олон улсын давхар давхар даатгагчид төлөх хураамжийн зардлыг нэмэгдүүлэх замаар хариуцлагыг нь өсгөж, Үндэсний давхар даатгал ХК-ийн хариуцах нөхөн төлбөрийн зардлыг багасгах боломжтой. Гэсэн хэдий ч олон улсын давхар даатгагчид төлөх хураамжийн зардал хэт өндөр байвал энэ нь эргээд Үндэсний давхар даатгал ХК-ийн зардлыг нэмэгдүүлэх сөрөг талтай юм. Тиймээс олон улсын давхар даатгагчийн хариуцлагыг тогтмол байхаар таамаглан дээрх зардлын тооцооллуудыг хийсэн болно.</w:t>
      </w:r>
    </w:p>
    <w:p w14:paraId="29477A5D" w14:textId="4F91CC58" w:rsidR="00EA5E79" w:rsidRPr="00543AF3" w:rsidRDefault="00EA5E79" w:rsidP="43CF1FC7">
      <w:pPr>
        <w:spacing w:line="257" w:lineRule="auto"/>
        <w:rPr>
          <w:rFonts w:ascii="Arial" w:hAnsi="Arial" w:cs="Arial"/>
        </w:rPr>
      </w:pPr>
    </w:p>
    <w:p w14:paraId="1293A918" w14:textId="55FC774D" w:rsidR="00EA5E79" w:rsidRPr="00543AF3" w:rsidRDefault="540A0BB6" w:rsidP="43CF1FC7">
      <w:pPr>
        <w:spacing w:line="257" w:lineRule="auto"/>
        <w:rPr>
          <w:rFonts w:ascii="Arial" w:eastAsia="Arial" w:hAnsi="Arial" w:cs="Arial"/>
          <w:lang w:val="mn-MN"/>
        </w:rPr>
      </w:pPr>
      <w:r w:rsidRPr="00543AF3">
        <w:rPr>
          <w:rFonts w:ascii="Arial" w:eastAsia="Arial" w:hAnsi="Arial" w:cs="Arial"/>
          <w:lang w:val="mn"/>
        </w:rPr>
        <w:t xml:space="preserve"> </w:t>
      </w:r>
    </w:p>
    <w:p w14:paraId="48DEC880" w14:textId="77777777" w:rsidR="007E1691" w:rsidRPr="00543AF3" w:rsidRDefault="007E1691" w:rsidP="43CF1FC7">
      <w:pPr>
        <w:spacing w:line="257" w:lineRule="auto"/>
        <w:rPr>
          <w:rFonts w:ascii="Arial" w:eastAsia="Arial" w:hAnsi="Arial" w:cs="Arial"/>
          <w:lang w:val="mn-MN"/>
        </w:rPr>
      </w:pPr>
    </w:p>
    <w:p w14:paraId="216B552A" w14:textId="77777777" w:rsidR="007E1691" w:rsidRPr="00543AF3" w:rsidRDefault="007E1691" w:rsidP="43CF1FC7">
      <w:pPr>
        <w:spacing w:line="257" w:lineRule="auto"/>
        <w:rPr>
          <w:rFonts w:ascii="Arial" w:eastAsia="Arial" w:hAnsi="Arial" w:cs="Arial"/>
          <w:lang w:val="mn-MN"/>
        </w:rPr>
      </w:pPr>
    </w:p>
    <w:p w14:paraId="2C5937F9" w14:textId="77777777" w:rsidR="007E1691" w:rsidRPr="00543AF3" w:rsidRDefault="007E1691" w:rsidP="43CF1FC7">
      <w:pPr>
        <w:spacing w:line="257" w:lineRule="auto"/>
        <w:rPr>
          <w:rFonts w:ascii="Arial" w:eastAsia="Arial" w:hAnsi="Arial" w:cs="Arial"/>
          <w:lang w:val="mn-MN"/>
        </w:rPr>
      </w:pPr>
    </w:p>
    <w:p w14:paraId="26D5CA8D" w14:textId="77777777" w:rsidR="007E1691" w:rsidRPr="00543AF3" w:rsidRDefault="007E1691" w:rsidP="43CF1FC7">
      <w:pPr>
        <w:spacing w:line="257" w:lineRule="auto"/>
        <w:rPr>
          <w:rFonts w:ascii="Arial" w:eastAsia="Arial" w:hAnsi="Arial" w:cs="Arial"/>
          <w:lang w:val="mn-MN"/>
        </w:rPr>
      </w:pPr>
    </w:p>
    <w:p w14:paraId="08FADF45" w14:textId="77777777" w:rsidR="007E1691" w:rsidRPr="00543AF3" w:rsidRDefault="007E1691" w:rsidP="43CF1FC7">
      <w:pPr>
        <w:spacing w:line="257" w:lineRule="auto"/>
        <w:rPr>
          <w:rFonts w:ascii="Arial" w:eastAsia="Arial" w:hAnsi="Arial" w:cs="Arial"/>
          <w:lang w:val="mn-MN"/>
        </w:rPr>
      </w:pPr>
    </w:p>
    <w:p w14:paraId="0008FCA9" w14:textId="77777777" w:rsidR="007E1691" w:rsidRPr="00543AF3" w:rsidRDefault="007E1691" w:rsidP="43CF1FC7">
      <w:pPr>
        <w:spacing w:line="257" w:lineRule="auto"/>
        <w:rPr>
          <w:rFonts w:ascii="Arial" w:eastAsia="Arial" w:hAnsi="Arial" w:cs="Arial"/>
          <w:lang w:val="mn-MN"/>
        </w:rPr>
      </w:pPr>
    </w:p>
    <w:p w14:paraId="46FFA916" w14:textId="77777777" w:rsidR="007E1691" w:rsidRPr="00543AF3" w:rsidRDefault="007E1691" w:rsidP="43CF1FC7">
      <w:pPr>
        <w:spacing w:line="257" w:lineRule="auto"/>
        <w:rPr>
          <w:rFonts w:ascii="Arial" w:eastAsia="Arial" w:hAnsi="Arial" w:cs="Arial"/>
          <w:lang w:val="mn-MN"/>
        </w:rPr>
      </w:pPr>
    </w:p>
    <w:p w14:paraId="6A95E439" w14:textId="77777777" w:rsidR="007E1691" w:rsidRPr="00543AF3" w:rsidRDefault="007E1691" w:rsidP="43CF1FC7">
      <w:pPr>
        <w:spacing w:line="257" w:lineRule="auto"/>
        <w:rPr>
          <w:rFonts w:ascii="Arial" w:eastAsia="Arial" w:hAnsi="Arial" w:cs="Arial"/>
          <w:lang w:val="mn-MN"/>
        </w:rPr>
      </w:pPr>
    </w:p>
    <w:p w14:paraId="1566D1A7" w14:textId="77777777" w:rsidR="007E1691" w:rsidRPr="00543AF3" w:rsidRDefault="007E1691" w:rsidP="43CF1FC7">
      <w:pPr>
        <w:spacing w:line="257" w:lineRule="auto"/>
        <w:rPr>
          <w:rFonts w:ascii="Arial" w:eastAsia="Arial" w:hAnsi="Arial" w:cs="Arial"/>
          <w:lang w:val="mn-MN"/>
        </w:rPr>
      </w:pPr>
    </w:p>
    <w:p w14:paraId="382A73F0" w14:textId="77777777" w:rsidR="007E1691" w:rsidRPr="00543AF3" w:rsidRDefault="007E1691" w:rsidP="43CF1FC7">
      <w:pPr>
        <w:spacing w:line="257" w:lineRule="auto"/>
        <w:rPr>
          <w:rFonts w:ascii="Arial" w:eastAsia="Arial" w:hAnsi="Arial" w:cs="Arial"/>
          <w:lang w:val="mn-MN"/>
        </w:rPr>
      </w:pPr>
    </w:p>
    <w:p w14:paraId="795E46F4" w14:textId="77777777" w:rsidR="007E1691" w:rsidRPr="00543AF3" w:rsidRDefault="007E1691" w:rsidP="43CF1FC7">
      <w:pPr>
        <w:spacing w:line="257" w:lineRule="auto"/>
        <w:rPr>
          <w:rFonts w:ascii="Arial" w:eastAsia="Arial" w:hAnsi="Arial" w:cs="Arial"/>
          <w:lang w:val="mn-MN"/>
        </w:rPr>
      </w:pPr>
    </w:p>
    <w:p w14:paraId="724DA3BC" w14:textId="77777777" w:rsidR="007E1691" w:rsidRPr="00543AF3" w:rsidRDefault="007E1691" w:rsidP="43CF1FC7">
      <w:pPr>
        <w:spacing w:line="257" w:lineRule="auto"/>
        <w:rPr>
          <w:rFonts w:ascii="Arial" w:eastAsia="Arial" w:hAnsi="Arial" w:cs="Arial"/>
          <w:lang w:val="mn-MN"/>
        </w:rPr>
      </w:pPr>
    </w:p>
    <w:p w14:paraId="42CF187C" w14:textId="77777777" w:rsidR="007E1691" w:rsidRPr="00543AF3" w:rsidRDefault="007E1691" w:rsidP="43CF1FC7">
      <w:pPr>
        <w:spacing w:line="257" w:lineRule="auto"/>
        <w:rPr>
          <w:rFonts w:ascii="Arial" w:eastAsia="Arial" w:hAnsi="Arial" w:cs="Arial"/>
          <w:lang w:val="mn-MN"/>
        </w:rPr>
      </w:pPr>
    </w:p>
    <w:p w14:paraId="63142F0E" w14:textId="77777777" w:rsidR="007E1691" w:rsidRPr="00543AF3" w:rsidRDefault="007E1691" w:rsidP="43CF1FC7">
      <w:pPr>
        <w:spacing w:line="257" w:lineRule="auto"/>
        <w:rPr>
          <w:rFonts w:ascii="Arial" w:eastAsia="Arial" w:hAnsi="Arial" w:cs="Arial"/>
          <w:lang w:val="mn-MN"/>
        </w:rPr>
      </w:pPr>
    </w:p>
    <w:p w14:paraId="6CD66715" w14:textId="77777777" w:rsidR="007E1691" w:rsidRPr="00543AF3" w:rsidRDefault="007E1691" w:rsidP="43CF1FC7">
      <w:pPr>
        <w:spacing w:line="257" w:lineRule="auto"/>
        <w:rPr>
          <w:rFonts w:ascii="Arial" w:hAnsi="Arial" w:cs="Arial"/>
          <w:lang w:val="mn-MN"/>
        </w:rPr>
      </w:pPr>
    </w:p>
    <w:p w14:paraId="748950D9" w14:textId="0A0837E8" w:rsidR="00EA5E79" w:rsidRPr="00543AF3" w:rsidRDefault="540A0BB6" w:rsidP="007E1691">
      <w:pPr>
        <w:spacing w:line="257" w:lineRule="auto"/>
        <w:jc w:val="right"/>
        <w:rPr>
          <w:rFonts w:ascii="Arial" w:hAnsi="Arial" w:cs="Arial"/>
          <w:lang w:val="mn-MN"/>
        </w:rPr>
      </w:pPr>
      <w:r w:rsidRPr="00543AF3">
        <w:rPr>
          <w:rFonts w:ascii="Arial" w:eastAsia="Arial" w:hAnsi="Arial" w:cs="Arial"/>
          <w:i/>
          <w:iCs/>
          <w:lang w:val="mn"/>
        </w:rPr>
        <w:lastRenderedPageBreak/>
        <w:t>Хавсралт</w:t>
      </w:r>
      <w:r w:rsidR="00ED40D1" w:rsidRPr="00543AF3">
        <w:rPr>
          <w:rFonts w:ascii="Arial" w:eastAsia="Arial" w:hAnsi="Arial" w:cs="Arial"/>
          <w:i/>
          <w:iCs/>
          <w:lang w:val="mn-MN"/>
        </w:rPr>
        <w:t xml:space="preserve"> 1</w:t>
      </w:r>
    </w:p>
    <w:p w14:paraId="101F90AB" w14:textId="76E807FB" w:rsidR="00EA5E79" w:rsidRPr="00543AF3" w:rsidRDefault="540A0BB6" w:rsidP="43CF1FC7">
      <w:pPr>
        <w:spacing w:after="0"/>
        <w:rPr>
          <w:rFonts w:ascii="Arial" w:hAnsi="Arial" w:cs="Arial"/>
        </w:rPr>
      </w:pPr>
      <w:proofErr w:type="spellStart"/>
      <w:r w:rsidRPr="00543AF3">
        <w:rPr>
          <w:rFonts w:ascii="Arial" w:eastAsia="Calibri" w:hAnsi="Arial" w:cs="Arial"/>
        </w:rPr>
        <w:t>Хавсралт</w:t>
      </w:r>
      <w:proofErr w:type="spellEnd"/>
      <w:r w:rsidRPr="00543AF3">
        <w:rPr>
          <w:rFonts w:ascii="Arial" w:eastAsia="Calibri" w:hAnsi="Arial" w:cs="Arial"/>
        </w:rPr>
        <w:t xml:space="preserve"> 1</w:t>
      </w:r>
      <w:r w:rsidRPr="00543AF3">
        <w:rPr>
          <w:rFonts w:ascii="Arial" w:eastAsia="Calibri" w:hAnsi="Arial" w:cs="Arial"/>
          <w:lang w:val="mn"/>
        </w:rPr>
        <w:t xml:space="preserve"> Түүхэн хохирлын харьцаа</w:t>
      </w:r>
    </w:p>
    <w:tbl>
      <w:tblPr>
        <w:tblW w:w="9630" w:type="dxa"/>
        <w:tblInd w:w="-190" w:type="dxa"/>
        <w:tblLayout w:type="fixed"/>
        <w:tblLook w:val="04A0" w:firstRow="1" w:lastRow="0" w:firstColumn="1" w:lastColumn="0" w:noHBand="0" w:noVBand="1"/>
      </w:tblPr>
      <w:tblGrid>
        <w:gridCol w:w="810"/>
        <w:gridCol w:w="4410"/>
        <w:gridCol w:w="4410"/>
      </w:tblGrid>
      <w:tr w:rsidR="43CF1FC7" w:rsidRPr="00543AF3" w14:paraId="39E41831" w14:textId="77777777" w:rsidTr="007E1691">
        <w:trPr>
          <w:trHeight w:val="10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4E5BE4" w14:textId="197EAB1B" w:rsidR="43CF1FC7" w:rsidRPr="00543AF3" w:rsidRDefault="43CF1FC7" w:rsidP="43CF1FC7">
            <w:pPr>
              <w:pStyle w:val="NoSpacing"/>
              <w:jc w:val="center"/>
              <w:rPr>
                <w:rFonts w:ascii="Arial" w:hAnsi="Arial" w:cs="Arial"/>
                <w:sz w:val="22"/>
                <w:szCs w:val="22"/>
              </w:rPr>
            </w:pPr>
            <w:proofErr w:type="spellStart"/>
            <w:r w:rsidRPr="00543AF3">
              <w:rPr>
                <w:rFonts w:ascii="Arial" w:eastAsia="Arial" w:hAnsi="Arial" w:cs="Arial"/>
                <w:b/>
                <w:bCs/>
                <w:sz w:val="22"/>
                <w:szCs w:val="22"/>
              </w:rPr>
              <w:t>Жил</w:t>
            </w:r>
            <w:proofErr w:type="spellEnd"/>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35C87C" w14:textId="0DCAFE96" w:rsidR="43CF1FC7" w:rsidRPr="00543AF3" w:rsidRDefault="43CF1FC7" w:rsidP="43CF1FC7">
            <w:pPr>
              <w:pStyle w:val="NoSpacing"/>
              <w:jc w:val="center"/>
              <w:rPr>
                <w:rFonts w:ascii="Arial" w:hAnsi="Arial" w:cs="Arial"/>
                <w:sz w:val="22"/>
                <w:szCs w:val="22"/>
              </w:rPr>
            </w:pPr>
            <w:proofErr w:type="spellStart"/>
            <w:r w:rsidRPr="00543AF3">
              <w:rPr>
                <w:rFonts w:ascii="Arial" w:eastAsia="Arial" w:hAnsi="Arial" w:cs="Arial"/>
                <w:b/>
                <w:bCs/>
                <w:sz w:val="22"/>
                <w:szCs w:val="22"/>
              </w:rPr>
              <w:t>Дунд</w:t>
            </w:r>
            <w:proofErr w:type="spellEnd"/>
            <w:r w:rsidRPr="00543AF3">
              <w:rPr>
                <w:rFonts w:ascii="Arial" w:eastAsia="Arial" w:hAnsi="Arial" w:cs="Arial"/>
                <w:b/>
                <w:bCs/>
                <w:sz w:val="22"/>
                <w:szCs w:val="22"/>
              </w:rPr>
              <w:t xml:space="preserve"> </w:t>
            </w:r>
            <w:proofErr w:type="spellStart"/>
            <w:r w:rsidRPr="00543AF3">
              <w:rPr>
                <w:rFonts w:ascii="Arial" w:eastAsia="Arial" w:hAnsi="Arial" w:cs="Arial"/>
                <w:b/>
                <w:bCs/>
                <w:sz w:val="22"/>
                <w:szCs w:val="22"/>
              </w:rPr>
              <w:t>түвшний</w:t>
            </w:r>
            <w:proofErr w:type="spellEnd"/>
            <w:r w:rsidRPr="00543AF3">
              <w:rPr>
                <w:rFonts w:ascii="Arial" w:eastAsia="Arial" w:hAnsi="Arial" w:cs="Arial"/>
                <w:b/>
                <w:bCs/>
                <w:sz w:val="22"/>
                <w:szCs w:val="22"/>
              </w:rPr>
              <w:t xml:space="preserve"> </w:t>
            </w:r>
            <w:proofErr w:type="spellStart"/>
            <w:r w:rsidRPr="00543AF3">
              <w:rPr>
                <w:rFonts w:ascii="Arial" w:eastAsia="Arial" w:hAnsi="Arial" w:cs="Arial"/>
                <w:b/>
                <w:bCs/>
                <w:sz w:val="22"/>
                <w:szCs w:val="22"/>
              </w:rPr>
              <w:t>Хохирлын</w:t>
            </w:r>
            <w:proofErr w:type="spellEnd"/>
            <w:r w:rsidRPr="00543AF3">
              <w:rPr>
                <w:rFonts w:ascii="Arial" w:eastAsia="Arial" w:hAnsi="Arial" w:cs="Arial"/>
                <w:b/>
                <w:bCs/>
                <w:sz w:val="22"/>
                <w:szCs w:val="22"/>
              </w:rPr>
              <w:t xml:space="preserve"> </w:t>
            </w:r>
            <w:proofErr w:type="spellStart"/>
            <w:r w:rsidRPr="00543AF3">
              <w:rPr>
                <w:rFonts w:ascii="Arial" w:eastAsia="Arial" w:hAnsi="Arial" w:cs="Arial"/>
                <w:b/>
                <w:bCs/>
                <w:sz w:val="22"/>
                <w:szCs w:val="22"/>
              </w:rPr>
              <w:t>харьцаа</w:t>
            </w:r>
            <w:proofErr w:type="spellEnd"/>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CE2099" w14:textId="2D4CC578" w:rsidR="43CF1FC7" w:rsidRPr="00543AF3" w:rsidRDefault="43CF1FC7" w:rsidP="43CF1FC7">
            <w:pPr>
              <w:pStyle w:val="NoSpacing"/>
              <w:jc w:val="center"/>
              <w:rPr>
                <w:rFonts w:ascii="Arial" w:hAnsi="Arial" w:cs="Arial"/>
                <w:sz w:val="22"/>
                <w:szCs w:val="22"/>
              </w:rPr>
            </w:pPr>
            <w:proofErr w:type="spellStart"/>
            <w:r w:rsidRPr="00543AF3">
              <w:rPr>
                <w:rFonts w:ascii="Arial" w:eastAsia="Arial" w:hAnsi="Arial" w:cs="Arial"/>
                <w:b/>
                <w:bCs/>
                <w:sz w:val="22"/>
                <w:szCs w:val="22"/>
              </w:rPr>
              <w:t>Дээд</w:t>
            </w:r>
            <w:proofErr w:type="spellEnd"/>
            <w:r w:rsidRPr="00543AF3">
              <w:rPr>
                <w:rFonts w:ascii="Arial" w:eastAsia="Arial" w:hAnsi="Arial" w:cs="Arial"/>
                <w:b/>
                <w:bCs/>
                <w:sz w:val="22"/>
                <w:szCs w:val="22"/>
              </w:rPr>
              <w:t xml:space="preserve"> </w:t>
            </w:r>
            <w:proofErr w:type="spellStart"/>
            <w:r w:rsidRPr="00543AF3">
              <w:rPr>
                <w:rFonts w:ascii="Arial" w:eastAsia="Arial" w:hAnsi="Arial" w:cs="Arial"/>
                <w:b/>
                <w:bCs/>
                <w:sz w:val="22"/>
                <w:szCs w:val="22"/>
              </w:rPr>
              <w:t>түвшний</w:t>
            </w:r>
            <w:proofErr w:type="spellEnd"/>
            <w:r w:rsidRPr="00543AF3">
              <w:rPr>
                <w:rFonts w:ascii="Arial" w:eastAsia="Arial" w:hAnsi="Arial" w:cs="Arial"/>
                <w:b/>
                <w:bCs/>
                <w:sz w:val="22"/>
                <w:szCs w:val="22"/>
              </w:rPr>
              <w:t xml:space="preserve"> </w:t>
            </w:r>
            <w:proofErr w:type="spellStart"/>
            <w:r w:rsidRPr="00543AF3">
              <w:rPr>
                <w:rFonts w:ascii="Arial" w:eastAsia="Arial" w:hAnsi="Arial" w:cs="Arial"/>
                <w:b/>
                <w:bCs/>
                <w:sz w:val="22"/>
                <w:szCs w:val="22"/>
              </w:rPr>
              <w:t>Хохирлын</w:t>
            </w:r>
            <w:proofErr w:type="spellEnd"/>
            <w:r w:rsidRPr="00543AF3">
              <w:rPr>
                <w:rFonts w:ascii="Arial" w:eastAsia="Arial" w:hAnsi="Arial" w:cs="Arial"/>
                <w:b/>
                <w:bCs/>
                <w:sz w:val="22"/>
                <w:szCs w:val="22"/>
              </w:rPr>
              <w:t xml:space="preserve"> </w:t>
            </w:r>
            <w:proofErr w:type="spellStart"/>
            <w:r w:rsidRPr="00543AF3">
              <w:rPr>
                <w:rFonts w:ascii="Arial" w:eastAsia="Arial" w:hAnsi="Arial" w:cs="Arial"/>
                <w:b/>
                <w:bCs/>
                <w:sz w:val="22"/>
                <w:szCs w:val="22"/>
              </w:rPr>
              <w:t>харьцаа</w:t>
            </w:r>
            <w:proofErr w:type="spellEnd"/>
          </w:p>
        </w:tc>
      </w:tr>
      <w:tr w:rsidR="43CF1FC7" w:rsidRPr="00543AF3" w14:paraId="2D0FAD87"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C7358" w14:textId="7C66F9AC"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1978</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44B918" w14:textId="111E5974"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3.1%</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16A687" w14:textId="3CCAED07"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6CC93CF0"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40F4D" w14:textId="3A06A06A"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1979</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94CDC9" w14:textId="3DDB9447"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7.5%</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7DCD97" w14:textId="17F0219F"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1C9AD0BB"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B661C7" w14:textId="17D9ED5E"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1980</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C2F4AE" w14:textId="40C10192"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84.1%</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9F9650" w14:textId="790B103F"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0.11%</w:t>
            </w:r>
          </w:p>
        </w:tc>
      </w:tr>
      <w:tr w:rsidR="43CF1FC7" w:rsidRPr="00543AF3" w14:paraId="49B35574"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C8D35A" w14:textId="0BED4AE9"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1981</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1BECBD" w14:textId="2199A516"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11.3%</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4A5189" w14:textId="278A3CC6"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4C55F633"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B2BB36" w14:textId="17BAFE83"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1982</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71A216" w14:textId="26CDFC34"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19.3%</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BB43BD" w14:textId="697C3F5E"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2C91AF53"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F36CE8" w14:textId="108D2204"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1983</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A4805F" w14:textId="556E3773"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43.9%</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25376" w14:textId="34A9358A"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76F5A92C"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E81D1A" w14:textId="267ACC28"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1984</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5BA9F8" w14:textId="1670DB56"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30.4%</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D019A0" w14:textId="3B34ABB0"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0.01%</w:t>
            </w:r>
          </w:p>
        </w:tc>
      </w:tr>
      <w:tr w:rsidR="43CF1FC7" w:rsidRPr="00543AF3" w14:paraId="2FE0A4EB"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0F288B" w14:textId="6FF465C5"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1985</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8FDDAF" w14:textId="0545CB74"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22.6%</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F8CBEC" w14:textId="78999F1D"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3B42CBC5"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D12265" w14:textId="3D293A00"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1986</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16634" w14:textId="1101AA6B"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14.8%</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703857" w14:textId="2F683603"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04122522"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98EF63" w14:textId="28AD62E8"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1987</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B5AF91" w14:textId="468129D7"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14.3%</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02E588" w14:textId="11F8B390"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34B4CC18"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3286A2" w14:textId="5D4BA4A4"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1988</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918563" w14:textId="238EFAD3"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17.3%</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5030E7" w14:textId="6E984E20"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5F24CFDF"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309C12" w14:textId="45845384"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1989</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864408" w14:textId="18BC378B"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1.3%</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A496B0" w14:textId="4B9E37ED"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086989C8"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33A6F2" w14:textId="6E472B41"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1990</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39CE4D" w14:textId="043FF47F"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6.5%</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6116CB" w14:textId="28F5660F"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2DE272F6"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23F63E" w14:textId="02E8CF88"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1991</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531737" w14:textId="5C28370C"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12.7%</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66B4C1" w14:textId="3F28F536"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3C1E9833"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6D69FC" w14:textId="1BAE21B4"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1992</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253D7C" w14:textId="597222A7"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8.8%</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8BBE52" w14:textId="699FB613"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2A045278"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1E50F7" w14:textId="0EB6D9FD"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1993</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579323" w14:textId="7D0894B5"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51.2%</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18FBFA" w14:textId="113A37AF"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0.03%</w:t>
            </w:r>
          </w:p>
        </w:tc>
      </w:tr>
      <w:tr w:rsidR="43CF1FC7" w:rsidRPr="00543AF3" w14:paraId="30427A4D"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658A59" w14:textId="665E6D50"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1994</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44753E" w14:textId="3E475B45"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10.2%</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2B017D" w14:textId="2EB61AC2"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0.01%</w:t>
            </w:r>
          </w:p>
        </w:tc>
      </w:tr>
      <w:tr w:rsidR="43CF1FC7" w:rsidRPr="00543AF3" w14:paraId="1B504402"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77A4A4" w14:textId="4836DEC6"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1995</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F13FC" w14:textId="16571358"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14.3%</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AC6079" w14:textId="0B4CC545"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2CE4A910"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2FAC9F" w14:textId="3B273D36"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1996</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0411C9" w14:textId="07F1DFF7"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2.9%</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1F6CB7" w14:textId="542E4225"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35145705"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295FB1" w14:textId="660ADE9F"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1997</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AAEC1E" w14:textId="52D649D0"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3.2%</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031F6D" w14:textId="55B47447"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6FD0A4EC"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BDBE57" w14:textId="2739D664"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1998</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0F695A" w14:textId="24A82076"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14.6%</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717AF8" w14:textId="2625816E"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2A1579E2"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B37E84" w14:textId="1180BD61"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1999</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835E53" w14:textId="2C3A4A8F"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7.9%</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35D65" w14:textId="22E2C81A"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2B4E18DD"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11E66A" w14:textId="01659931"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2000</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0E893E" w14:textId="7F0B5EB4"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85.3%</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90EEF8" w14:textId="7F8A4CEB"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0.39%</w:t>
            </w:r>
          </w:p>
        </w:tc>
      </w:tr>
      <w:tr w:rsidR="43CF1FC7" w:rsidRPr="00543AF3" w14:paraId="1F43243C"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1B1C8E" w14:textId="19CDD7BF"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2001</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7EA93F" w14:textId="49B43DA3"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250.7%</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16BFE9" w14:textId="49D9102B"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1.50%</w:t>
            </w:r>
          </w:p>
        </w:tc>
      </w:tr>
      <w:tr w:rsidR="43CF1FC7" w:rsidRPr="00543AF3" w14:paraId="44D738E2"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2BF2C0" w14:textId="71AAE60C"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2002</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307FD2" w14:textId="6BA58910"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117.7%</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EB967E" w14:textId="75661E1D"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1.91%</w:t>
            </w:r>
          </w:p>
        </w:tc>
      </w:tr>
      <w:tr w:rsidR="43CF1FC7" w:rsidRPr="00543AF3" w14:paraId="50FF0C17"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79CB89" w14:textId="6C97CE6F"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2003</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3017EF" w14:textId="19A714EB"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83.6%</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E40B65" w14:textId="22C7B499"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0.49%</w:t>
            </w:r>
          </w:p>
        </w:tc>
      </w:tr>
      <w:tr w:rsidR="43CF1FC7" w:rsidRPr="00543AF3" w14:paraId="4E6C41B4"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6BCFA5" w14:textId="0B12CB45"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2004</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E410A2" w14:textId="12D755E3"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B1D0F2" w14:textId="51337A5E"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5CAE7684"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BB4A25" w14:textId="76E3D27E"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2005</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A530B5" w14:textId="48516FA6"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8.7%</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E58B24" w14:textId="0E0AE1FF"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1EC9CA18"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C72CAB" w14:textId="742AA7A0"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2006</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F6158D" w14:textId="61A2F4D6"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6.2%</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881A65" w14:textId="571ADBD8"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24AD0ECE"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4F6C60" w14:textId="584D6992"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2007</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031C9A" w14:textId="71A55421"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0.5%</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50DD33" w14:textId="2F7E0E13"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64DA84BD"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3C58AB" w14:textId="566A7F91"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2008</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CD37AC" w14:textId="53382110"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48.3%</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7B2AEE" w14:textId="42B52648"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0.21%</w:t>
            </w:r>
          </w:p>
        </w:tc>
      </w:tr>
      <w:tr w:rsidR="43CF1FC7" w:rsidRPr="00543AF3" w14:paraId="78F90071"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E175BB" w14:textId="10862C89"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2009</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E77291" w14:textId="1DDCE59C"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19.1%</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7F4698" w14:textId="1D64E6D4"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0.02%</w:t>
            </w:r>
          </w:p>
        </w:tc>
      </w:tr>
      <w:tr w:rsidR="43CF1FC7" w:rsidRPr="00543AF3" w14:paraId="31F18D5C"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5ABE84" w14:textId="7DE319FC"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2010</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5D58E4" w14:textId="51CC4B43"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288.5%</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B0E69E" w14:textId="4D6CB6F0"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3.30%</w:t>
            </w:r>
          </w:p>
        </w:tc>
      </w:tr>
      <w:tr w:rsidR="43CF1FC7" w:rsidRPr="00543AF3" w14:paraId="4253FD17"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529CB5" w14:textId="5DF53BB9"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2011</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C343E" w14:textId="66858F51"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8.6%</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517602" w14:textId="311A5652"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66C7462A"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0DC3EA" w14:textId="4FC92BA4"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2012</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0E68F2" w14:textId="438DCA1D"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9.2%</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5B0C01" w14:textId="044BDE7D"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0.06%</w:t>
            </w:r>
          </w:p>
        </w:tc>
      </w:tr>
      <w:tr w:rsidR="43CF1FC7" w:rsidRPr="00543AF3" w14:paraId="0BE9015F"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7730E8" w14:textId="00DDF86B"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2013</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880C0F" w14:textId="7CD8542F"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4.7%</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B20ED8" w14:textId="49791DA4"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7DC2CE21"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F152EE" w14:textId="3026F845"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2014</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33B9E9" w14:textId="4176CEBA"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1.7%</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E22CDB" w14:textId="26793A66"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6352E72B"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C437B0" w14:textId="1CBAF51E"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2015</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03225F" w14:textId="743B6D96"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1.9%</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39A1B8" w14:textId="09E73CAF"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73E8C0DB"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2D1AA8" w14:textId="0D85D4EE"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2016</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440B13" w14:textId="343FA3DA"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16.2%</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66A691" w14:textId="19E08D89"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17018E10"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85D4DC" w14:textId="4FC64C5C"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2017</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8303F7" w14:textId="53E2AE7E"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5.3%</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CDCEA8" w14:textId="657E93E8"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0D51B196"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347DAF" w14:textId="6191D2E4"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2018</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FC73BF" w14:textId="279D73A8"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44.6%</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870755" w14:textId="02193437"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0.01%</w:t>
            </w:r>
          </w:p>
        </w:tc>
      </w:tr>
      <w:tr w:rsidR="43CF1FC7" w:rsidRPr="00543AF3" w14:paraId="5974EA66"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8B177E" w14:textId="6EF4EDD0"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2019</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22C5F1" w14:textId="1CBC8B90"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7.3%</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E5434E" w14:textId="5B43C2A0"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6608A764"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3CAB23" w14:textId="2F03E387"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2020</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9C6B66" w14:textId="2C8BB12F"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17.4%</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44A521" w14:textId="0BACC61D"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1FEFCC41"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4361B0" w14:textId="06D5A537"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2021</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8511C9" w14:textId="3C6DD641"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43.7%</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B58394" w14:textId="0547D33A"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0.09%</w:t>
            </w:r>
          </w:p>
        </w:tc>
      </w:tr>
      <w:tr w:rsidR="43CF1FC7" w:rsidRPr="00543AF3" w14:paraId="4B489265"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2C7FC3" w14:textId="47217FED"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2022</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42BC26" w14:textId="467C5C2B"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F81EA3" w14:textId="1BA75761"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0.00%</w:t>
            </w:r>
          </w:p>
        </w:tc>
      </w:tr>
      <w:tr w:rsidR="43CF1FC7" w:rsidRPr="00543AF3" w14:paraId="4A1DE43D"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A81701" w14:textId="25670104"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2023</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889983" w14:textId="7B701CA5"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95.8%</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E8B0D3" w14:textId="5B2411AC"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0.01%</w:t>
            </w:r>
          </w:p>
        </w:tc>
      </w:tr>
      <w:tr w:rsidR="43CF1FC7" w:rsidRPr="00543AF3" w14:paraId="4656678E" w14:textId="77777777" w:rsidTr="007E1691">
        <w:trPr>
          <w:trHeight w:val="255"/>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ACAE39" w14:textId="22519A51"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2024</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AFA58F" w14:textId="23046BDD"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225.1%</w:t>
            </w:r>
          </w:p>
        </w:tc>
        <w:tc>
          <w:tcPr>
            <w:tcW w:w="44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A45AE" w14:textId="38885FD5" w:rsidR="43CF1FC7" w:rsidRPr="00543AF3" w:rsidRDefault="43CF1FC7" w:rsidP="43CF1FC7">
            <w:pPr>
              <w:pStyle w:val="NoSpacing"/>
              <w:jc w:val="center"/>
              <w:rPr>
                <w:rFonts w:ascii="Arial" w:hAnsi="Arial" w:cs="Arial"/>
                <w:sz w:val="22"/>
                <w:szCs w:val="22"/>
              </w:rPr>
            </w:pPr>
            <w:r w:rsidRPr="00543AF3">
              <w:rPr>
                <w:rFonts w:ascii="Arial" w:eastAsia="Arial" w:hAnsi="Arial" w:cs="Arial"/>
                <w:sz w:val="22"/>
                <w:szCs w:val="22"/>
              </w:rPr>
              <w:t>3.24%</w:t>
            </w:r>
          </w:p>
        </w:tc>
      </w:tr>
    </w:tbl>
    <w:p w14:paraId="2C078E63" w14:textId="2D5B0EF9" w:rsidR="00EA5E79" w:rsidRPr="00543AF3" w:rsidRDefault="00EA5E79" w:rsidP="43CF1FC7">
      <w:pPr>
        <w:spacing w:after="200"/>
        <w:rPr>
          <w:rFonts w:ascii="Arial" w:eastAsia="Arial" w:hAnsi="Arial" w:cs="Arial"/>
          <w:i/>
          <w:iCs/>
          <w:color w:val="44546A"/>
          <w:lang w:val="mn"/>
        </w:rPr>
      </w:pPr>
    </w:p>
    <w:sectPr w:rsidR="00EA5E79" w:rsidRPr="00543AF3" w:rsidSect="00954C31">
      <w:pgSz w:w="11909" w:h="16834" w:code="9"/>
      <w:pgMar w:top="1138" w:right="850"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499DF"/>
    <w:multiLevelType w:val="hybridMultilevel"/>
    <w:tmpl w:val="7B3AD116"/>
    <w:lvl w:ilvl="0" w:tplc="E1B0DD72">
      <w:start w:val="2"/>
      <w:numFmt w:val="decimal"/>
      <w:lvlText w:val="%1."/>
      <w:lvlJc w:val="left"/>
      <w:pPr>
        <w:ind w:left="720" w:hanging="360"/>
      </w:pPr>
    </w:lvl>
    <w:lvl w:ilvl="1" w:tplc="18DAA50A">
      <w:start w:val="1"/>
      <w:numFmt w:val="lowerLetter"/>
      <w:lvlText w:val="%2."/>
      <w:lvlJc w:val="left"/>
      <w:pPr>
        <w:ind w:left="1440" w:hanging="360"/>
      </w:pPr>
    </w:lvl>
    <w:lvl w:ilvl="2" w:tplc="17125048">
      <w:start w:val="1"/>
      <w:numFmt w:val="lowerRoman"/>
      <w:lvlText w:val="%3."/>
      <w:lvlJc w:val="right"/>
      <w:pPr>
        <w:ind w:left="2160" w:hanging="180"/>
      </w:pPr>
    </w:lvl>
    <w:lvl w:ilvl="3" w:tplc="65EEE034">
      <w:start w:val="1"/>
      <w:numFmt w:val="decimal"/>
      <w:lvlText w:val="%4."/>
      <w:lvlJc w:val="left"/>
      <w:pPr>
        <w:ind w:left="2880" w:hanging="360"/>
      </w:pPr>
    </w:lvl>
    <w:lvl w:ilvl="4" w:tplc="BD5C152A">
      <w:start w:val="1"/>
      <w:numFmt w:val="lowerLetter"/>
      <w:lvlText w:val="%5."/>
      <w:lvlJc w:val="left"/>
      <w:pPr>
        <w:ind w:left="3600" w:hanging="360"/>
      </w:pPr>
    </w:lvl>
    <w:lvl w:ilvl="5" w:tplc="2A22A368">
      <w:start w:val="1"/>
      <w:numFmt w:val="lowerRoman"/>
      <w:lvlText w:val="%6."/>
      <w:lvlJc w:val="right"/>
      <w:pPr>
        <w:ind w:left="4320" w:hanging="180"/>
      </w:pPr>
    </w:lvl>
    <w:lvl w:ilvl="6" w:tplc="4B766E08">
      <w:start w:val="1"/>
      <w:numFmt w:val="decimal"/>
      <w:lvlText w:val="%7."/>
      <w:lvlJc w:val="left"/>
      <w:pPr>
        <w:ind w:left="5040" w:hanging="360"/>
      </w:pPr>
    </w:lvl>
    <w:lvl w:ilvl="7" w:tplc="C4AC74E0">
      <w:start w:val="1"/>
      <w:numFmt w:val="lowerLetter"/>
      <w:lvlText w:val="%8."/>
      <w:lvlJc w:val="left"/>
      <w:pPr>
        <w:ind w:left="5760" w:hanging="360"/>
      </w:pPr>
    </w:lvl>
    <w:lvl w:ilvl="8" w:tplc="51164778">
      <w:start w:val="1"/>
      <w:numFmt w:val="lowerRoman"/>
      <w:lvlText w:val="%9."/>
      <w:lvlJc w:val="right"/>
      <w:pPr>
        <w:ind w:left="6480" w:hanging="180"/>
      </w:pPr>
    </w:lvl>
  </w:abstractNum>
  <w:abstractNum w:abstractNumId="1" w15:restartNumberingAfterBreak="0">
    <w:nsid w:val="35148DD5"/>
    <w:multiLevelType w:val="hybridMultilevel"/>
    <w:tmpl w:val="FFE80696"/>
    <w:lvl w:ilvl="0" w:tplc="EF701D12">
      <w:start w:val="1"/>
      <w:numFmt w:val="decimal"/>
      <w:lvlText w:val="%1."/>
      <w:lvlJc w:val="left"/>
      <w:pPr>
        <w:ind w:left="720" w:hanging="360"/>
      </w:pPr>
    </w:lvl>
    <w:lvl w:ilvl="1" w:tplc="7EF2804A">
      <w:start w:val="1"/>
      <w:numFmt w:val="lowerLetter"/>
      <w:lvlText w:val="%2."/>
      <w:lvlJc w:val="left"/>
      <w:pPr>
        <w:ind w:left="1440" w:hanging="360"/>
      </w:pPr>
    </w:lvl>
    <w:lvl w:ilvl="2" w:tplc="F6F0ED86">
      <w:start w:val="1"/>
      <w:numFmt w:val="lowerRoman"/>
      <w:lvlText w:val="%3."/>
      <w:lvlJc w:val="right"/>
      <w:pPr>
        <w:ind w:left="2160" w:hanging="180"/>
      </w:pPr>
    </w:lvl>
    <w:lvl w:ilvl="3" w:tplc="C822350A">
      <w:start w:val="1"/>
      <w:numFmt w:val="decimal"/>
      <w:lvlText w:val="%4."/>
      <w:lvlJc w:val="left"/>
      <w:pPr>
        <w:ind w:left="2880" w:hanging="360"/>
      </w:pPr>
    </w:lvl>
    <w:lvl w:ilvl="4" w:tplc="33C0BF96">
      <w:start w:val="1"/>
      <w:numFmt w:val="lowerLetter"/>
      <w:lvlText w:val="%5."/>
      <w:lvlJc w:val="left"/>
      <w:pPr>
        <w:ind w:left="3600" w:hanging="360"/>
      </w:pPr>
    </w:lvl>
    <w:lvl w:ilvl="5" w:tplc="7B04B050">
      <w:start w:val="1"/>
      <w:numFmt w:val="lowerRoman"/>
      <w:lvlText w:val="%6."/>
      <w:lvlJc w:val="right"/>
      <w:pPr>
        <w:ind w:left="4320" w:hanging="180"/>
      </w:pPr>
    </w:lvl>
    <w:lvl w:ilvl="6" w:tplc="A12A447E">
      <w:start w:val="1"/>
      <w:numFmt w:val="decimal"/>
      <w:lvlText w:val="%7."/>
      <w:lvlJc w:val="left"/>
      <w:pPr>
        <w:ind w:left="5040" w:hanging="360"/>
      </w:pPr>
    </w:lvl>
    <w:lvl w:ilvl="7" w:tplc="09D6C33C">
      <w:start w:val="1"/>
      <w:numFmt w:val="lowerLetter"/>
      <w:lvlText w:val="%8."/>
      <w:lvlJc w:val="left"/>
      <w:pPr>
        <w:ind w:left="5760" w:hanging="360"/>
      </w:pPr>
    </w:lvl>
    <w:lvl w:ilvl="8" w:tplc="4F96BEBE">
      <w:start w:val="1"/>
      <w:numFmt w:val="lowerRoman"/>
      <w:lvlText w:val="%9."/>
      <w:lvlJc w:val="right"/>
      <w:pPr>
        <w:ind w:left="6480" w:hanging="180"/>
      </w:pPr>
    </w:lvl>
  </w:abstractNum>
  <w:abstractNum w:abstractNumId="2" w15:restartNumberingAfterBreak="0">
    <w:nsid w:val="38938020"/>
    <w:multiLevelType w:val="multilevel"/>
    <w:tmpl w:val="0B1A5C1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5596781">
    <w:abstractNumId w:val="0"/>
  </w:num>
  <w:num w:numId="2" w16cid:durableId="1500079932">
    <w:abstractNumId w:val="1"/>
  </w:num>
  <w:num w:numId="3" w16cid:durableId="1857961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F3A3CC"/>
    <w:rsid w:val="00543AF3"/>
    <w:rsid w:val="007E1691"/>
    <w:rsid w:val="00954C31"/>
    <w:rsid w:val="00E84A18"/>
    <w:rsid w:val="00EA5E79"/>
    <w:rsid w:val="00ED40D1"/>
    <w:rsid w:val="00EE67C9"/>
    <w:rsid w:val="38ED8F1A"/>
    <w:rsid w:val="43CF1FC7"/>
    <w:rsid w:val="540A0BB6"/>
    <w:rsid w:val="63F3A3CC"/>
    <w:rsid w:val="7171DB9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2159"/>
  <w15:chartTrackingRefBased/>
  <w15:docId w15:val="{8EF8CD7C-D25F-4D1F-A07A-E065B7B7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697972CFAAE4DAF8C79AC7A3195BE" ma:contentTypeVersion="4" ma:contentTypeDescription="Create a new document." ma:contentTypeScope="" ma:versionID="758a57d7ce31d3bd62c4a3ecfd55cea6">
  <xsd:schema xmlns:xsd="http://www.w3.org/2001/XMLSchema" xmlns:xs="http://www.w3.org/2001/XMLSchema" xmlns:p="http://schemas.microsoft.com/office/2006/metadata/properties" xmlns:ns2="f055a434-9355-4cc2-8bdb-4dcaec99449f" targetNamespace="http://schemas.microsoft.com/office/2006/metadata/properties" ma:root="true" ma:fieldsID="9c0669edf032efccad83966009f6f889" ns2:_="">
    <xsd:import namespace="f055a434-9355-4cc2-8bdb-4dcaec9944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5a434-9355-4cc2-8bdb-4dcaec994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20B75-F906-45BD-8721-DD5CBADEA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5a434-9355-4cc2-8bdb-4dcaec994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3D7C9-570F-4307-8874-8E3F5149C7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45A893-F5C0-45A8-9080-CCEB2AA1E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Munkhbileg Dugarsuren</dc:creator>
  <cp:keywords/>
  <dc:description/>
  <cp:lastModifiedBy>Гарамханд Батсайхан</cp:lastModifiedBy>
  <cp:revision>2</cp:revision>
  <dcterms:created xsi:type="dcterms:W3CDTF">2024-12-13T03:06:00Z</dcterms:created>
  <dcterms:modified xsi:type="dcterms:W3CDTF">2024-12-13T03:06:00Z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0x01010093B697972CFAAE4DAF8C79AC7A3195BE</vt:lpwstr>
  </property>
</Properties>
</file>