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7CAD" w14:textId="77777777" w:rsidR="002D65AA" w:rsidRPr="00E81026" w:rsidRDefault="002D65AA" w:rsidP="002D65AA">
      <w:pPr>
        <w:autoSpaceDE w:val="0"/>
        <w:autoSpaceDN w:val="0"/>
        <w:spacing w:after="0" w:line="240" w:lineRule="auto"/>
        <w:ind w:firstLine="709"/>
        <w:contextualSpacing/>
        <w:jc w:val="right"/>
        <w:rPr>
          <w:rFonts w:ascii="Arial" w:eastAsia="MS Mincho" w:hAnsi="Arial" w:cs="Arial"/>
          <w:sz w:val="24"/>
          <w:szCs w:val="24"/>
          <w:u w:val="single"/>
          <w:lang w:val="mn-MN"/>
        </w:rPr>
      </w:pPr>
      <w:proofErr w:type="spellStart"/>
      <w:r w:rsidRPr="00E81026">
        <w:rPr>
          <w:rFonts w:ascii="Arial" w:eastAsia="MS Mincho" w:hAnsi="Arial" w:cs="Arial"/>
          <w:sz w:val="24"/>
          <w:szCs w:val="24"/>
          <w:u w:val="single"/>
          <w:lang w:val="bg-BG"/>
        </w:rPr>
        <w:t>Төсөл</w:t>
      </w:r>
      <w:proofErr w:type="spellEnd"/>
    </w:p>
    <w:p w14:paraId="50D3E425" w14:textId="77777777" w:rsidR="002D65AA" w:rsidRPr="00E81026" w:rsidRDefault="002D65AA" w:rsidP="002D65AA">
      <w:pPr>
        <w:spacing w:after="0" w:line="240" w:lineRule="auto"/>
        <w:contextualSpacing/>
        <w:rPr>
          <w:rFonts w:ascii="Arial" w:eastAsia="MS Mincho" w:hAnsi="Arial" w:cs="Arial"/>
          <w:sz w:val="24"/>
          <w:szCs w:val="24"/>
          <w:lang w:val="bg-BG"/>
        </w:rPr>
      </w:pPr>
    </w:p>
    <w:p w14:paraId="6BE43D79" w14:textId="77777777" w:rsidR="002D65AA" w:rsidRPr="00E81026" w:rsidRDefault="002D65AA" w:rsidP="002D65A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bg-BG"/>
        </w:rPr>
      </w:pPr>
      <w:r w:rsidRPr="00E81026">
        <w:rPr>
          <w:rFonts w:ascii="Arial" w:hAnsi="Arial" w:cs="Arial"/>
          <w:b/>
          <w:bCs/>
          <w:sz w:val="24"/>
          <w:szCs w:val="24"/>
          <w:lang w:val="bg-BG"/>
        </w:rPr>
        <w:t>МОНГОЛ УЛСЫН ХУУЛЬ</w:t>
      </w:r>
    </w:p>
    <w:p w14:paraId="2E174996" w14:textId="77777777" w:rsidR="002D65AA" w:rsidRPr="00E81026" w:rsidRDefault="002D65AA" w:rsidP="002D65A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</w:p>
    <w:p w14:paraId="4E6ED848" w14:textId="77777777" w:rsidR="002D65AA" w:rsidRPr="00E81026" w:rsidRDefault="002D65AA" w:rsidP="002D65A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  <w:r w:rsidRPr="00E81026">
        <w:rPr>
          <w:rFonts w:ascii="Arial" w:hAnsi="Arial" w:cs="Arial"/>
          <w:sz w:val="24"/>
          <w:szCs w:val="24"/>
          <w:lang w:val="bg-BG"/>
        </w:rPr>
        <w:t>202</w:t>
      </w:r>
      <w:r w:rsidRPr="00E81026">
        <w:rPr>
          <w:rFonts w:ascii="Arial" w:hAnsi="Arial" w:cs="Arial"/>
          <w:sz w:val="24"/>
          <w:szCs w:val="24"/>
          <w:lang w:val="mn-MN"/>
        </w:rPr>
        <w:t>5</w:t>
      </w:r>
      <w:r w:rsidRPr="00E81026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оны</w:t>
      </w:r>
      <w:proofErr w:type="spellEnd"/>
      <w:r w:rsidRPr="00E81026">
        <w:rPr>
          <w:rFonts w:ascii="Arial" w:hAnsi="Arial" w:cs="Arial"/>
          <w:sz w:val="24"/>
          <w:szCs w:val="24"/>
          <w:lang w:val="bg-BG"/>
        </w:rPr>
        <w:t xml:space="preserve"> ... 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дугаар</w:t>
      </w:r>
      <w:proofErr w:type="spellEnd"/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  <w:t xml:space="preserve">    </w:t>
      </w:r>
      <w:r w:rsidRPr="00E81026">
        <w:rPr>
          <w:rFonts w:ascii="Arial" w:hAnsi="Arial" w:cs="Arial"/>
          <w:sz w:val="24"/>
          <w:szCs w:val="24"/>
          <w:lang w:val="mn-MN"/>
        </w:rPr>
        <w:t xml:space="preserve">      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Улаанбаатар</w:t>
      </w:r>
      <w:proofErr w:type="spellEnd"/>
    </w:p>
    <w:p w14:paraId="0D6C255D" w14:textId="77777777" w:rsidR="002D65AA" w:rsidRPr="00E81026" w:rsidRDefault="002D65AA" w:rsidP="002D65AA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bg-BG"/>
        </w:rPr>
      </w:pP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сарын</w:t>
      </w:r>
      <w:proofErr w:type="spellEnd"/>
      <w:r w:rsidRPr="00E81026">
        <w:rPr>
          <w:rFonts w:ascii="Arial" w:hAnsi="Arial" w:cs="Arial"/>
          <w:sz w:val="24"/>
          <w:szCs w:val="24"/>
          <w:lang w:val="bg-BG"/>
        </w:rPr>
        <w:t xml:space="preserve"> ... -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ны</w:t>
      </w:r>
      <w:proofErr w:type="spellEnd"/>
      <w:r w:rsidRPr="00E81026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өдөр</w:t>
      </w:r>
      <w:proofErr w:type="spellEnd"/>
      <w:r w:rsidRPr="00E81026">
        <w:rPr>
          <w:rFonts w:ascii="Arial" w:hAnsi="Arial" w:cs="Arial"/>
          <w:sz w:val="24"/>
          <w:szCs w:val="24"/>
          <w:lang w:val="bg-BG"/>
        </w:rPr>
        <w:t xml:space="preserve"> </w:t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bg-BG"/>
        </w:rPr>
        <w:tab/>
      </w:r>
      <w:r w:rsidRPr="00E81026">
        <w:rPr>
          <w:rFonts w:ascii="Arial" w:hAnsi="Arial" w:cs="Arial"/>
          <w:sz w:val="24"/>
          <w:szCs w:val="24"/>
          <w:lang w:val="mn-MN"/>
        </w:rPr>
        <w:t xml:space="preserve">        </w:t>
      </w:r>
      <w:proofErr w:type="spellStart"/>
      <w:r w:rsidRPr="00E81026">
        <w:rPr>
          <w:rFonts w:ascii="Arial" w:hAnsi="Arial" w:cs="Arial"/>
          <w:sz w:val="24"/>
          <w:szCs w:val="24"/>
          <w:lang w:val="bg-BG"/>
        </w:rPr>
        <w:t>хот</w:t>
      </w:r>
      <w:proofErr w:type="spellEnd"/>
    </w:p>
    <w:p w14:paraId="30267800" w14:textId="77777777" w:rsidR="0082431E" w:rsidRDefault="0082431E" w:rsidP="002D65AA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0C38082" w14:textId="77777777" w:rsidR="00910061" w:rsidRDefault="00910061" w:rsidP="002D65AA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376E763" w14:textId="77777777" w:rsidR="00910061" w:rsidRPr="00E81026" w:rsidRDefault="00910061" w:rsidP="002D65AA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ED66780" w14:textId="77777777" w:rsidR="0050729F" w:rsidRPr="00E81026" w:rsidRDefault="0082431E" w:rsidP="00E81026">
      <w:pPr>
        <w:spacing w:after="0" w:line="240" w:lineRule="auto"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8102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ХУУЛ</w:t>
      </w:r>
      <w:r w:rsidR="0050729F" w:rsidRPr="00E8102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ЬЧИЙН ЭРХ ЗҮЙН БАЙДЛЫН ТУХАЙ</w:t>
      </w:r>
    </w:p>
    <w:p w14:paraId="124D68A1" w14:textId="19AB9041" w:rsidR="0082431E" w:rsidRPr="00E81026" w:rsidRDefault="0050729F" w:rsidP="00E81026">
      <w:pPr>
        <w:spacing w:after="0" w:line="240" w:lineRule="auto"/>
        <w:contextualSpacing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E8102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ХУУЛЬД ӨӨРЧЛӨЛТ </w:t>
      </w:r>
      <w:r w:rsidR="0082431E" w:rsidRPr="00E81026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ОРУУЛАХ ТУХАЙ</w:t>
      </w:r>
    </w:p>
    <w:p w14:paraId="3EB394C5" w14:textId="77777777" w:rsidR="0082431E" w:rsidRPr="00E81026" w:rsidRDefault="0082431E" w:rsidP="002D65AA">
      <w:pPr>
        <w:spacing w:after="0" w:line="240" w:lineRule="auto"/>
        <w:contextualSpacing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A5F30D2" w14:textId="0A3FFD6E" w:rsidR="00515AC1" w:rsidRPr="00E81026" w:rsidRDefault="00322AD6" w:rsidP="00E81026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81026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Хуульчийн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эрх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зүйн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байдлын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тухай</w:t>
      </w:r>
      <w:proofErr w:type="spellEnd"/>
      <w:r w:rsidR="0082431E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2431E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хуул</w:t>
      </w:r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ийн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81A60" w:rsidRPr="00E8102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55 </w:t>
      </w:r>
      <w:proofErr w:type="spellStart"/>
      <w:r w:rsidR="00481A60" w:rsidRPr="00E8102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дугаар</w:t>
      </w:r>
      <w:proofErr w:type="spellEnd"/>
      <w:r w:rsidR="00481A60" w:rsidRPr="00E8102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481A60" w:rsidRPr="00E8102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зүйлийг</w:t>
      </w:r>
      <w:proofErr w:type="spellEnd"/>
      <w:r w:rsidR="00481A60"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д</w:t>
      </w:r>
      <w:r w:rsidR="00481A60" w:rsidRPr="00E81026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о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ор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дурдсанаар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өөрчлөн</w:t>
      </w:r>
      <w:proofErr w:type="spellEnd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0729F"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найруулсугай</w:t>
      </w:r>
      <w:proofErr w:type="spellEnd"/>
      <w:r w:rsidR="0082431E" w:rsidRPr="00E81026">
        <w:rPr>
          <w:rFonts w:ascii="Arial" w:hAnsi="Arial" w:cs="Arial"/>
          <w:color w:val="000000" w:themeColor="text1"/>
          <w:sz w:val="24"/>
          <w:szCs w:val="24"/>
          <w:lang w:val="mn-MN"/>
        </w:rPr>
        <w:t>:</w:t>
      </w:r>
    </w:p>
    <w:p w14:paraId="00E0A74F" w14:textId="77777777" w:rsidR="00515AC1" w:rsidRPr="00E81026" w:rsidRDefault="00515AC1" w:rsidP="002D65A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57F2BF5" w14:textId="510D83DE" w:rsidR="0050729F" w:rsidRPr="00E81026" w:rsidRDefault="0050729F" w:rsidP="002D65A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“55 </w:t>
      </w:r>
      <w:proofErr w:type="spellStart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дугаар</w:t>
      </w:r>
      <w:proofErr w:type="spellEnd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зүйл.Хуульчийн</w:t>
      </w:r>
      <w:proofErr w:type="spellEnd"/>
      <w:proofErr w:type="gramEnd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сургалт</w:t>
      </w:r>
      <w:proofErr w:type="spellEnd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зохион</w:t>
      </w:r>
      <w:proofErr w:type="spellEnd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байгуулах</w:t>
      </w:r>
      <w:proofErr w:type="spellEnd"/>
    </w:p>
    <w:p w14:paraId="3AC640EE" w14:textId="77777777" w:rsidR="0050729F" w:rsidRPr="00E81026" w:rsidRDefault="0050729F" w:rsidP="00E8102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2B5B11E" w14:textId="07EA1BBB" w:rsidR="0050729F" w:rsidRPr="00E81026" w:rsidRDefault="0050729F" w:rsidP="002D65A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55.</w:t>
      </w:r>
      <w:proofErr w:type="gram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1.Хуульчийн</w:t>
      </w:r>
      <w:proofErr w:type="gramEnd"/>
      <w:r w:rsidR="009100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үргэлжилсэн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болон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ёс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зүйн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сургалтыг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жилд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нэгээс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доошгүй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удаа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зохион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байгуулна</w:t>
      </w:r>
      <w:proofErr w:type="spellEnd"/>
      <w:r w:rsidRPr="00E8102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F58B0C0" w14:textId="77777777" w:rsidR="0050729F" w:rsidRPr="00E81026" w:rsidRDefault="0050729F" w:rsidP="002D65A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881A252" w14:textId="77777777" w:rsidR="00481A60" w:rsidRPr="00E81026" w:rsidRDefault="0050729F" w:rsidP="002D65AA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E81026">
        <w:rPr>
          <w:rFonts w:ascii="Arial" w:hAnsi="Arial" w:cs="Arial"/>
          <w:color w:val="000000" w:themeColor="text1"/>
          <w:lang w:val="mn-MN"/>
        </w:rPr>
        <w:t>55</w:t>
      </w:r>
      <w:r w:rsidRPr="00E81026">
        <w:rPr>
          <w:rFonts w:ascii="Arial" w:hAnsi="Arial" w:cs="Arial"/>
          <w:color w:val="000000" w:themeColor="text1"/>
          <w:lang w:val="ru-RU"/>
        </w:rPr>
        <w:t xml:space="preserve">.2.Хуульчийн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үргэ</w:t>
      </w:r>
      <w:proofErr w:type="spellEnd"/>
      <w:r w:rsidRPr="00E81026">
        <w:rPr>
          <w:rFonts w:ascii="Arial" w:hAnsi="Arial" w:cs="Arial"/>
          <w:color w:val="000000" w:themeColor="text1"/>
          <w:lang w:val="mn-MN"/>
        </w:rPr>
        <w:t>л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жилсэн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сургалтын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агуулга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нь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Монгол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олон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гэрээ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конвенц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, </w:t>
      </w:r>
      <w:r w:rsidRPr="00E81026">
        <w:rPr>
          <w:rFonts w:ascii="Arial" w:hAnsi="Arial" w:cs="Arial"/>
          <w:color w:val="000000" w:themeColor="text1"/>
          <w:lang w:val="mn-MN"/>
        </w:rPr>
        <w:t xml:space="preserve">шинээр батлагдсан хууль тогтоомжийг таниулах, хуульчийн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мэргэжлийн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ур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чадвар</w:t>
      </w:r>
      <w:proofErr w:type="spellEnd"/>
      <w:r w:rsidRPr="00E81026">
        <w:rPr>
          <w:rFonts w:ascii="Arial" w:hAnsi="Arial" w:cs="Arial"/>
          <w:color w:val="000000" w:themeColor="text1"/>
          <w:lang w:val="mn-MN"/>
        </w:rPr>
        <w:t xml:space="preserve">, мэдлэг, ёс зүйг нэмэгдүүлэх,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хуулийг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нэг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мөр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ойлгож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хэрэглэх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дадал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төлөвшүүлэхэд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чиглэгдэнэ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>.</w:t>
      </w:r>
      <w:r w:rsidRPr="00E81026">
        <w:rPr>
          <w:rFonts w:ascii="Arial" w:hAnsi="Arial" w:cs="Arial"/>
          <w:color w:val="000000" w:themeColor="text1"/>
        </w:rPr>
        <w:t>”</w:t>
      </w:r>
    </w:p>
    <w:p w14:paraId="49F59A12" w14:textId="77777777" w:rsidR="00E81026" w:rsidRPr="00E81026" w:rsidRDefault="00E81026" w:rsidP="00E81026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</w:p>
    <w:p w14:paraId="603D0545" w14:textId="4F90CCBC" w:rsidR="0082431E" w:rsidRPr="00E81026" w:rsidRDefault="00481A60" w:rsidP="00E81026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81026"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>2 дугаар зүйл</w:t>
      </w:r>
      <w:r w:rsidRPr="00E81026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.</w:t>
      </w:r>
      <w:r w:rsidR="0082431E" w:rsidRPr="00E81026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E81026"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="0082431E" w:rsidRPr="00E8102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</w:t>
      </w:r>
      <w:r w:rsidR="00E8102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дугаар </w:t>
      </w:r>
      <w:r w:rsidR="0082431E" w:rsidRPr="00E81026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</w:t>
      </w:r>
      <w:r w:rsidR="00E81026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="0082431E" w:rsidRPr="00E81026">
        <w:rPr>
          <w:rFonts w:ascii="Arial" w:hAnsi="Arial" w:cs="Arial"/>
          <w:color w:val="000000" w:themeColor="text1"/>
          <w:sz w:val="24"/>
          <w:szCs w:val="24"/>
        </w:rPr>
        <w:t>ны</w:t>
      </w:r>
      <w:proofErr w:type="spellEnd"/>
      <w:r w:rsidR="0082431E" w:rsidRPr="00E810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31E" w:rsidRPr="00E81026">
        <w:rPr>
          <w:rFonts w:ascii="Arial" w:hAnsi="Arial" w:cs="Arial"/>
          <w:color w:val="000000" w:themeColor="text1"/>
          <w:sz w:val="24"/>
          <w:szCs w:val="24"/>
          <w:lang w:val="mn-MN"/>
        </w:rPr>
        <w:t>өдрөөс эхлэн дагаж мөрдөнө</w:t>
      </w:r>
      <w:r w:rsidR="00E81026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66695C83" w14:textId="77777777" w:rsidR="00E81026" w:rsidRDefault="00E81026" w:rsidP="00E8102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1B6ABC2" w14:textId="77777777" w:rsidR="00E81026" w:rsidRDefault="00E81026" w:rsidP="00E8102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A6346FB" w14:textId="77777777" w:rsidR="00E81026" w:rsidRDefault="00E81026" w:rsidP="00E81026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D24BE22" w14:textId="77E8005F" w:rsidR="0082431E" w:rsidRPr="00E81026" w:rsidRDefault="0082431E" w:rsidP="00E81026">
      <w:pPr>
        <w:spacing w:after="0" w:line="240" w:lineRule="auto"/>
        <w:contextualSpacing/>
        <w:jc w:val="center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 w:rsidRPr="00E81026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Гарын үсэг</w:t>
      </w:r>
    </w:p>
    <w:p w14:paraId="30C0B262" w14:textId="3F39C2A7" w:rsidR="00E81026" w:rsidRDefault="00E81026" w:rsidP="00E81026">
      <w:pPr>
        <w:spacing w:after="0" w:line="240" w:lineRule="auto"/>
        <w:contextualSpacing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br w:type="page"/>
      </w:r>
    </w:p>
    <w:p w14:paraId="6B882DAB" w14:textId="77777777" w:rsidR="006D2AA3" w:rsidRPr="00E81026" w:rsidRDefault="006D2AA3" w:rsidP="00E81026">
      <w:pPr>
        <w:spacing w:after="0" w:line="240" w:lineRule="auto"/>
        <w:contextualSpacing/>
        <w:jc w:val="center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 w:rsidRPr="00E81026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lastRenderedPageBreak/>
        <w:t>ТАНИЛЦУУЛГА</w:t>
      </w:r>
    </w:p>
    <w:p w14:paraId="624CF1AE" w14:textId="77777777" w:rsidR="006D2AA3" w:rsidRPr="00E81026" w:rsidRDefault="006D2AA3" w:rsidP="00E81026">
      <w:pPr>
        <w:spacing w:after="0" w:line="240" w:lineRule="auto"/>
        <w:contextualSpacing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</w:p>
    <w:p w14:paraId="0C384511" w14:textId="100455D2" w:rsidR="006D2AA3" w:rsidRPr="00E81026" w:rsidRDefault="00E81026" w:rsidP="00E81026">
      <w:pPr>
        <w:spacing w:after="0" w:line="240" w:lineRule="auto"/>
        <w:ind w:left="5103"/>
        <w:contextualSpacing/>
        <w:jc w:val="both"/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</w:pPr>
      <w:r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Х</w:t>
      </w:r>
      <w:r w:rsidR="006D2AA3" w:rsidRPr="00E81026">
        <w:rPr>
          <w:rFonts w:ascii="Arial" w:eastAsia="MS Mincho" w:hAnsi="Arial" w:cs="Arial"/>
          <w:color w:val="000000" w:themeColor="text1"/>
          <w:sz w:val="24"/>
          <w:szCs w:val="24"/>
          <w:shd w:val="clear" w:color="auto" w:fill="FFFFFF"/>
          <w:lang w:val="mn-MN" w:eastAsia="ja-JP"/>
        </w:rPr>
        <w:t>уульчийн эрх зүйн байдлын тухай хуульд өөрчлөлт оруулах тухай</w:t>
      </w:r>
    </w:p>
    <w:p w14:paraId="5492C106" w14:textId="77777777" w:rsidR="006D2AA3" w:rsidRPr="00E81026" w:rsidRDefault="006D2AA3" w:rsidP="002D65A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1D03E9C2" w14:textId="14462705" w:rsidR="006D2AA3" w:rsidRPr="00E81026" w:rsidRDefault="006D2AA3" w:rsidP="008C4163">
      <w:pPr>
        <w:pStyle w:val="NormalWeb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E81026">
        <w:rPr>
          <w:rFonts w:ascii="Arial" w:hAnsi="Arial" w:cs="Arial"/>
          <w:color w:val="000000" w:themeColor="text1"/>
        </w:rPr>
        <w:t>Хэрэг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хянан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шийдвэрлэх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ажиллагаанд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оролцох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эрх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бүхий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хуульчдад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E81026">
        <w:rPr>
          <w:rFonts w:ascii="Arial" w:hAnsi="Arial" w:cs="Arial"/>
          <w:color w:val="000000" w:themeColor="text1"/>
        </w:rPr>
        <w:t>шүүгч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</w:rPr>
        <w:t>прокурор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</w:rPr>
        <w:t>өмгөөлөгч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</w:rPr>
        <w:t>нотариатч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</w:rPr>
        <w:t>бусад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хуульч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/ </w:t>
      </w:r>
      <w:proofErr w:type="spellStart"/>
      <w:r w:rsidRPr="00E81026">
        <w:rPr>
          <w:rFonts w:ascii="Arial" w:hAnsi="Arial" w:cs="Arial"/>
          <w:color w:val="000000" w:themeColor="text1"/>
        </w:rPr>
        <w:t>олон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улсын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гэрээ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конвенцын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ойлголт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мэдлэгийг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нэмэгдүүлэхэд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чиглэсэн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арга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хэмжээ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</w:rPr>
        <w:t>уг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асуудлыг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хуульчийн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үргэлжилсэн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сургалтын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хөтөлбөрт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тусгах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хөшүүрэг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бий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болгохоор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хуулийн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55 </w:t>
      </w:r>
      <w:proofErr w:type="spellStart"/>
      <w:r w:rsidRPr="00E81026">
        <w:rPr>
          <w:rFonts w:ascii="Arial" w:hAnsi="Arial" w:cs="Arial"/>
          <w:color w:val="000000" w:themeColor="text1"/>
        </w:rPr>
        <w:t>дугаар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зүйл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буюу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хууль</w:t>
      </w:r>
      <w:r w:rsidR="00FD72B1" w:rsidRPr="00E81026">
        <w:rPr>
          <w:rFonts w:ascii="Arial" w:hAnsi="Arial" w:cs="Arial"/>
          <w:color w:val="000000" w:themeColor="text1"/>
        </w:rPr>
        <w:t>ч</w:t>
      </w:r>
      <w:r w:rsidRPr="00E81026">
        <w:rPr>
          <w:rFonts w:ascii="Arial" w:hAnsi="Arial" w:cs="Arial"/>
          <w:color w:val="000000" w:themeColor="text1"/>
        </w:rPr>
        <w:t>ийн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үргэлжилсэн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сургалт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зохион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байгуулах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гэсэн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</w:rPr>
        <w:t>хэсэгт</w:t>
      </w:r>
      <w:proofErr w:type="spellEnd"/>
      <w:r w:rsidRPr="00E8102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хуульчийн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үргэ</w:t>
      </w:r>
      <w:proofErr w:type="spellEnd"/>
      <w:r w:rsidRPr="00E81026">
        <w:rPr>
          <w:rFonts w:ascii="Arial" w:hAnsi="Arial" w:cs="Arial"/>
          <w:color w:val="000000" w:themeColor="text1"/>
          <w:lang w:val="mn-MN"/>
        </w:rPr>
        <w:t>л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жилсэн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сургалтын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агуулга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нь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Монгол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олон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улсын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гэрээ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конвенц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, </w:t>
      </w:r>
      <w:r w:rsidRPr="00E81026">
        <w:rPr>
          <w:rFonts w:ascii="Arial" w:hAnsi="Arial" w:cs="Arial"/>
          <w:color w:val="000000" w:themeColor="text1"/>
          <w:lang w:val="mn-MN"/>
        </w:rPr>
        <w:t xml:space="preserve">шинээр батлагдсан хууль тогтоомжийг таниулах, хуульчийн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мэргэжлийн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ур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чадвар</w:t>
      </w:r>
      <w:proofErr w:type="spellEnd"/>
      <w:r w:rsidRPr="00E81026">
        <w:rPr>
          <w:rFonts w:ascii="Arial" w:hAnsi="Arial" w:cs="Arial"/>
          <w:color w:val="000000" w:themeColor="text1"/>
          <w:lang w:val="mn-MN"/>
        </w:rPr>
        <w:t xml:space="preserve">, мэдлэг, ёс зүйг нэмэгдүүлэх,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хуулийг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нэг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мөр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ойлгож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хэрэглэх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дадал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төлөвшүүлэхэд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чиглэгдэх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агуулга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бүхий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зохицуулалт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нэмэхээр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81026">
        <w:rPr>
          <w:rFonts w:ascii="Arial" w:hAnsi="Arial" w:cs="Arial"/>
          <w:color w:val="000000" w:themeColor="text1"/>
          <w:lang w:val="ru-RU"/>
        </w:rPr>
        <w:t>боловсрууллаа</w:t>
      </w:r>
      <w:proofErr w:type="spellEnd"/>
      <w:r w:rsidRPr="00E81026">
        <w:rPr>
          <w:rFonts w:ascii="Arial" w:hAnsi="Arial" w:cs="Arial"/>
          <w:color w:val="000000" w:themeColor="text1"/>
          <w:lang w:val="ru-RU"/>
        </w:rPr>
        <w:t>.</w:t>
      </w:r>
    </w:p>
    <w:p w14:paraId="6057C782" w14:textId="7C66ED9B" w:rsidR="0082431E" w:rsidRPr="00E81026" w:rsidRDefault="0082431E" w:rsidP="008C4163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82431E" w:rsidRPr="00E81026" w:rsidSect="002D65A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D997" w14:textId="77777777" w:rsidR="009F4634" w:rsidRDefault="009F4634" w:rsidP="0082431E">
      <w:pPr>
        <w:spacing w:after="0" w:line="240" w:lineRule="auto"/>
      </w:pPr>
      <w:r>
        <w:separator/>
      </w:r>
    </w:p>
  </w:endnote>
  <w:endnote w:type="continuationSeparator" w:id="0">
    <w:p w14:paraId="00F77F1B" w14:textId="77777777" w:rsidR="009F4634" w:rsidRDefault="009F4634" w:rsidP="0082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E566" w14:textId="77777777" w:rsidR="009F4634" w:rsidRDefault="009F4634" w:rsidP="0082431E">
      <w:pPr>
        <w:spacing w:after="0" w:line="240" w:lineRule="auto"/>
      </w:pPr>
      <w:r>
        <w:separator/>
      </w:r>
    </w:p>
  </w:footnote>
  <w:footnote w:type="continuationSeparator" w:id="0">
    <w:p w14:paraId="2DF68735" w14:textId="77777777" w:rsidR="009F4634" w:rsidRDefault="009F4634" w:rsidP="00824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1E"/>
    <w:rsid w:val="000C50AB"/>
    <w:rsid w:val="00136A00"/>
    <w:rsid w:val="00137976"/>
    <w:rsid w:val="00140987"/>
    <w:rsid w:val="001A6C7D"/>
    <w:rsid w:val="002D65AA"/>
    <w:rsid w:val="00322AD6"/>
    <w:rsid w:val="00346C4F"/>
    <w:rsid w:val="003E1C59"/>
    <w:rsid w:val="00443B6A"/>
    <w:rsid w:val="00481A60"/>
    <w:rsid w:val="004A1236"/>
    <w:rsid w:val="004F7853"/>
    <w:rsid w:val="0050729F"/>
    <w:rsid w:val="00515AC1"/>
    <w:rsid w:val="00666285"/>
    <w:rsid w:val="006C5DA0"/>
    <w:rsid w:val="006D2AA3"/>
    <w:rsid w:val="006E4BB0"/>
    <w:rsid w:val="006E7DD3"/>
    <w:rsid w:val="00747A79"/>
    <w:rsid w:val="008036D1"/>
    <w:rsid w:val="0082431E"/>
    <w:rsid w:val="008C4163"/>
    <w:rsid w:val="008C49DF"/>
    <w:rsid w:val="00910061"/>
    <w:rsid w:val="009F4634"/>
    <w:rsid w:val="00AB61EE"/>
    <w:rsid w:val="00B14F7B"/>
    <w:rsid w:val="00BC4D49"/>
    <w:rsid w:val="00C70EE9"/>
    <w:rsid w:val="00CF5C82"/>
    <w:rsid w:val="00D06617"/>
    <w:rsid w:val="00D24DD6"/>
    <w:rsid w:val="00D74D1B"/>
    <w:rsid w:val="00DE11D7"/>
    <w:rsid w:val="00E20260"/>
    <w:rsid w:val="00E81026"/>
    <w:rsid w:val="00EA0151"/>
    <w:rsid w:val="00EA7AC5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F74D"/>
  <w15:chartTrackingRefBased/>
  <w15:docId w15:val="{FAC90511-3E0E-A247-8E34-D0C1785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1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2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2431E"/>
    <w:rPr>
      <w:b/>
      <w:bCs/>
    </w:rPr>
  </w:style>
  <w:style w:type="paragraph" w:customStyle="1" w:styleId="msghead">
    <w:name w:val="msg_head"/>
    <w:basedOn w:val="Normal"/>
    <w:qFormat/>
    <w:rsid w:val="008243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82431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82431E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82431E"/>
    <w:rPr>
      <w:rFonts w:ascii="Times New Roman" w:eastAsia="Times New Roman" w:hAnsi="Times New Roman" w:cs="Times New Roman"/>
      <w:kern w:val="0"/>
      <w:lang w:val="en-US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2431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431E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82431E"/>
    <w:rPr>
      <w:vertAlign w:val="superscript"/>
    </w:rPr>
  </w:style>
  <w:style w:type="character" w:customStyle="1" w:styleId="highlight2">
    <w:name w:val="highlight2"/>
    <w:basedOn w:val="DefaultParagraphFont"/>
    <w:rsid w:val="0082431E"/>
  </w:style>
  <w:style w:type="character" w:customStyle="1" w:styleId="pull-right">
    <w:name w:val="pull-right"/>
    <w:basedOn w:val="DefaultParagraphFont"/>
    <w:rsid w:val="0050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62B7D-C639-8C45-8D46-885AA8ED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Төрбат</cp:lastModifiedBy>
  <cp:revision>25</cp:revision>
  <cp:lastPrinted>2024-12-03T06:27:00Z</cp:lastPrinted>
  <dcterms:created xsi:type="dcterms:W3CDTF">2024-03-17T08:59:00Z</dcterms:created>
  <dcterms:modified xsi:type="dcterms:W3CDTF">2024-12-23T03:46:00Z</dcterms:modified>
</cp:coreProperties>
</file>