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A46FC" w:rsidRDefault="00000000">
      <w:pPr>
        <w:spacing w:after="0" w:line="276" w:lineRule="auto"/>
        <w:ind w:firstLine="720"/>
        <w:jc w:val="both"/>
        <w:rPr>
          <w:rFonts w:ascii="Arial" w:eastAsia="Arial" w:hAnsi="Arial" w:cs="Arial"/>
          <w:b/>
          <w:sz w:val="24"/>
          <w:szCs w:val="24"/>
        </w:rPr>
      </w:pPr>
      <w:r>
        <w:rPr>
          <w:rFonts w:ascii="Arial" w:eastAsia="Arial" w:hAnsi="Arial" w:cs="Arial"/>
          <w:b/>
          <w:sz w:val="24"/>
          <w:szCs w:val="24"/>
        </w:rPr>
        <w:t>БАТЛАВ.</w:t>
      </w:r>
    </w:p>
    <w:p w14:paraId="00000002" w14:textId="77777777" w:rsidR="009A46FC" w:rsidRDefault="00000000">
      <w:pPr>
        <w:spacing w:after="0" w:line="276" w:lineRule="auto"/>
        <w:ind w:firstLine="720"/>
        <w:jc w:val="both"/>
        <w:rPr>
          <w:rFonts w:ascii="Arial" w:eastAsia="Arial" w:hAnsi="Arial" w:cs="Arial"/>
          <w:b/>
          <w:sz w:val="24"/>
          <w:szCs w:val="24"/>
        </w:rPr>
      </w:pPr>
      <w:r>
        <w:rPr>
          <w:rFonts w:ascii="Arial" w:eastAsia="Arial" w:hAnsi="Arial" w:cs="Arial"/>
          <w:b/>
          <w:sz w:val="24"/>
          <w:szCs w:val="24"/>
        </w:rPr>
        <w:t xml:space="preserve">УЛСЫН ИХ ХУРЛЫН </w:t>
      </w:r>
    </w:p>
    <w:p w14:paraId="00000003" w14:textId="77777777" w:rsidR="009A46FC" w:rsidRDefault="00000000">
      <w:pPr>
        <w:spacing w:after="0" w:line="276" w:lineRule="auto"/>
        <w:ind w:firstLine="720"/>
        <w:jc w:val="both"/>
        <w:rPr>
          <w:rFonts w:ascii="Arial" w:eastAsia="Arial" w:hAnsi="Arial" w:cs="Arial"/>
          <w:b/>
          <w:sz w:val="24"/>
          <w:szCs w:val="24"/>
        </w:rPr>
      </w:pPr>
      <w:r>
        <w:rPr>
          <w:rFonts w:ascii="Arial" w:eastAsia="Arial" w:hAnsi="Arial" w:cs="Arial"/>
          <w:b/>
          <w:sz w:val="24"/>
          <w:szCs w:val="24"/>
        </w:rPr>
        <w:t>ГИШҮҮН</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Г.ТЭМҮҮЛЭН</w:t>
      </w:r>
    </w:p>
    <w:p w14:paraId="00000004" w14:textId="77777777" w:rsidR="009A46FC" w:rsidRDefault="009A46FC">
      <w:pPr>
        <w:spacing w:after="0" w:line="276" w:lineRule="auto"/>
        <w:rPr>
          <w:rFonts w:ascii="Arial" w:eastAsia="Arial" w:hAnsi="Arial" w:cs="Arial"/>
          <w:b/>
          <w:sz w:val="24"/>
          <w:szCs w:val="24"/>
        </w:rPr>
      </w:pPr>
    </w:p>
    <w:p w14:paraId="00000005" w14:textId="77777777" w:rsidR="009A46FC" w:rsidRDefault="009A46FC">
      <w:pPr>
        <w:spacing w:after="0" w:line="276" w:lineRule="auto"/>
        <w:jc w:val="center"/>
        <w:rPr>
          <w:rFonts w:ascii="Arial" w:eastAsia="Arial" w:hAnsi="Arial" w:cs="Arial"/>
          <w:b/>
          <w:sz w:val="24"/>
          <w:szCs w:val="24"/>
        </w:rPr>
      </w:pPr>
    </w:p>
    <w:p w14:paraId="00000006" w14:textId="77777777" w:rsidR="009A46FC" w:rsidRDefault="00000000">
      <w:pPr>
        <w:spacing w:after="0" w:line="276" w:lineRule="auto"/>
        <w:jc w:val="center"/>
        <w:rPr>
          <w:rFonts w:ascii="Arial" w:eastAsia="Arial" w:hAnsi="Arial" w:cs="Arial"/>
          <w:b/>
          <w:sz w:val="24"/>
          <w:szCs w:val="24"/>
        </w:rPr>
      </w:pPr>
      <w:r>
        <w:rPr>
          <w:rFonts w:ascii="Arial" w:eastAsia="Arial" w:hAnsi="Arial" w:cs="Arial"/>
          <w:b/>
          <w:sz w:val="24"/>
          <w:szCs w:val="24"/>
        </w:rPr>
        <w:t>ТӨСВИЙН ТОГТВОРТОЙ БАЙДЛЫН ТУХАЙ ХУУЛЬД НЭМЭЛТ,  ӨӨРЧЛӨЛТ ОРУУЛАХ ТУХАЙ ХУУЛИЙН ТӨСЛИЙН ҮЗЭЛ БАРИМТЛАЛ</w:t>
      </w:r>
    </w:p>
    <w:p w14:paraId="00000007" w14:textId="77777777" w:rsidR="009A46FC" w:rsidRDefault="009A46FC">
      <w:pPr>
        <w:spacing w:after="0" w:line="276" w:lineRule="auto"/>
        <w:jc w:val="center"/>
        <w:rPr>
          <w:rFonts w:ascii="Arial" w:eastAsia="Arial" w:hAnsi="Arial" w:cs="Arial"/>
          <w:b/>
          <w:sz w:val="24"/>
          <w:szCs w:val="24"/>
        </w:rPr>
      </w:pPr>
    </w:p>
    <w:p w14:paraId="00000008" w14:textId="3CCBE8F9" w:rsidR="009A46FC" w:rsidRDefault="00000000">
      <w:pPr>
        <w:pBdr>
          <w:top w:val="nil"/>
          <w:left w:val="nil"/>
          <w:bottom w:val="nil"/>
          <w:right w:val="nil"/>
          <w:between w:val="nil"/>
        </w:pBdr>
        <w:spacing w:after="0" w:line="276" w:lineRule="auto"/>
        <w:ind w:firstLine="405"/>
        <w:jc w:val="both"/>
        <w:rPr>
          <w:rFonts w:ascii="Arial" w:eastAsia="Arial" w:hAnsi="Arial" w:cs="Arial"/>
          <w:b/>
          <w:color w:val="000000"/>
          <w:sz w:val="24"/>
          <w:szCs w:val="24"/>
        </w:rPr>
      </w:pPr>
      <w:r>
        <w:rPr>
          <w:rFonts w:ascii="Arial" w:eastAsia="Arial" w:hAnsi="Arial" w:cs="Arial"/>
          <w:b/>
          <w:color w:val="000000"/>
          <w:sz w:val="24"/>
          <w:szCs w:val="24"/>
        </w:rPr>
        <w:t xml:space="preserve">  Нэг. Хууль, тогтоолын төсөл боловсруулах үндэслэл, шаардлага</w:t>
      </w:r>
    </w:p>
    <w:p w14:paraId="00000009" w14:textId="2A538EF6" w:rsidR="009A46FC"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Монгол Улсын Үндсэн хуулийн Зургадугаар зүйлийн 2</w:t>
      </w:r>
      <w:r w:rsidR="00896D5F">
        <w:rPr>
          <w:rFonts w:ascii="Arial" w:eastAsia="Arial" w:hAnsi="Arial" w:cs="Arial"/>
          <w:sz w:val="24"/>
          <w:szCs w:val="24"/>
        </w:rPr>
        <w:t xml:space="preserve"> дахь хэсэгт “</w:t>
      </w:r>
      <w:r>
        <w:rPr>
          <w:rFonts w:ascii="Arial" w:eastAsia="Arial" w:hAnsi="Arial" w:cs="Arial"/>
          <w:sz w:val="24"/>
          <w:szCs w:val="24"/>
        </w:rPr>
        <w:t>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00896D5F">
        <w:rPr>
          <w:rFonts w:ascii="Arial" w:eastAsia="Arial" w:hAnsi="Arial" w:cs="Arial"/>
          <w:sz w:val="24"/>
          <w:szCs w:val="24"/>
        </w:rPr>
        <w:t>”</w:t>
      </w:r>
      <w:r>
        <w:rPr>
          <w:rFonts w:ascii="Arial" w:eastAsia="Arial" w:hAnsi="Arial" w:cs="Arial"/>
          <w:sz w:val="24"/>
          <w:szCs w:val="24"/>
        </w:rPr>
        <w:t xml:space="preserve"> гэж, </w:t>
      </w:r>
      <w:r w:rsidR="00896D5F">
        <w:rPr>
          <w:rFonts w:ascii="Arial" w:eastAsia="Arial" w:hAnsi="Arial" w:cs="Arial"/>
          <w:sz w:val="24"/>
          <w:szCs w:val="24"/>
        </w:rPr>
        <w:t xml:space="preserve">мөн </w:t>
      </w:r>
      <w:r>
        <w:rPr>
          <w:rFonts w:ascii="Arial" w:eastAsia="Arial" w:hAnsi="Arial" w:cs="Arial"/>
          <w:sz w:val="24"/>
          <w:szCs w:val="24"/>
        </w:rPr>
        <w:t>Хорин тавдугаар зүйлийн 1</w:t>
      </w:r>
      <w:r w:rsidR="00896D5F">
        <w:rPr>
          <w:rFonts w:ascii="Arial" w:eastAsia="Arial" w:hAnsi="Arial" w:cs="Arial"/>
          <w:sz w:val="24"/>
          <w:szCs w:val="24"/>
        </w:rPr>
        <w:t xml:space="preserve"> дэх хэсэгт “</w:t>
      </w:r>
      <w:r>
        <w:rPr>
          <w:rFonts w:ascii="Arial" w:eastAsia="Arial" w:hAnsi="Arial" w:cs="Arial"/>
          <w:sz w:val="24"/>
          <w:szCs w:val="24"/>
        </w:rPr>
        <w:t xml:space="preserve">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w:t>
      </w:r>
      <w:r w:rsidR="00896D5F">
        <w:rPr>
          <w:rFonts w:ascii="Arial" w:eastAsia="Arial" w:hAnsi="Arial" w:cs="Arial"/>
          <w:sz w:val="24"/>
          <w:szCs w:val="24"/>
        </w:rPr>
        <w:t>...</w:t>
      </w:r>
      <w:r>
        <w:rPr>
          <w:rFonts w:ascii="Arial" w:eastAsia="Arial" w:hAnsi="Arial" w:cs="Arial"/>
          <w:sz w:val="24"/>
          <w:szCs w:val="24"/>
        </w:rPr>
        <w:t>7/ 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батлах; Хөгжлийн бодлого, төлөвлөлт тогтвортой байна. Улсын төсвийг хэлэлцэн батлахдаа төсвийн орлого, зарлагын бүтцийг өөрчилж болно. Ингэхдээ Засгийн газрын өргөн мэдүүлсэн төсвийн зарлагын болон алдагдлын хэмжээг нэмэгдүүлж үл болно.</w:t>
      </w:r>
      <w:r w:rsidR="00896D5F">
        <w:rPr>
          <w:rFonts w:ascii="Arial" w:eastAsia="Arial" w:hAnsi="Arial" w:cs="Arial"/>
          <w:sz w:val="24"/>
          <w:szCs w:val="24"/>
        </w:rPr>
        <w:t>”</w:t>
      </w:r>
      <w:r>
        <w:rPr>
          <w:rFonts w:ascii="Arial" w:eastAsia="Arial" w:hAnsi="Arial" w:cs="Arial"/>
          <w:sz w:val="24"/>
          <w:szCs w:val="24"/>
        </w:rPr>
        <w:t xml:space="preserve"> гэж тус тус заасан. </w:t>
      </w:r>
    </w:p>
    <w:p w14:paraId="0000000A" w14:textId="61A0795F" w:rsidR="009A46FC"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Монгол Улсын Засгийн газрын тухай хуулийн 8 дугаар зүйлд Эдийн засгийн хөгжил, шинжлэх ухаан, технологийн нэгдсэн бодлого боловсруулж хэрэгжүүлэх талаархи Засгийн газрын бүрэн эрхийг тодорхойлохдоо </w:t>
      </w:r>
      <w:r w:rsidR="00896D5F">
        <w:rPr>
          <w:rFonts w:ascii="Arial" w:eastAsia="Arial" w:hAnsi="Arial" w:cs="Arial"/>
          <w:sz w:val="24"/>
          <w:szCs w:val="24"/>
        </w:rPr>
        <w:t xml:space="preserve">8 дугаар зүйлийн </w:t>
      </w:r>
      <w:r>
        <w:rPr>
          <w:rFonts w:ascii="Arial" w:eastAsia="Arial" w:hAnsi="Arial" w:cs="Arial"/>
          <w:sz w:val="24"/>
          <w:szCs w:val="24"/>
        </w:rPr>
        <w:t>1</w:t>
      </w:r>
      <w:r w:rsidR="00896D5F">
        <w:rPr>
          <w:rFonts w:ascii="Arial" w:eastAsia="Arial" w:hAnsi="Arial" w:cs="Arial"/>
          <w:sz w:val="24"/>
          <w:szCs w:val="24"/>
        </w:rPr>
        <w:t xml:space="preserve"> дэх хэсэгт “</w:t>
      </w:r>
      <w:r>
        <w:rPr>
          <w:rFonts w:ascii="Arial" w:eastAsia="Arial" w:hAnsi="Arial" w:cs="Arial"/>
          <w:sz w:val="24"/>
          <w:szCs w:val="24"/>
        </w:rPr>
        <w:t>Монгол Улсын урт хугацааны хөгжлийн бодлого, Хөгжлийн зорилтот хөтөлбөр, Монгол Улсыг хөгжүүлэх таван жилийн үндсэн чиглэл, Засгийн газрын үйл ажиллагааны хөтөлбөр, Улсын хөгжлийн жилийн төлөвлөгөө болон улсын төсвийг боловсруулахад Засгийн газраас баримтлах үзүүлэлтүүдийн хязгаар, үндсэн тэнцвэрийг тодорхойлсон төсвийн хүрээний мэдэгдлийг Монгол Улсын Үндсэн хууль, Хөгжлийн бодлого, төлөвлөлт, түүний удирдлагын тухай хуульд заасны дагуу боловсруулж, Улсын Их Хуралд өргөн мэдүүлнэ.</w:t>
      </w:r>
      <w:r w:rsidR="00896D5F">
        <w:rPr>
          <w:rFonts w:ascii="Arial" w:eastAsia="Arial" w:hAnsi="Arial" w:cs="Arial"/>
          <w:sz w:val="24"/>
          <w:szCs w:val="24"/>
        </w:rPr>
        <w:t xml:space="preserve">”, мөн хуулийн 8 дугаар зүйлийн </w:t>
      </w:r>
      <w:r>
        <w:rPr>
          <w:rFonts w:ascii="Arial" w:eastAsia="Arial" w:hAnsi="Arial" w:cs="Arial"/>
          <w:sz w:val="24"/>
          <w:szCs w:val="24"/>
        </w:rPr>
        <w:t xml:space="preserve"> 2</w:t>
      </w:r>
      <w:r w:rsidR="00896D5F">
        <w:rPr>
          <w:rFonts w:ascii="Arial" w:eastAsia="Arial" w:hAnsi="Arial" w:cs="Arial"/>
          <w:sz w:val="24"/>
          <w:szCs w:val="24"/>
        </w:rPr>
        <w:t xml:space="preserve"> дахь хэсэгт “</w:t>
      </w:r>
      <w:r>
        <w:rPr>
          <w:rFonts w:ascii="Arial" w:eastAsia="Arial" w:hAnsi="Arial" w:cs="Arial"/>
          <w:sz w:val="24"/>
          <w:szCs w:val="24"/>
        </w:rPr>
        <w:t>Улсын төсвийн төслийг Улсын Их Хурлаас баталсан урт хугацааны хөгжлийн бодлого, Монгол Улсыг хөгжүүлэх таван жилийн үндсэн чиглэлийг хэрэгжүүлэхэд чиглэсэн Улсын хөгжлийн жилийн төлөвлөгөө, төсвийн хүрээний мэдэгдэлд нийцүүлэн боловсруулж, Улсын Их Хуралд өргөн мэдүүлж, гарсан шийдвэрийг хэрэгжүүлнэ.</w:t>
      </w:r>
      <w:r w:rsidR="00896D5F">
        <w:rPr>
          <w:rFonts w:ascii="Arial" w:eastAsia="Arial" w:hAnsi="Arial" w:cs="Arial"/>
          <w:sz w:val="24"/>
          <w:szCs w:val="24"/>
        </w:rPr>
        <w:t>”</w:t>
      </w:r>
      <w:r>
        <w:rPr>
          <w:rFonts w:ascii="Arial" w:eastAsia="Arial" w:hAnsi="Arial" w:cs="Arial"/>
          <w:sz w:val="24"/>
          <w:szCs w:val="24"/>
        </w:rPr>
        <w:t xml:space="preserve"> гэж </w:t>
      </w:r>
      <w:r w:rsidR="00896D5F">
        <w:rPr>
          <w:rFonts w:ascii="Arial" w:eastAsia="Arial" w:hAnsi="Arial" w:cs="Arial"/>
          <w:sz w:val="24"/>
          <w:szCs w:val="24"/>
        </w:rPr>
        <w:t xml:space="preserve">тус тус </w:t>
      </w:r>
      <w:r>
        <w:rPr>
          <w:rFonts w:ascii="Arial" w:eastAsia="Arial" w:hAnsi="Arial" w:cs="Arial"/>
          <w:sz w:val="24"/>
          <w:szCs w:val="24"/>
        </w:rPr>
        <w:t xml:space="preserve">заасан. </w:t>
      </w:r>
    </w:p>
    <w:p w14:paraId="0000000B" w14:textId="77777777" w:rsidR="009A46FC"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lastRenderedPageBreak/>
        <w:t xml:space="preserve">Үндсэн хуулийн агуулгаар газрын хэвлийн баялгийн үр өгөөж нь одоо ба ирээдүй үеийн иргэдэд тэгш, шударга хүртээх зорилгоор Үндэсний баялгийн сангаар дамжуулан хуваарилж байхаар, улмаар төсөв нь Монгол Улсын хөгжлийн бодлогод туссан зорилго, зорилтыг санхүүжүүлэхэд чиглэсэн байхыг тодорхой заажээ. Иймээс ч байгалийн шавхагдах нөөц баялгаас нийгэм, эдийн засагт үзүүлэх нөлөөллийг тооцож, түүнийг өнөө болон ирээдүйн иргэдэд хэрхэн үр ашигтай хуваарилах болон зарцуулах асуудал нь төсвийн бодлогын нэг чухал үзүүлэлт болно. Энэ агуулгаар манай улс 2010 оноос төсвийн тогтвортой байдлыг хангахад чиглэсэн байгалийн шавхагдах нөөцийг нэг дор бүрэн дайчлахгүй байх төсвийн тусгай шаардлагыг Төсвийн тогтвортой байдлын хуульд тусгаж, хэрэгжүүлж ирсэн ч 2024 оны 08 дугаар сарын 30-ны өдрийн хуулийн өөрчлөлтөөр дээрх тусгай шаардлагыг агуулгыг өөрчилж, байгалийн баялгийн үр өгөөжийг зөвхөн өнөө цагт зарцуулах нөхцөлийг бүрдүүлсэн нь Үндсэн хуулийн агуулгатай нийцэхгүй байна. </w:t>
      </w:r>
    </w:p>
    <w:p w14:paraId="0000000C" w14:textId="77777777" w:rsidR="009A46FC"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Монгол Улсын Засгийн газрын тухай хуульд заасны дагуу төсвийн хүрээний мэдэгдлийг Монгол Улсын Үндсэн хууль, Хөгжлийн бодлого, төлөвлөлт, түүний удирдлагын тухай хуульд заасны дагуу боловсруулах ба уг баримт бичиг нь  Засгийн газраас баримтлах үзүүлэлтүүдийн хязгаар, үндсэн тэнцвэрийг тодорхойлсон байхыг заасан байна. Өөрөөр хэлбэл, төсвийн хүрээний мэдэгдэл нь төсвийн орлого, зарлагын бодит тэнцлийг илэрхийлсэн байхыг хууль тогтоомжийн хүрээнд тодорхой дурджээ. </w:t>
      </w:r>
    </w:p>
    <w:p w14:paraId="0000000D" w14:textId="4218E34B" w:rsidR="009A46FC"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ab/>
        <w:t>Төсвийн тогтвортой байдлын тухай хуулийн</w:t>
      </w:r>
      <w:r w:rsidR="00F77B81">
        <w:rPr>
          <w:rFonts w:ascii="Arial" w:eastAsia="Arial" w:hAnsi="Arial" w:cs="Arial"/>
          <w:sz w:val="24"/>
          <w:szCs w:val="24"/>
        </w:rPr>
        <w:t xml:space="preserve"> 4 дүгээр зүйлийн</w:t>
      </w:r>
      <w:r>
        <w:rPr>
          <w:rFonts w:ascii="Arial" w:eastAsia="Arial" w:hAnsi="Arial" w:cs="Arial"/>
          <w:sz w:val="24"/>
          <w:szCs w:val="24"/>
        </w:rPr>
        <w:t xml:space="preserve"> 4.1.1</w:t>
      </w:r>
      <w:r w:rsidR="00F77B81">
        <w:rPr>
          <w:rFonts w:ascii="Arial" w:eastAsia="Arial" w:hAnsi="Arial" w:cs="Arial"/>
          <w:sz w:val="24"/>
          <w:szCs w:val="24"/>
        </w:rPr>
        <w:t xml:space="preserve"> дэх заалтад ““</w:t>
      </w:r>
      <w:r>
        <w:rPr>
          <w:rFonts w:ascii="Arial" w:eastAsia="Arial" w:hAnsi="Arial" w:cs="Arial"/>
          <w:sz w:val="24"/>
          <w:szCs w:val="24"/>
        </w:rPr>
        <w:t>төсвийн тусгай шаардлага</w:t>
      </w:r>
      <w:r w:rsidR="00F77B81">
        <w:rPr>
          <w:rFonts w:ascii="Arial" w:eastAsia="Arial" w:hAnsi="Arial" w:cs="Arial"/>
          <w:sz w:val="24"/>
          <w:szCs w:val="24"/>
        </w:rPr>
        <w:t>”</w:t>
      </w:r>
      <w:r>
        <w:rPr>
          <w:rFonts w:ascii="Arial" w:eastAsia="Arial" w:hAnsi="Arial" w:cs="Arial"/>
          <w:sz w:val="24"/>
          <w:szCs w:val="24"/>
        </w:rPr>
        <w:t xml:space="preserve"> гэж </w:t>
      </w:r>
      <w:r>
        <w:rPr>
          <w:rFonts w:ascii="Arial" w:eastAsia="Arial" w:hAnsi="Arial" w:cs="Arial"/>
          <w:b/>
          <w:sz w:val="24"/>
          <w:szCs w:val="24"/>
        </w:rPr>
        <w:t>нэгдсэн төсвийн тогтвортой байдлыг хангахад чиглэсэн</w:t>
      </w:r>
      <w:r>
        <w:rPr>
          <w:rFonts w:ascii="Arial" w:eastAsia="Arial" w:hAnsi="Arial" w:cs="Arial"/>
          <w:sz w:val="24"/>
          <w:szCs w:val="24"/>
        </w:rPr>
        <w:t>, төсвийн богино, дунд, урт хугацааны бодлого, дунд хугацааны төсвийн хүрээний мэдэгдлийг тодорхойлоход баримтлах, энэ хуулиар тогтоосон зохистой үзүүлэлтийн түвшин, харьцаа, хязгаарлалтыг;</w:t>
      </w:r>
      <w:r w:rsidR="00F77B81">
        <w:rPr>
          <w:rFonts w:ascii="Arial" w:eastAsia="Arial" w:hAnsi="Arial" w:cs="Arial"/>
          <w:sz w:val="24"/>
          <w:szCs w:val="24"/>
        </w:rPr>
        <w:t>”</w:t>
      </w:r>
      <w:r>
        <w:rPr>
          <w:rFonts w:ascii="Arial" w:eastAsia="Arial" w:hAnsi="Arial" w:cs="Arial"/>
          <w:sz w:val="24"/>
          <w:szCs w:val="24"/>
        </w:rPr>
        <w:t xml:space="preserve"> гэж заасан</w:t>
      </w:r>
      <w:r w:rsidR="00F77B81">
        <w:rPr>
          <w:rFonts w:ascii="Arial" w:eastAsia="Arial" w:hAnsi="Arial" w:cs="Arial"/>
          <w:sz w:val="24"/>
          <w:szCs w:val="24"/>
        </w:rPr>
        <w:t>.</w:t>
      </w:r>
      <w:r>
        <w:rPr>
          <w:rFonts w:ascii="Arial" w:eastAsia="Arial" w:hAnsi="Arial" w:cs="Arial"/>
          <w:sz w:val="24"/>
          <w:szCs w:val="24"/>
        </w:rPr>
        <w:t xml:space="preserve"> </w:t>
      </w:r>
    </w:p>
    <w:p w14:paraId="0000000E" w14:textId="59318F2F" w:rsidR="009A46FC"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Мөн хуулийн </w:t>
      </w:r>
      <w:r w:rsidR="00F77B81">
        <w:rPr>
          <w:rFonts w:ascii="Arial" w:eastAsia="Arial" w:hAnsi="Arial" w:cs="Arial"/>
          <w:sz w:val="24"/>
          <w:szCs w:val="24"/>
        </w:rPr>
        <w:t xml:space="preserve">4 дүгээр зүйлийн </w:t>
      </w:r>
      <w:r>
        <w:rPr>
          <w:rFonts w:ascii="Arial" w:eastAsia="Arial" w:hAnsi="Arial" w:cs="Arial"/>
          <w:sz w:val="24"/>
          <w:szCs w:val="24"/>
        </w:rPr>
        <w:t>4.1.11</w:t>
      </w:r>
      <w:r w:rsidR="00F77B81">
        <w:rPr>
          <w:rFonts w:ascii="Arial" w:eastAsia="Arial" w:hAnsi="Arial" w:cs="Arial"/>
          <w:sz w:val="24"/>
          <w:szCs w:val="24"/>
        </w:rPr>
        <w:t xml:space="preserve"> дэх заалтад ““</w:t>
      </w:r>
      <w:r>
        <w:rPr>
          <w:rFonts w:ascii="Arial" w:eastAsia="Arial" w:hAnsi="Arial" w:cs="Arial"/>
          <w:sz w:val="24"/>
          <w:szCs w:val="24"/>
        </w:rPr>
        <w:t>нэгдсэн төсөв</w:t>
      </w:r>
      <w:r w:rsidR="00F77B81">
        <w:rPr>
          <w:rFonts w:ascii="Arial" w:eastAsia="Arial" w:hAnsi="Arial" w:cs="Arial"/>
          <w:sz w:val="24"/>
          <w:szCs w:val="24"/>
        </w:rPr>
        <w:t>”</w:t>
      </w:r>
      <w:r>
        <w:rPr>
          <w:rFonts w:ascii="Arial" w:eastAsia="Arial" w:hAnsi="Arial" w:cs="Arial"/>
          <w:sz w:val="24"/>
          <w:szCs w:val="24"/>
        </w:rPr>
        <w:t xml:space="preserve"> гэж Төсвийн тухай хуулийн 21.1-т заасныг;</w:t>
      </w:r>
      <w:r w:rsidR="00F77B81">
        <w:rPr>
          <w:rFonts w:ascii="Arial" w:eastAsia="Arial" w:hAnsi="Arial" w:cs="Arial"/>
          <w:sz w:val="24"/>
          <w:szCs w:val="24"/>
        </w:rPr>
        <w:t>”,</w:t>
      </w:r>
      <w:r>
        <w:rPr>
          <w:rFonts w:ascii="Arial" w:eastAsia="Arial" w:hAnsi="Arial" w:cs="Arial"/>
          <w:sz w:val="24"/>
          <w:szCs w:val="24"/>
        </w:rPr>
        <w:t xml:space="preserve"> Төсвийн тухай хуулийн </w:t>
      </w:r>
      <w:r w:rsidR="00F77B81">
        <w:rPr>
          <w:rFonts w:ascii="Arial" w:eastAsia="Arial" w:hAnsi="Arial" w:cs="Arial"/>
          <w:sz w:val="24"/>
          <w:szCs w:val="24"/>
        </w:rPr>
        <w:t xml:space="preserve">21 дүгээр зүйлийн </w:t>
      </w:r>
      <w:r>
        <w:rPr>
          <w:rFonts w:ascii="Arial" w:eastAsia="Arial" w:hAnsi="Arial" w:cs="Arial"/>
          <w:sz w:val="24"/>
          <w:szCs w:val="24"/>
        </w:rPr>
        <w:t>21.1</w:t>
      </w:r>
      <w:r w:rsidR="00F77B81">
        <w:rPr>
          <w:rFonts w:ascii="Arial" w:eastAsia="Arial" w:hAnsi="Arial" w:cs="Arial"/>
          <w:sz w:val="24"/>
          <w:szCs w:val="24"/>
        </w:rPr>
        <w:t xml:space="preserve"> дэх хэсэгт “</w:t>
      </w:r>
      <w:r>
        <w:rPr>
          <w:rFonts w:ascii="Arial" w:eastAsia="Arial" w:hAnsi="Arial" w:cs="Arial"/>
          <w:sz w:val="24"/>
          <w:szCs w:val="24"/>
        </w:rPr>
        <w:t>Монгол Улсын нэгдсэн төсөв нь улсын төсөв, орон нутгийн төсөв, Ирээдүйн өв сангийн төсөв, Үндэсний баялгийн сангийн төсөв, Нийгмийн даатгалын сангийн төсөв, Эрүүл мэндийн даатгалын сангийн төсвөөс бүрдэнэ.</w:t>
      </w:r>
      <w:r w:rsidR="00F77B81">
        <w:rPr>
          <w:rFonts w:ascii="Arial" w:eastAsia="Arial" w:hAnsi="Arial" w:cs="Arial"/>
          <w:sz w:val="24"/>
          <w:szCs w:val="24"/>
        </w:rPr>
        <w:t>”</w:t>
      </w:r>
      <w:r>
        <w:rPr>
          <w:rFonts w:ascii="Arial" w:eastAsia="Arial" w:hAnsi="Arial" w:cs="Arial"/>
          <w:sz w:val="24"/>
          <w:szCs w:val="24"/>
        </w:rPr>
        <w:t xml:space="preserve"> гэж заасан. Дээрх хуулийн зохицуулалтыг нэгтгэн дүгнэвэл, нэгдсэн төсвийн тогтвортой байдлыг хангахад чиглэсэн төсвийн бодлогод баримтлах тусгай шаардлага нь Үндсэн хуульд нийцэх учиртай. Иймээс ч төсвийн тусгай шаардлагыг өөрчилсөн хуулийн өөрчлөлтийг эргэн харж, байгалийн баялгаас хамааралтай хязгааргүй өсөн нэмэгдэх зарлагын өсөлтийг хязгаарлаж, ирээдүйн цагийн иргэдийн боломжийг хамгаалах зайлшгүй хэрэгцээ шаардлагатай байна. </w:t>
      </w:r>
    </w:p>
    <w:p w14:paraId="0000000F" w14:textId="77777777" w:rsidR="009A46FC"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Иймд дээрх үндэслэлээр Төсвийн тогтвортой байдлын тухай хуульд нэмэлт, өөрчлөлт оруулах хэрэгцээ шаардлагатай байна.</w:t>
      </w:r>
    </w:p>
    <w:p w14:paraId="00000010" w14:textId="77777777" w:rsidR="009A46FC" w:rsidRDefault="009A46FC" w:rsidP="00E405A1">
      <w:pPr>
        <w:spacing w:after="0" w:line="240" w:lineRule="auto"/>
        <w:jc w:val="both"/>
        <w:rPr>
          <w:rFonts w:ascii="Arial" w:eastAsia="Arial" w:hAnsi="Arial" w:cs="Arial"/>
          <w:sz w:val="24"/>
          <w:szCs w:val="24"/>
        </w:rPr>
      </w:pPr>
    </w:p>
    <w:p w14:paraId="00000011" w14:textId="77777777" w:rsidR="009A46FC" w:rsidRDefault="00000000">
      <w:pPr>
        <w:spacing w:after="0" w:line="276" w:lineRule="auto"/>
        <w:ind w:firstLine="405"/>
        <w:jc w:val="both"/>
        <w:rPr>
          <w:rFonts w:ascii="Arial" w:eastAsia="Arial" w:hAnsi="Arial" w:cs="Arial"/>
          <w:sz w:val="24"/>
          <w:szCs w:val="24"/>
        </w:rPr>
      </w:pPr>
      <w:r>
        <w:rPr>
          <w:rFonts w:ascii="Arial" w:eastAsia="Arial" w:hAnsi="Arial" w:cs="Arial"/>
          <w:b/>
          <w:sz w:val="24"/>
          <w:szCs w:val="24"/>
        </w:rPr>
        <w:t>Хоёр.Хуулийн төслийн зорилго, ерөнхий бүтэц, зохицуулах харилцаа, хамрах хүрээ</w:t>
      </w:r>
    </w:p>
    <w:p w14:paraId="00000012" w14:textId="77777777" w:rsidR="009A46FC" w:rsidRDefault="009A46FC">
      <w:pPr>
        <w:spacing w:after="0" w:line="276" w:lineRule="auto"/>
        <w:ind w:firstLine="405"/>
        <w:jc w:val="both"/>
        <w:rPr>
          <w:rFonts w:ascii="Arial" w:eastAsia="Arial" w:hAnsi="Arial" w:cs="Arial"/>
          <w:sz w:val="24"/>
          <w:szCs w:val="24"/>
        </w:rPr>
      </w:pPr>
    </w:p>
    <w:p w14:paraId="00000013" w14:textId="77777777" w:rsidR="009A46FC" w:rsidRDefault="00000000">
      <w:pPr>
        <w:spacing w:after="0" w:line="276" w:lineRule="auto"/>
        <w:ind w:firstLine="405"/>
        <w:jc w:val="both"/>
        <w:rPr>
          <w:rFonts w:ascii="Arial" w:eastAsia="Arial" w:hAnsi="Arial" w:cs="Arial"/>
          <w:sz w:val="24"/>
          <w:szCs w:val="24"/>
        </w:rPr>
      </w:pPr>
      <w:r>
        <w:rPr>
          <w:rFonts w:ascii="Arial" w:eastAsia="Arial" w:hAnsi="Arial" w:cs="Arial"/>
          <w:color w:val="000000"/>
          <w:sz w:val="24"/>
          <w:szCs w:val="24"/>
        </w:rPr>
        <w:t xml:space="preserve">     Төсвийн тогтвортой байдлын тухай хуульд нэмэлт, өөрчлөлт оруулах тухай хуулийн төслийн зорилго нь нэгдсэн </w:t>
      </w:r>
      <w:r>
        <w:rPr>
          <w:rFonts w:ascii="Arial" w:eastAsia="Arial" w:hAnsi="Arial" w:cs="Arial"/>
          <w:sz w:val="24"/>
          <w:szCs w:val="24"/>
        </w:rPr>
        <w:t>т</w:t>
      </w:r>
      <w:r>
        <w:rPr>
          <w:rFonts w:ascii="Arial" w:eastAsia="Arial" w:hAnsi="Arial" w:cs="Arial"/>
          <w:color w:val="000000"/>
          <w:sz w:val="24"/>
          <w:szCs w:val="24"/>
        </w:rPr>
        <w:t>өсвийн тогтвортой байдлы</w:t>
      </w:r>
      <w:r>
        <w:rPr>
          <w:rFonts w:ascii="Arial" w:eastAsia="Arial" w:hAnsi="Arial" w:cs="Arial"/>
          <w:sz w:val="24"/>
          <w:szCs w:val="24"/>
        </w:rPr>
        <w:t xml:space="preserve">г хангахад чиглэсэн төсвийн тусгай шаардлагыг Үндсэн хуульд нийцүүлэн өөрчилж, байгалийн баялгийг </w:t>
      </w:r>
      <w:r>
        <w:rPr>
          <w:rFonts w:ascii="Arial" w:eastAsia="Arial" w:hAnsi="Arial" w:cs="Arial"/>
          <w:sz w:val="24"/>
          <w:szCs w:val="24"/>
        </w:rPr>
        <w:lastRenderedPageBreak/>
        <w:t xml:space="preserve">өнөө болон ирээдүйн цагийн иргэдэд, тэгш шударга хүртээхэд чиглэсэн. Өөрөөр хэлбэл, байгалийн баялгийн ашиглалтаас бий болсон орлогыг бүхэлд нь одоо цагт зарцуулахгүйгээр, Үндэсний баялгийн сангаар дамжуулан, ирээдүй хойчдоо үлдээх зарчмыг хэрэгжүүлэхэд оршино.  </w:t>
      </w:r>
    </w:p>
    <w:p w14:paraId="00000014" w14:textId="77777777" w:rsidR="009A46FC" w:rsidRDefault="009A46FC">
      <w:pPr>
        <w:spacing w:after="0" w:line="276" w:lineRule="auto"/>
        <w:ind w:firstLine="405"/>
        <w:jc w:val="both"/>
        <w:rPr>
          <w:rFonts w:ascii="Arial" w:eastAsia="Arial" w:hAnsi="Arial" w:cs="Arial"/>
          <w:sz w:val="24"/>
          <w:szCs w:val="24"/>
        </w:rPr>
      </w:pPr>
    </w:p>
    <w:p w14:paraId="00000015" w14:textId="77777777" w:rsidR="009A46FC" w:rsidRDefault="00000000" w:rsidP="00A15D58">
      <w:pPr>
        <w:spacing w:after="0" w:line="276" w:lineRule="auto"/>
        <w:ind w:firstLine="720"/>
        <w:jc w:val="both"/>
        <w:rPr>
          <w:rFonts w:ascii="Arial" w:eastAsia="Arial" w:hAnsi="Arial" w:cs="Arial"/>
          <w:sz w:val="24"/>
          <w:szCs w:val="24"/>
        </w:rPr>
      </w:pPr>
      <w:r>
        <w:rPr>
          <w:rFonts w:ascii="Arial" w:eastAsia="Arial" w:hAnsi="Arial" w:cs="Arial"/>
          <w:sz w:val="24"/>
          <w:szCs w:val="24"/>
        </w:rPr>
        <w:t>Хуулийн төсөл нь төсвийн тусгай шаардлагыг өөрчлөх, үүнтэй холбогдуулан  төсвийн хүрээний мэдэгдлийн үзүүлэлтэд нэмэлт оруулах болон хууль хэрэгжих хугацааг тусгах зэрэг 3 зүйлээс бүрдэнэ.</w:t>
      </w:r>
    </w:p>
    <w:p w14:paraId="26251B9B" w14:textId="77777777" w:rsidR="009067D8" w:rsidRDefault="009067D8" w:rsidP="00A15D58">
      <w:pPr>
        <w:spacing w:after="0" w:line="276" w:lineRule="auto"/>
        <w:ind w:firstLine="720"/>
        <w:jc w:val="both"/>
        <w:rPr>
          <w:rFonts w:ascii="Arial" w:eastAsia="Arial" w:hAnsi="Arial" w:cs="Arial"/>
          <w:sz w:val="24"/>
          <w:szCs w:val="24"/>
        </w:rPr>
      </w:pPr>
    </w:p>
    <w:p w14:paraId="4E28C6A2" w14:textId="2D70F4CD" w:rsidR="009067D8" w:rsidRDefault="009067D8" w:rsidP="00A15D58">
      <w:pPr>
        <w:spacing w:after="0" w:line="276" w:lineRule="auto"/>
        <w:ind w:firstLine="720"/>
        <w:jc w:val="both"/>
        <w:rPr>
          <w:rFonts w:ascii="Arial" w:eastAsia="Arial" w:hAnsi="Arial" w:cs="Arial"/>
          <w:sz w:val="24"/>
          <w:szCs w:val="24"/>
          <w:lang w:val="en-US"/>
        </w:rPr>
      </w:pPr>
      <w:r>
        <w:rPr>
          <w:rFonts w:ascii="Arial" w:eastAsia="Arial" w:hAnsi="Arial" w:cs="Arial"/>
          <w:sz w:val="24"/>
          <w:szCs w:val="24"/>
        </w:rPr>
        <w:t>1 дүгээр зүйлд Дунд хугацааны төсвийн хүрээний мэдэгдэлд тусгах нэгдсэн төсвийн нийт зарлагын өсөлтийн хэмжээ, нэгдсэн төсвийн хөрөнгийн зардлын хэмжээг нэмэлтээр оруулах</w:t>
      </w:r>
      <w:r>
        <w:rPr>
          <w:rFonts w:ascii="Arial" w:eastAsia="Arial" w:hAnsi="Arial" w:cs="Arial"/>
          <w:sz w:val="24"/>
          <w:szCs w:val="24"/>
          <w:lang w:val="en-US"/>
        </w:rPr>
        <w:t>;</w:t>
      </w:r>
    </w:p>
    <w:p w14:paraId="0AF18057" w14:textId="77777777" w:rsidR="009067D8" w:rsidRDefault="009067D8" w:rsidP="00A15D58">
      <w:pPr>
        <w:spacing w:after="0" w:line="276" w:lineRule="auto"/>
        <w:ind w:firstLine="720"/>
        <w:jc w:val="both"/>
        <w:rPr>
          <w:rFonts w:ascii="Arial" w:eastAsia="Arial" w:hAnsi="Arial" w:cs="Arial"/>
          <w:sz w:val="24"/>
          <w:szCs w:val="24"/>
          <w:lang w:val="en-US"/>
        </w:rPr>
      </w:pPr>
    </w:p>
    <w:p w14:paraId="27B7CA43" w14:textId="3D915A25" w:rsidR="009067D8" w:rsidRDefault="009067D8" w:rsidP="00A15D58">
      <w:pPr>
        <w:spacing w:after="0" w:line="276" w:lineRule="auto"/>
        <w:ind w:firstLine="720"/>
        <w:jc w:val="both"/>
        <w:rPr>
          <w:rFonts w:ascii="Arial" w:eastAsia="Arial" w:hAnsi="Arial" w:cs="Arial"/>
          <w:sz w:val="24"/>
          <w:szCs w:val="24"/>
          <w:lang w:val="en-US"/>
        </w:rPr>
      </w:pPr>
      <w:r>
        <w:rPr>
          <w:rFonts w:ascii="Arial" w:eastAsia="Arial" w:hAnsi="Arial" w:cs="Arial"/>
          <w:sz w:val="24"/>
          <w:szCs w:val="24"/>
        </w:rPr>
        <w:t>2 дугаар зүйлд Төсвийн тогтвортой байдлын тухай хуулийн 6 дугаар зүйлийн 6.1.2, 6.1.3 дахь заалтуудыг өөрчлөн найруулах</w:t>
      </w:r>
      <w:r>
        <w:rPr>
          <w:rFonts w:ascii="Arial" w:eastAsia="Arial" w:hAnsi="Arial" w:cs="Arial"/>
          <w:sz w:val="24"/>
          <w:szCs w:val="24"/>
          <w:lang w:val="en-US"/>
        </w:rPr>
        <w:t>;</w:t>
      </w:r>
    </w:p>
    <w:p w14:paraId="786CF5CA" w14:textId="77777777" w:rsidR="009067D8" w:rsidRDefault="009067D8" w:rsidP="00A15D58">
      <w:pPr>
        <w:spacing w:after="0" w:line="276" w:lineRule="auto"/>
        <w:ind w:firstLine="720"/>
        <w:jc w:val="both"/>
        <w:rPr>
          <w:rFonts w:ascii="Arial" w:eastAsia="Arial" w:hAnsi="Arial" w:cs="Arial"/>
          <w:sz w:val="24"/>
          <w:szCs w:val="24"/>
          <w:lang w:val="en-US"/>
        </w:rPr>
      </w:pPr>
    </w:p>
    <w:p w14:paraId="304471B4" w14:textId="047916C6" w:rsidR="009067D8" w:rsidRPr="009067D8" w:rsidRDefault="009067D8" w:rsidP="00A15D58">
      <w:pPr>
        <w:spacing w:after="0" w:line="276" w:lineRule="auto"/>
        <w:ind w:firstLine="720"/>
        <w:jc w:val="both"/>
        <w:rPr>
          <w:rFonts w:ascii="Arial" w:eastAsia="Arial" w:hAnsi="Arial" w:cs="Arial"/>
          <w:sz w:val="24"/>
          <w:szCs w:val="24"/>
        </w:rPr>
      </w:pPr>
      <w:r>
        <w:rPr>
          <w:rFonts w:ascii="Arial" w:eastAsia="Arial" w:hAnsi="Arial" w:cs="Arial"/>
          <w:sz w:val="24"/>
          <w:szCs w:val="24"/>
        </w:rPr>
        <w:t>3 дугаар зүйлд хуулийг дагаж мөрдөх хугацааг тусгасан.</w:t>
      </w:r>
    </w:p>
    <w:p w14:paraId="00000016" w14:textId="77777777" w:rsidR="009A46FC" w:rsidRDefault="00000000">
      <w:pPr>
        <w:spacing w:after="0" w:line="276" w:lineRule="auto"/>
        <w:ind w:firstLine="405"/>
        <w:jc w:val="both"/>
        <w:rPr>
          <w:rFonts w:ascii="Arial" w:eastAsia="Arial" w:hAnsi="Arial" w:cs="Arial"/>
          <w:color w:val="000000"/>
          <w:sz w:val="24"/>
          <w:szCs w:val="24"/>
        </w:rPr>
      </w:pPr>
      <w:r>
        <w:rPr>
          <w:rFonts w:ascii="Arial" w:eastAsia="Arial" w:hAnsi="Arial" w:cs="Arial"/>
          <w:color w:val="000000"/>
          <w:sz w:val="24"/>
          <w:szCs w:val="24"/>
        </w:rPr>
        <w:t xml:space="preserve"> </w:t>
      </w:r>
    </w:p>
    <w:p w14:paraId="00000017" w14:textId="77777777" w:rsidR="009A46FC" w:rsidRDefault="00000000">
      <w:pPr>
        <w:spacing w:after="0" w:line="276" w:lineRule="auto"/>
        <w:ind w:firstLine="405"/>
        <w:jc w:val="both"/>
        <w:rPr>
          <w:rFonts w:ascii="Arial" w:eastAsia="Arial" w:hAnsi="Arial" w:cs="Arial"/>
          <w:b/>
          <w:sz w:val="24"/>
          <w:szCs w:val="24"/>
        </w:rPr>
      </w:pPr>
      <w:r>
        <w:rPr>
          <w:rFonts w:ascii="Arial" w:eastAsia="Arial" w:hAnsi="Arial" w:cs="Arial"/>
          <w:b/>
          <w:sz w:val="24"/>
          <w:szCs w:val="24"/>
        </w:rPr>
        <w:t>Гурав.Хуулийн төсөл батлагдсаны дараа үүсч болох эдийн засаг, нийгэм, хууль зүйн үр дагавар, тэдгээрийг шийдвэрлэх арга хэмжээний санал</w:t>
      </w:r>
    </w:p>
    <w:p w14:paraId="00000018" w14:textId="77777777" w:rsidR="009A46FC" w:rsidRDefault="009A46FC">
      <w:pPr>
        <w:spacing w:after="0" w:line="276" w:lineRule="auto"/>
        <w:ind w:firstLine="405"/>
        <w:jc w:val="both"/>
        <w:rPr>
          <w:rFonts w:ascii="Arial" w:eastAsia="Arial" w:hAnsi="Arial" w:cs="Arial"/>
          <w:b/>
          <w:sz w:val="24"/>
          <w:szCs w:val="24"/>
        </w:rPr>
      </w:pPr>
    </w:p>
    <w:p w14:paraId="00000019" w14:textId="77777777" w:rsidR="009A46FC" w:rsidRDefault="00000000">
      <w:pPr>
        <w:spacing w:after="0" w:line="276" w:lineRule="auto"/>
        <w:jc w:val="both"/>
        <w:rPr>
          <w:rFonts w:ascii="Arial" w:eastAsia="Arial" w:hAnsi="Arial" w:cs="Arial"/>
          <w:i/>
          <w:sz w:val="24"/>
          <w:szCs w:val="24"/>
        </w:rPr>
      </w:pPr>
      <w:r>
        <w:rPr>
          <w:rFonts w:ascii="Arial" w:eastAsia="Arial" w:hAnsi="Arial" w:cs="Arial"/>
          <w:i/>
          <w:sz w:val="24"/>
          <w:szCs w:val="24"/>
        </w:rPr>
        <w:t>3.1.</w:t>
      </w:r>
      <w:r>
        <w:rPr>
          <w:rFonts w:ascii="Arial" w:eastAsia="Arial" w:hAnsi="Arial" w:cs="Arial"/>
          <w:sz w:val="24"/>
          <w:szCs w:val="24"/>
        </w:rPr>
        <w:t xml:space="preserve"> </w:t>
      </w:r>
      <w:r>
        <w:rPr>
          <w:rFonts w:ascii="Arial" w:eastAsia="Arial" w:hAnsi="Arial" w:cs="Arial"/>
          <w:i/>
          <w:sz w:val="24"/>
          <w:szCs w:val="24"/>
        </w:rPr>
        <w:t>Эдийн засгийн үр дагаврын хүрээнд</w:t>
      </w:r>
    </w:p>
    <w:p w14:paraId="0000001A" w14:textId="77777777" w:rsidR="009A46FC" w:rsidRDefault="009A46FC">
      <w:pPr>
        <w:spacing w:after="0" w:line="276" w:lineRule="auto"/>
        <w:jc w:val="both"/>
        <w:rPr>
          <w:rFonts w:ascii="Arial" w:eastAsia="Arial" w:hAnsi="Arial" w:cs="Arial"/>
          <w:i/>
          <w:sz w:val="24"/>
          <w:szCs w:val="24"/>
        </w:rPr>
      </w:pPr>
    </w:p>
    <w:p w14:paraId="0000001B" w14:textId="77777777" w:rsidR="009A46FC" w:rsidRDefault="00000000">
      <w:pPr>
        <w:spacing w:after="0" w:line="276" w:lineRule="auto"/>
        <w:jc w:val="both"/>
        <w:rPr>
          <w:rFonts w:ascii="Arial" w:eastAsia="Arial" w:hAnsi="Arial" w:cs="Arial"/>
          <w:sz w:val="24"/>
          <w:szCs w:val="24"/>
        </w:rPr>
      </w:pPr>
      <w:r>
        <w:rPr>
          <w:rFonts w:ascii="Arial" w:eastAsia="Arial" w:hAnsi="Arial" w:cs="Arial"/>
          <w:sz w:val="24"/>
          <w:szCs w:val="24"/>
        </w:rPr>
        <w:tab/>
        <w:t>Төсвийн тогтвортой байдлын тухай хуульд нэмэлт, өөрчлөлт оруулах тухай хуулийн төсөл батлагдсанаар төрөөс болон хувь хүн, хуулийн этгээдээс нэмэлт зардал шаардлагагүй. Иймд Хууль тогтоомжийн тухай хуулийн 12 дугаар зүйлийн 12.1.4 дэх заалтад заасан хууль тогтоомжийг хэрэгжүүлэхтэй холбогдуулан гарах зардлын тооцоог хийх  шаардлагагүй. Түүнчлэн төсвийн тусгай шаардлагыг бодитой хэрэгжүүлснээр байгалийн баялгаас хамааралтай төсвийн зарлагын өсөлтийг хязгаарлах, төсвийг үр ашигтай зарцуулах замаар улс орны эдийн засагт эерэг нөлөөлөл үзүүлнэ.</w:t>
      </w:r>
    </w:p>
    <w:p w14:paraId="0000001C" w14:textId="77777777" w:rsidR="009A46FC" w:rsidRDefault="009A46FC">
      <w:pPr>
        <w:spacing w:after="0" w:line="276" w:lineRule="auto"/>
        <w:jc w:val="both"/>
        <w:rPr>
          <w:rFonts w:ascii="Arial" w:eastAsia="Arial" w:hAnsi="Arial" w:cs="Arial"/>
          <w:sz w:val="24"/>
          <w:szCs w:val="24"/>
        </w:rPr>
      </w:pPr>
    </w:p>
    <w:p w14:paraId="0000001D" w14:textId="77777777" w:rsidR="009A46FC" w:rsidRDefault="00000000">
      <w:pPr>
        <w:spacing w:after="0" w:line="276" w:lineRule="auto"/>
        <w:jc w:val="both"/>
        <w:rPr>
          <w:rFonts w:ascii="Arial" w:eastAsia="Arial" w:hAnsi="Arial" w:cs="Arial"/>
          <w:i/>
          <w:sz w:val="24"/>
          <w:szCs w:val="24"/>
        </w:rPr>
      </w:pPr>
      <w:r>
        <w:rPr>
          <w:rFonts w:ascii="Arial" w:eastAsia="Arial" w:hAnsi="Arial" w:cs="Arial"/>
          <w:i/>
          <w:sz w:val="24"/>
          <w:szCs w:val="24"/>
        </w:rPr>
        <w:t>3.2. Нийгмийн үр дагаврын хүрээнд</w:t>
      </w:r>
    </w:p>
    <w:p w14:paraId="0000001E" w14:textId="77777777" w:rsidR="009A46FC" w:rsidRDefault="009A46FC">
      <w:pPr>
        <w:spacing w:after="0" w:line="276" w:lineRule="auto"/>
        <w:jc w:val="both"/>
        <w:rPr>
          <w:rFonts w:ascii="Arial" w:eastAsia="Arial" w:hAnsi="Arial" w:cs="Arial"/>
          <w:i/>
          <w:sz w:val="24"/>
          <w:szCs w:val="24"/>
        </w:rPr>
      </w:pPr>
    </w:p>
    <w:p w14:paraId="0000001F" w14:textId="4B37EC0E" w:rsidR="009A46FC" w:rsidRDefault="00000000">
      <w:pPr>
        <w:spacing w:after="0" w:line="276" w:lineRule="auto"/>
        <w:jc w:val="both"/>
        <w:rPr>
          <w:rFonts w:ascii="Arial" w:eastAsia="Arial" w:hAnsi="Arial" w:cs="Arial"/>
          <w:sz w:val="24"/>
          <w:szCs w:val="24"/>
        </w:rPr>
      </w:pPr>
      <w:r>
        <w:rPr>
          <w:rFonts w:ascii="Arial" w:eastAsia="Arial" w:hAnsi="Arial" w:cs="Arial"/>
          <w:i/>
          <w:sz w:val="24"/>
          <w:szCs w:val="24"/>
        </w:rPr>
        <w:tab/>
      </w:r>
      <w:r>
        <w:rPr>
          <w:rFonts w:ascii="Arial" w:eastAsia="Arial" w:hAnsi="Arial" w:cs="Arial"/>
          <w:sz w:val="24"/>
          <w:szCs w:val="24"/>
        </w:rPr>
        <w:t>Хуулийн төсөл батлагдсанаар өнөө болон ирээдүй цагийн иргэдийн байгалийн баялгийн үр өгөөжийг хүртэх эрх, ашиг хамгаалагдаж, төсвийн тогтвортой байх боломж нөхцөл бүрдэх нь ний</w:t>
      </w:r>
      <w:r w:rsidR="009067D8">
        <w:rPr>
          <w:rFonts w:ascii="Arial" w:eastAsia="Arial" w:hAnsi="Arial" w:cs="Arial"/>
          <w:sz w:val="24"/>
          <w:szCs w:val="24"/>
        </w:rPr>
        <w:t>г</w:t>
      </w:r>
      <w:r>
        <w:rPr>
          <w:rFonts w:ascii="Arial" w:eastAsia="Arial" w:hAnsi="Arial" w:cs="Arial"/>
          <w:sz w:val="24"/>
          <w:szCs w:val="24"/>
        </w:rPr>
        <w:t>мийн хөгжилд эерэг нөлөөлөл үзүүлнэ.</w:t>
      </w:r>
    </w:p>
    <w:p w14:paraId="00000020" w14:textId="77777777" w:rsidR="009A46FC" w:rsidRDefault="009A46FC">
      <w:pPr>
        <w:spacing w:after="0" w:line="276" w:lineRule="auto"/>
        <w:jc w:val="both"/>
        <w:rPr>
          <w:rFonts w:ascii="Arial" w:eastAsia="Arial" w:hAnsi="Arial" w:cs="Arial"/>
          <w:sz w:val="24"/>
          <w:szCs w:val="24"/>
        </w:rPr>
      </w:pPr>
    </w:p>
    <w:p w14:paraId="00000021" w14:textId="77777777" w:rsidR="009A46FC" w:rsidRDefault="00000000">
      <w:pPr>
        <w:spacing w:after="0" w:line="276" w:lineRule="auto"/>
        <w:jc w:val="both"/>
        <w:rPr>
          <w:rFonts w:ascii="Arial" w:eastAsia="Arial" w:hAnsi="Arial" w:cs="Arial"/>
          <w:i/>
          <w:sz w:val="24"/>
          <w:szCs w:val="24"/>
        </w:rPr>
      </w:pPr>
      <w:r>
        <w:rPr>
          <w:rFonts w:ascii="Arial" w:eastAsia="Arial" w:hAnsi="Arial" w:cs="Arial"/>
          <w:i/>
          <w:sz w:val="24"/>
          <w:szCs w:val="24"/>
        </w:rPr>
        <w:t>3.3. Хууль зүйн үр дагаврын хүрээнд</w:t>
      </w:r>
    </w:p>
    <w:p w14:paraId="00000022" w14:textId="77777777" w:rsidR="009A46FC" w:rsidRDefault="009A46FC">
      <w:pPr>
        <w:spacing w:after="0" w:line="276" w:lineRule="auto"/>
        <w:jc w:val="both"/>
        <w:rPr>
          <w:rFonts w:ascii="Arial" w:eastAsia="Arial" w:hAnsi="Arial" w:cs="Arial"/>
          <w:i/>
          <w:sz w:val="24"/>
          <w:szCs w:val="24"/>
        </w:rPr>
      </w:pPr>
    </w:p>
    <w:p w14:paraId="00000023" w14:textId="77777777" w:rsidR="009A46FC" w:rsidRDefault="00000000">
      <w:pPr>
        <w:spacing w:after="0" w:line="276" w:lineRule="auto"/>
        <w:ind w:firstLine="720"/>
        <w:jc w:val="both"/>
        <w:rPr>
          <w:rFonts w:ascii="Arial" w:eastAsia="Arial" w:hAnsi="Arial" w:cs="Arial"/>
          <w:sz w:val="24"/>
          <w:szCs w:val="24"/>
        </w:rPr>
      </w:pPr>
      <w:r>
        <w:rPr>
          <w:rFonts w:ascii="Arial" w:eastAsia="Arial" w:hAnsi="Arial" w:cs="Arial"/>
          <w:sz w:val="24"/>
          <w:szCs w:val="24"/>
        </w:rPr>
        <w:t xml:space="preserve">Хуулийн төсөл батлагдсанаар Монгол Улсын Үндсэн хуулийн Зургадугаар зүйлийн 2 дахь хэсэгт заасан байгалийн баялгийн үр өгөөжийг Үндэсний баялгийн </w:t>
      </w:r>
      <w:r>
        <w:rPr>
          <w:rFonts w:ascii="Arial" w:eastAsia="Arial" w:hAnsi="Arial" w:cs="Arial"/>
          <w:sz w:val="24"/>
          <w:szCs w:val="24"/>
        </w:rPr>
        <w:lastRenderedPageBreak/>
        <w:t xml:space="preserve">сангаар дамжуулан, өнөө болон ирээдүй үеийн иргэдэд тэгш, шударга хүртээх зорилго хангагдана. </w:t>
      </w:r>
    </w:p>
    <w:p w14:paraId="00000024" w14:textId="77777777" w:rsidR="009A46FC" w:rsidRDefault="009A46FC">
      <w:pPr>
        <w:spacing w:after="0" w:line="276" w:lineRule="auto"/>
        <w:ind w:firstLine="720"/>
        <w:jc w:val="both"/>
        <w:rPr>
          <w:rFonts w:ascii="Arial" w:eastAsia="Arial" w:hAnsi="Arial" w:cs="Arial"/>
          <w:sz w:val="24"/>
          <w:szCs w:val="24"/>
        </w:rPr>
      </w:pPr>
    </w:p>
    <w:p w14:paraId="00000025" w14:textId="77777777" w:rsidR="009A46FC" w:rsidRDefault="00000000">
      <w:pPr>
        <w:spacing w:after="0" w:line="276" w:lineRule="auto"/>
        <w:ind w:firstLine="540"/>
        <w:jc w:val="both"/>
        <w:rPr>
          <w:rFonts w:ascii="Arial" w:eastAsia="Arial" w:hAnsi="Arial" w:cs="Arial"/>
          <w:b/>
          <w:color w:val="000000"/>
          <w:sz w:val="24"/>
          <w:szCs w:val="24"/>
        </w:rPr>
      </w:pPr>
      <w:r>
        <w:rPr>
          <w:rFonts w:ascii="Arial" w:eastAsia="Arial" w:hAnsi="Arial" w:cs="Arial"/>
          <w:b/>
          <w:sz w:val="24"/>
          <w:szCs w:val="24"/>
        </w:rPr>
        <w:t>Дөрөв.</w:t>
      </w:r>
      <w:r>
        <w:rPr>
          <w:rFonts w:ascii="Arial" w:eastAsia="Arial" w:hAnsi="Arial" w:cs="Arial"/>
          <w:b/>
          <w:color w:val="000000"/>
          <w:sz w:val="24"/>
          <w:szCs w:val="24"/>
        </w:rPr>
        <w:t>Монгол Улсын Үндсэн хууль болон бусад хуультай хэрхэн уялдах, түүнийг хэрэгжүүлэхтэй холбогдуулан цаашид шинээр боловсруулах буюу нэмэлт, өөрчлөлт оруулах, хүчингүй болсонд тооцох хуулийн төслийн талаар</w:t>
      </w:r>
    </w:p>
    <w:p w14:paraId="00000026" w14:textId="77777777" w:rsidR="009A46FC" w:rsidRDefault="009A46FC">
      <w:pPr>
        <w:spacing w:after="0" w:line="240" w:lineRule="auto"/>
        <w:ind w:firstLine="540"/>
        <w:jc w:val="both"/>
        <w:rPr>
          <w:rFonts w:ascii="Arial" w:eastAsia="Arial" w:hAnsi="Arial" w:cs="Arial"/>
          <w:b/>
          <w:color w:val="000000"/>
          <w:sz w:val="24"/>
          <w:szCs w:val="24"/>
        </w:rPr>
      </w:pPr>
    </w:p>
    <w:p w14:paraId="00000027" w14:textId="09A3BCE0" w:rsidR="009A46FC" w:rsidRDefault="00000000">
      <w:pPr>
        <w:spacing w:after="0" w:line="276" w:lineRule="auto"/>
        <w:ind w:firstLine="720"/>
        <w:jc w:val="both"/>
        <w:rPr>
          <w:rFonts w:ascii="Arial" w:eastAsia="Arial" w:hAnsi="Arial" w:cs="Arial"/>
          <w:sz w:val="24"/>
          <w:szCs w:val="24"/>
        </w:rPr>
      </w:pPr>
      <w:r>
        <w:rPr>
          <w:rFonts w:ascii="Arial" w:eastAsia="Arial" w:hAnsi="Arial" w:cs="Arial"/>
          <w:color w:val="000000"/>
          <w:sz w:val="24"/>
          <w:szCs w:val="24"/>
        </w:rPr>
        <w:t>Хуулийн</w:t>
      </w:r>
      <w:r>
        <w:rPr>
          <w:rFonts w:ascii="Arial" w:eastAsia="Arial" w:hAnsi="Arial" w:cs="Arial"/>
          <w:b/>
          <w:color w:val="000000"/>
          <w:sz w:val="24"/>
          <w:szCs w:val="24"/>
        </w:rPr>
        <w:t xml:space="preserve"> </w:t>
      </w:r>
      <w:r>
        <w:rPr>
          <w:rFonts w:ascii="Arial" w:eastAsia="Arial" w:hAnsi="Arial" w:cs="Arial"/>
          <w:color w:val="000000"/>
          <w:sz w:val="24"/>
          <w:szCs w:val="24"/>
        </w:rPr>
        <w:t>төсөл нь Монгол Улсын Үндсэн хууль болон бусад хууль тогтоомжид нийцсэн</w:t>
      </w:r>
      <w:r w:rsidR="009067D8">
        <w:rPr>
          <w:rFonts w:ascii="Arial" w:eastAsia="Arial" w:hAnsi="Arial" w:cs="Arial"/>
          <w:color w:val="000000"/>
          <w:sz w:val="24"/>
          <w:szCs w:val="24"/>
        </w:rPr>
        <w:t xml:space="preserve"> бөгөөд бусад хууль тогтоомжид нэмэлт, өөрчлөлт оруулах шаардлагагүй</w:t>
      </w:r>
      <w:r>
        <w:rPr>
          <w:rFonts w:ascii="Arial" w:eastAsia="Arial" w:hAnsi="Arial" w:cs="Arial"/>
          <w:color w:val="000000"/>
          <w:sz w:val="24"/>
          <w:szCs w:val="24"/>
        </w:rPr>
        <w:t>.</w:t>
      </w:r>
      <w:r>
        <w:rPr>
          <w:rFonts w:ascii="Arial" w:eastAsia="Arial" w:hAnsi="Arial" w:cs="Arial"/>
          <w:sz w:val="24"/>
          <w:szCs w:val="24"/>
        </w:rPr>
        <w:t xml:space="preserve"> </w:t>
      </w:r>
    </w:p>
    <w:p w14:paraId="00000028" w14:textId="77777777" w:rsidR="009A46FC" w:rsidRDefault="009A46FC">
      <w:pPr>
        <w:spacing w:after="0" w:line="276" w:lineRule="auto"/>
        <w:rPr>
          <w:rFonts w:ascii="Arial" w:eastAsia="Arial" w:hAnsi="Arial" w:cs="Arial"/>
          <w:b/>
          <w:sz w:val="24"/>
          <w:szCs w:val="24"/>
        </w:rPr>
      </w:pPr>
    </w:p>
    <w:p w14:paraId="00000029" w14:textId="77777777" w:rsidR="009A46FC" w:rsidRDefault="009A46FC">
      <w:pPr>
        <w:spacing w:after="0" w:line="276" w:lineRule="auto"/>
        <w:jc w:val="center"/>
        <w:rPr>
          <w:rFonts w:ascii="Arial" w:eastAsia="Arial" w:hAnsi="Arial" w:cs="Arial"/>
          <w:b/>
          <w:color w:val="FF0000"/>
          <w:sz w:val="24"/>
          <w:szCs w:val="24"/>
        </w:rPr>
      </w:pPr>
    </w:p>
    <w:p w14:paraId="0000002A" w14:textId="77777777" w:rsidR="009A46FC" w:rsidRDefault="009A46FC">
      <w:pPr>
        <w:spacing w:after="0" w:line="276" w:lineRule="auto"/>
        <w:jc w:val="center"/>
        <w:rPr>
          <w:rFonts w:ascii="Arial" w:eastAsia="Arial" w:hAnsi="Arial" w:cs="Arial"/>
          <w:b/>
          <w:color w:val="FF0000"/>
          <w:sz w:val="24"/>
          <w:szCs w:val="24"/>
        </w:rPr>
      </w:pPr>
    </w:p>
    <w:p w14:paraId="0000002B" w14:textId="77777777" w:rsidR="009A46FC" w:rsidRDefault="009A46FC">
      <w:pPr>
        <w:spacing w:after="0" w:line="276" w:lineRule="auto"/>
        <w:jc w:val="center"/>
        <w:rPr>
          <w:rFonts w:ascii="Arial" w:eastAsia="Arial" w:hAnsi="Arial" w:cs="Arial"/>
          <w:b/>
          <w:sz w:val="24"/>
          <w:szCs w:val="24"/>
        </w:rPr>
      </w:pPr>
    </w:p>
    <w:p w14:paraId="0000002C" w14:textId="77777777" w:rsidR="009A46FC" w:rsidRDefault="00000000">
      <w:pPr>
        <w:spacing w:after="0" w:line="276" w:lineRule="auto"/>
        <w:jc w:val="center"/>
        <w:rPr>
          <w:rFonts w:ascii="Arial" w:eastAsia="Arial" w:hAnsi="Arial" w:cs="Arial"/>
          <w:b/>
          <w:sz w:val="24"/>
          <w:szCs w:val="24"/>
        </w:rPr>
      </w:pPr>
      <w:r>
        <w:rPr>
          <w:rFonts w:ascii="Arial" w:eastAsia="Arial" w:hAnsi="Arial" w:cs="Arial"/>
          <w:b/>
          <w:sz w:val="24"/>
          <w:szCs w:val="24"/>
        </w:rPr>
        <w:t>ХУУЛЬ САНААЧЛАГЧ</w:t>
      </w:r>
    </w:p>
    <w:p w14:paraId="0000002D" w14:textId="77777777" w:rsidR="009A46FC" w:rsidRDefault="009A46FC">
      <w:pPr>
        <w:spacing w:after="0" w:line="276" w:lineRule="auto"/>
        <w:jc w:val="center"/>
        <w:rPr>
          <w:rFonts w:ascii="Arial" w:eastAsia="Arial" w:hAnsi="Arial" w:cs="Arial"/>
          <w:b/>
          <w:sz w:val="24"/>
          <w:szCs w:val="24"/>
        </w:rPr>
      </w:pPr>
    </w:p>
    <w:p w14:paraId="0000002E" w14:textId="77777777" w:rsidR="009A46FC" w:rsidRDefault="009A46FC">
      <w:pPr>
        <w:spacing w:line="276" w:lineRule="auto"/>
        <w:rPr>
          <w:sz w:val="24"/>
          <w:szCs w:val="24"/>
        </w:rPr>
      </w:pPr>
    </w:p>
    <w:p w14:paraId="0000002F" w14:textId="77777777" w:rsidR="009A46FC" w:rsidRDefault="009A46FC">
      <w:pPr>
        <w:spacing w:line="276" w:lineRule="auto"/>
        <w:rPr>
          <w:sz w:val="24"/>
          <w:szCs w:val="24"/>
        </w:rPr>
      </w:pPr>
    </w:p>
    <w:p w14:paraId="00000030" w14:textId="77777777" w:rsidR="009A46FC" w:rsidRDefault="009A46FC">
      <w:pPr>
        <w:spacing w:line="276" w:lineRule="auto"/>
        <w:rPr>
          <w:sz w:val="24"/>
          <w:szCs w:val="24"/>
        </w:rPr>
      </w:pPr>
    </w:p>
    <w:p w14:paraId="00000031" w14:textId="77777777" w:rsidR="009A46FC" w:rsidRDefault="009A46FC">
      <w:pPr>
        <w:spacing w:line="276" w:lineRule="auto"/>
        <w:rPr>
          <w:sz w:val="24"/>
          <w:szCs w:val="24"/>
        </w:rPr>
      </w:pPr>
    </w:p>
    <w:p w14:paraId="00000032" w14:textId="77777777" w:rsidR="009A46FC" w:rsidRDefault="009A46FC">
      <w:pPr>
        <w:spacing w:line="276" w:lineRule="auto"/>
        <w:rPr>
          <w:sz w:val="24"/>
          <w:szCs w:val="24"/>
        </w:rPr>
      </w:pPr>
    </w:p>
    <w:p w14:paraId="00000033" w14:textId="77777777" w:rsidR="009A46FC" w:rsidRDefault="009A46FC">
      <w:pPr>
        <w:spacing w:line="276" w:lineRule="auto"/>
        <w:rPr>
          <w:sz w:val="24"/>
          <w:szCs w:val="24"/>
        </w:rPr>
      </w:pPr>
    </w:p>
    <w:p w14:paraId="00000034" w14:textId="77777777" w:rsidR="009A46FC" w:rsidRDefault="009A46FC">
      <w:pPr>
        <w:spacing w:line="276" w:lineRule="auto"/>
        <w:rPr>
          <w:sz w:val="24"/>
          <w:szCs w:val="24"/>
        </w:rPr>
      </w:pPr>
    </w:p>
    <w:p w14:paraId="00000035" w14:textId="77777777" w:rsidR="009A46FC" w:rsidRDefault="009A46FC">
      <w:pPr>
        <w:spacing w:line="276" w:lineRule="auto"/>
        <w:rPr>
          <w:sz w:val="24"/>
          <w:szCs w:val="24"/>
        </w:rPr>
      </w:pPr>
    </w:p>
    <w:p w14:paraId="00000036" w14:textId="77777777" w:rsidR="009A46FC" w:rsidRDefault="009A46FC">
      <w:pPr>
        <w:spacing w:line="276" w:lineRule="auto"/>
        <w:rPr>
          <w:sz w:val="24"/>
          <w:szCs w:val="24"/>
        </w:rPr>
      </w:pPr>
    </w:p>
    <w:p w14:paraId="00000037" w14:textId="77777777" w:rsidR="009A46FC" w:rsidRDefault="009A46FC">
      <w:pPr>
        <w:spacing w:line="276" w:lineRule="auto"/>
        <w:rPr>
          <w:sz w:val="24"/>
          <w:szCs w:val="24"/>
        </w:rPr>
      </w:pPr>
    </w:p>
    <w:p w14:paraId="00000038" w14:textId="77777777" w:rsidR="009A46FC" w:rsidRDefault="009A46FC">
      <w:pPr>
        <w:spacing w:line="276" w:lineRule="auto"/>
        <w:rPr>
          <w:sz w:val="24"/>
          <w:szCs w:val="24"/>
        </w:rPr>
      </w:pPr>
    </w:p>
    <w:p w14:paraId="00000039" w14:textId="77777777" w:rsidR="009A46FC" w:rsidRDefault="009A46FC">
      <w:pPr>
        <w:spacing w:line="276" w:lineRule="auto"/>
        <w:rPr>
          <w:sz w:val="24"/>
          <w:szCs w:val="24"/>
        </w:rPr>
      </w:pPr>
    </w:p>
    <w:sectPr w:rsidR="009A46FC" w:rsidSect="009067D8">
      <w:footerReference w:type="even" r:id="rId7"/>
      <w:footerReference w:type="default" r:id="rId8"/>
      <w:pgSz w:w="12240" w:h="15840"/>
      <w:pgMar w:top="1134" w:right="851"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5551" w14:textId="77777777" w:rsidR="002F5522" w:rsidRDefault="002F5522">
      <w:pPr>
        <w:spacing w:after="0" w:line="240" w:lineRule="auto"/>
      </w:pPr>
      <w:r>
        <w:separator/>
      </w:r>
    </w:p>
  </w:endnote>
  <w:endnote w:type="continuationSeparator" w:id="0">
    <w:p w14:paraId="02437ED3" w14:textId="77777777" w:rsidR="002F5522" w:rsidRDefault="002F5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9A46FC"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3B" w14:textId="77777777" w:rsidR="009A46FC" w:rsidRDefault="009A46F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359A7DBF" w:rsidR="009A46FC"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96D5F">
      <w:rPr>
        <w:rFonts w:ascii="Arial" w:eastAsia="Arial" w:hAnsi="Arial" w:cs="Arial"/>
        <w:noProof/>
        <w:color w:val="000000"/>
      </w:rPr>
      <w:t>1</w:t>
    </w:r>
    <w:r>
      <w:rPr>
        <w:rFonts w:ascii="Arial" w:eastAsia="Arial" w:hAnsi="Arial" w:cs="Arial"/>
        <w:color w:val="000000"/>
      </w:rPr>
      <w:fldChar w:fldCharType="end"/>
    </w:r>
  </w:p>
  <w:p w14:paraId="0000003D" w14:textId="77777777" w:rsidR="009A46FC" w:rsidRDefault="009A46FC">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BAD1" w14:textId="77777777" w:rsidR="002F5522" w:rsidRDefault="002F5522">
      <w:pPr>
        <w:spacing w:after="0" w:line="240" w:lineRule="auto"/>
      </w:pPr>
      <w:r>
        <w:separator/>
      </w:r>
    </w:p>
  </w:footnote>
  <w:footnote w:type="continuationSeparator" w:id="0">
    <w:p w14:paraId="37F3EC8E" w14:textId="77777777" w:rsidR="002F5522" w:rsidRDefault="002F55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FC"/>
    <w:rsid w:val="002F5522"/>
    <w:rsid w:val="005613A9"/>
    <w:rsid w:val="00896D5F"/>
    <w:rsid w:val="009067D8"/>
    <w:rsid w:val="009A46FC"/>
    <w:rsid w:val="00A15D58"/>
    <w:rsid w:val="00E405A1"/>
    <w:rsid w:val="00F77B8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1D60"/>
  <w15:docId w15:val="{A66ADD68-F68F-294A-8149-FBA08963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3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5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MediumGrid2Char">
    <w:name w:val="Medium Grid 2 Char"/>
    <w:link w:val="MediumGrid2"/>
    <w:uiPriority w:val="1"/>
    <w:semiHidden/>
    <w:locked/>
    <w:rsid w:val="006D1432"/>
    <w:rPr>
      <w:rFonts w:ascii="Times New Roman" w:hAnsi="Times New Roman"/>
      <w:sz w:val="24"/>
      <w:szCs w:val="22"/>
    </w:rPr>
  </w:style>
  <w:style w:type="table" w:styleId="MediumGrid2">
    <w:name w:val="Medium Grid 2"/>
    <w:basedOn w:val="TableNormal"/>
    <w:link w:val="MediumGrid2Char"/>
    <w:uiPriority w:val="1"/>
    <w:semiHidden/>
    <w:unhideWhenUsed/>
    <w:rsid w:val="006D1432"/>
    <w:rPr>
      <w:rFonts w:ascii="Times New Roman" w:hAnsi="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NormalWeb">
    <w:name w:val="Normal (Web)"/>
    <w:basedOn w:val="Normal"/>
    <w:uiPriority w:val="99"/>
    <w:unhideWhenUsed/>
    <w:rsid w:val="006D14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D1432"/>
    <w:rPr>
      <w:b/>
      <w:bCs/>
    </w:rPr>
  </w:style>
  <w:style w:type="paragraph" w:styleId="Footer">
    <w:name w:val="footer"/>
    <w:basedOn w:val="Normal"/>
    <w:link w:val="FooterChar"/>
    <w:uiPriority w:val="99"/>
    <w:unhideWhenUsed/>
    <w:rsid w:val="00770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18D"/>
    <w:rPr>
      <w:sz w:val="22"/>
      <w:szCs w:val="22"/>
      <w:lang w:val="en-US"/>
    </w:rPr>
  </w:style>
  <w:style w:type="character" w:styleId="PageNumber">
    <w:name w:val="page number"/>
    <w:basedOn w:val="DefaultParagraphFont"/>
    <w:uiPriority w:val="99"/>
    <w:semiHidden/>
    <w:unhideWhenUsed/>
    <w:rsid w:val="0077018D"/>
  </w:style>
  <w:style w:type="paragraph" w:styleId="Header">
    <w:name w:val="header"/>
    <w:basedOn w:val="Normal"/>
    <w:link w:val="HeaderChar"/>
    <w:uiPriority w:val="99"/>
    <w:unhideWhenUsed/>
    <w:rsid w:val="00770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18D"/>
    <w:rPr>
      <w:sz w:val="22"/>
      <w:szCs w:val="22"/>
      <w:lang w:val="en-US"/>
    </w:rPr>
  </w:style>
  <w:style w:type="paragraph" w:styleId="ListParagraph">
    <w:name w:val="List Paragraph"/>
    <w:basedOn w:val="Normal"/>
    <w:uiPriority w:val="34"/>
    <w:qFormat/>
    <w:rsid w:val="00524E7E"/>
    <w:pPr>
      <w:ind w:left="720"/>
      <w:contextualSpacing/>
    </w:pPr>
  </w:style>
  <w:style w:type="paragraph" w:styleId="NoSpacing">
    <w:name w:val="No Spacing"/>
    <w:aliases w:val="No Indent,Dot point 1"/>
    <w:link w:val="NoSpacingChar"/>
    <w:uiPriority w:val="1"/>
    <w:qFormat/>
    <w:rsid w:val="001F7153"/>
    <w:rPr>
      <w:lang w:eastAsia="mn-MN"/>
    </w:rPr>
  </w:style>
  <w:style w:type="character" w:customStyle="1" w:styleId="NoSpacingChar">
    <w:name w:val="No Spacing Char"/>
    <w:aliases w:val="No Indent Char,Dot point 1 Char"/>
    <w:link w:val="NoSpacing"/>
    <w:uiPriority w:val="1"/>
    <w:qFormat/>
    <w:locked/>
    <w:rsid w:val="001F7153"/>
    <w:rPr>
      <w:rFonts w:ascii="Calibri" w:eastAsia="Calibri" w:hAnsi="Calibri" w:cs="Calibri"/>
      <w:sz w:val="22"/>
      <w:szCs w:val="22"/>
      <w:lang w:val="mn-MN" w:eastAsia="mn-MN"/>
    </w:rPr>
  </w:style>
  <w:style w:type="character" w:customStyle="1" w:styleId="TitleChar">
    <w:name w:val="Title Char"/>
    <w:basedOn w:val="DefaultParagraphFont"/>
    <w:link w:val="Title"/>
    <w:uiPriority w:val="10"/>
    <w:rsid w:val="004D5E45"/>
    <w:rPr>
      <w:rFonts w:asciiTheme="majorHAnsi" w:eastAsiaTheme="majorEastAsia" w:hAnsiTheme="majorHAnsi" w:cstheme="majorBidi"/>
      <w:spacing w:val="-10"/>
      <w:kern w:val="28"/>
      <w:sz w:val="56"/>
      <w:szCs w:val="56"/>
      <w:lang w:val="en-US"/>
    </w:rPr>
  </w:style>
  <w:style w:type="paragraph" w:styleId="FootnoteText">
    <w:name w:val="footnote text"/>
    <w:basedOn w:val="Normal"/>
    <w:link w:val="FootnoteTextChar"/>
    <w:uiPriority w:val="99"/>
    <w:semiHidden/>
    <w:unhideWhenUsed/>
    <w:rsid w:val="004D5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E45"/>
    <w:rPr>
      <w:sz w:val="20"/>
      <w:szCs w:val="20"/>
      <w:lang w:val="en-US"/>
    </w:rPr>
  </w:style>
  <w:style w:type="character" w:styleId="FootnoteReference">
    <w:name w:val="footnote reference"/>
    <w:basedOn w:val="DefaultParagraphFont"/>
    <w:uiPriority w:val="99"/>
    <w:unhideWhenUsed/>
    <w:qFormat/>
    <w:rsid w:val="004D5E45"/>
    <w:rPr>
      <w:vertAlign w:val="superscript"/>
    </w:rPr>
  </w:style>
  <w:style w:type="character" w:customStyle="1" w:styleId="pull-right">
    <w:name w:val="pull-right"/>
    <w:basedOn w:val="DefaultParagraphFont"/>
    <w:rsid w:val="00C247C1"/>
  </w:style>
  <w:style w:type="character" w:customStyle="1" w:styleId="highlight">
    <w:name w:val="highlight"/>
    <w:basedOn w:val="DefaultParagraphFont"/>
    <w:rsid w:val="00C247C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jj4H9/lQNtnBU5i4/Mf8ubx7A==">CgMxLjA4AHIhMXNQZzJLR3FpZjc5Tnd5TGNuWTd6bExiZGRJRG82eHRW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1255</Words>
  <Characters>7157</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dcterms:created xsi:type="dcterms:W3CDTF">2024-04-16T04:02:00Z</dcterms:created>
  <dcterms:modified xsi:type="dcterms:W3CDTF">2025-02-04T08:34:00Z</dcterms:modified>
</cp:coreProperties>
</file>