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8426A"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БАТЛАВ.</w:t>
      </w:r>
    </w:p>
    <w:p w14:paraId="00000002" w14:textId="77777777" w:rsidR="00C8426A" w:rsidRDefault="00000000">
      <w:pPr>
        <w:widowControl w:val="0"/>
        <w:jc w:val="right"/>
        <w:rPr>
          <w:rFonts w:ascii="Arial" w:eastAsia="Arial" w:hAnsi="Arial" w:cs="Arial"/>
          <w:b/>
          <w:color w:val="000000"/>
          <w:highlight w:val="white"/>
        </w:rPr>
      </w:pPr>
      <w:r>
        <w:rPr>
          <w:rFonts w:ascii="Arial" w:eastAsia="Arial" w:hAnsi="Arial" w:cs="Arial"/>
          <w:b/>
          <w:color w:val="000000"/>
          <w:highlight w:val="white"/>
        </w:rPr>
        <w:t>УЛСЫН ИХ ХУРЛЫН ГИШҮҮН</w:t>
      </w:r>
    </w:p>
    <w:p w14:paraId="00000003" w14:textId="77777777" w:rsidR="00C8426A"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w:t>
      </w:r>
    </w:p>
    <w:p w14:paraId="00000004" w14:textId="77777777" w:rsidR="00C8426A" w:rsidRDefault="00C8426A">
      <w:pPr>
        <w:widowControl w:val="0"/>
        <w:jc w:val="center"/>
        <w:rPr>
          <w:rFonts w:ascii="Arial" w:eastAsia="Arial" w:hAnsi="Arial" w:cs="Arial"/>
          <w:b/>
          <w:color w:val="000000"/>
          <w:highlight w:val="white"/>
        </w:rPr>
      </w:pPr>
    </w:p>
    <w:p w14:paraId="00000005" w14:textId="77777777" w:rsidR="00C8426A" w:rsidRDefault="00000000">
      <w:pPr>
        <w:widowControl w:val="0"/>
        <w:jc w:val="center"/>
        <w:rPr>
          <w:rFonts w:ascii="Arial" w:eastAsia="Arial" w:hAnsi="Arial" w:cs="Arial"/>
          <w:b/>
          <w:color w:val="000000"/>
          <w:highlight w:val="white"/>
        </w:rPr>
      </w:pPr>
      <w:r>
        <w:rPr>
          <w:rFonts w:ascii="Arial" w:eastAsia="Arial" w:hAnsi="Arial" w:cs="Arial"/>
          <w:b/>
          <w:color w:val="000000"/>
          <w:highlight w:val="white"/>
        </w:rPr>
        <w:t xml:space="preserve">                                                                                         ПҮРЭВИЙН БАТЧИМЭГ</w:t>
      </w:r>
    </w:p>
    <w:p w14:paraId="00000006" w14:textId="77777777" w:rsidR="00C8426A" w:rsidRDefault="00C8426A">
      <w:pPr>
        <w:ind w:right="-450"/>
        <w:jc w:val="center"/>
        <w:rPr>
          <w:rFonts w:ascii="Arial" w:eastAsia="Arial" w:hAnsi="Arial" w:cs="Arial"/>
          <w:b/>
          <w:color w:val="000000"/>
        </w:rPr>
      </w:pPr>
    </w:p>
    <w:p w14:paraId="00000007" w14:textId="77777777" w:rsidR="00C8426A" w:rsidRDefault="00C8426A">
      <w:pPr>
        <w:ind w:right="-450"/>
        <w:jc w:val="center"/>
        <w:rPr>
          <w:rFonts w:ascii="Arial" w:eastAsia="Arial" w:hAnsi="Arial" w:cs="Arial"/>
          <w:b/>
          <w:color w:val="000000"/>
        </w:rPr>
      </w:pPr>
    </w:p>
    <w:p w14:paraId="00000008" w14:textId="77777777" w:rsidR="00C8426A" w:rsidRDefault="00000000">
      <w:pPr>
        <w:ind w:right="-450"/>
        <w:jc w:val="center"/>
        <w:rPr>
          <w:rFonts w:ascii="Arial" w:eastAsia="Arial" w:hAnsi="Arial" w:cs="Arial"/>
          <w:b/>
        </w:rPr>
      </w:pPr>
      <w:r>
        <w:rPr>
          <w:rFonts w:ascii="Arial" w:eastAsia="Arial" w:hAnsi="Arial" w:cs="Arial"/>
          <w:b/>
        </w:rPr>
        <w:t>ЗАМЫН ХӨДӨЛГӨӨНИЙ АЮУЛГҮЙ БАЙДЛЫН ТУХАЙ</w:t>
      </w:r>
    </w:p>
    <w:p w14:paraId="00000009" w14:textId="77777777" w:rsidR="00C8426A" w:rsidRDefault="00000000">
      <w:pPr>
        <w:ind w:right="-450"/>
        <w:jc w:val="center"/>
        <w:rPr>
          <w:rFonts w:ascii="Arial" w:eastAsia="Arial" w:hAnsi="Arial" w:cs="Arial"/>
          <w:b/>
        </w:rPr>
      </w:pPr>
      <w:r>
        <w:rPr>
          <w:rFonts w:ascii="Arial" w:eastAsia="Arial" w:hAnsi="Arial" w:cs="Arial"/>
          <w:b/>
        </w:rPr>
        <w:t xml:space="preserve">ХУУЛЬД НЭМЭЛТ, ӨӨРЧЛӨЛТ ОРУУЛАХ ТУХАЙ </w:t>
      </w:r>
    </w:p>
    <w:p w14:paraId="0000000A" w14:textId="77777777" w:rsidR="00C8426A" w:rsidRDefault="00000000">
      <w:pPr>
        <w:ind w:right="-450"/>
        <w:jc w:val="center"/>
        <w:rPr>
          <w:rFonts w:ascii="Arial" w:eastAsia="Arial" w:hAnsi="Arial" w:cs="Arial"/>
          <w:b/>
        </w:rPr>
      </w:pPr>
      <w:r>
        <w:rPr>
          <w:rFonts w:ascii="Arial" w:eastAsia="Arial" w:hAnsi="Arial" w:cs="Arial"/>
          <w:b/>
        </w:rPr>
        <w:t>ХУУЛИЙН ТӨСЛИЙН ҮЗЭЛ БАРИМТЛАЛ</w:t>
      </w:r>
    </w:p>
    <w:p w14:paraId="0000000B" w14:textId="77777777" w:rsidR="00C8426A" w:rsidRDefault="00000000">
      <w:pPr>
        <w:jc w:val="both"/>
        <w:rPr>
          <w:rFonts w:ascii="Arial" w:eastAsia="Arial" w:hAnsi="Arial" w:cs="Arial"/>
          <w:b/>
          <w:highlight w:val="white"/>
        </w:rPr>
      </w:pPr>
      <w:r>
        <w:rPr>
          <w:rFonts w:ascii="Arial" w:eastAsia="Arial" w:hAnsi="Arial" w:cs="Arial"/>
          <w:b/>
          <w:highlight w:val="white"/>
        </w:rPr>
        <w:tab/>
      </w:r>
    </w:p>
    <w:p w14:paraId="0000000C" w14:textId="77777777" w:rsidR="00C8426A" w:rsidRDefault="00C8426A">
      <w:pPr>
        <w:ind w:firstLine="720"/>
        <w:jc w:val="both"/>
        <w:rPr>
          <w:rFonts w:ascii="Arial" w:eastAsia="Arial" w:hAnsi="Arial" w:cs="Arial"/>
          <w:b/>
          <w:highlight w:val="white"/>
        </w:rPr>
      </w:pPr>
    </w:p>
    <w:p w14:paraId="0000000D" w14:textId="77777777" w:rsidR="00C8426A" w:rsidRDefault="00000000">
      <w:pPr>
        <w:ind w:firstLine="720"/>
        <w:jc w:val="both"/>
        <w:rPr>
          <w:rFonts w:ascii="Arial" w:eastAsia="Arial" w:hAnsi="Arial" w:cs="Arial"/>
          <w:b/>
          <w:highlight w:val="white"/>
        </w:rPr>
      </w:pPr>
      <w:r>
        <w:rPr>
          <w:rFonts w:ascii="Arial" w:eastAsia="Arial" w:hAnsi="Arial" w:cs="Arial"/>
          <w:b/>
          <w:highlight w:val="white"/>
        </w:rPr>
        <w:t>Нэг.Хуулийн төсөл боловсруулах болсон үндэслэл, шаардлага</w:t>
      </w:r>
    </w:p>
    <w:p w14:paraId="0000000E" w14:textId="77777777" w:rsidR="00C8426A" w:rsidRDefault="00C8426A">
      <w:pPr>
        <w:ind w:firstLine="567"/>
        <w:jc w:val="both"/>
        <w:rPr>
          <w:rFonts w:ascii="Arial" w:eastAsia="Arial" w:hAnsi="Arial" w:cs="Arial"/>
          <w:b/>
          <w:highlight w:val="white"/>
        </w:rPr>
      </w:pPr>
    </w:p>
    <w:p w14:paraId="0000000F" w14:textId="77777777" w:rsidR="00C8426A" w:rsidRDefault="00000000">
      <w:pPr>
        <w:numPr>
          <w:ilvl w:val="1"/>
          <w:numId w:val="2"/>
        </w:numPr>
        <w:pBdr>
          <w:top w:val="nil"/>
          <w:left w:val="nil"/>
          <w:bottom w:val="nil"/>
          <w:right w:val="nil"/>
          <w:between w:val="nil"/>
        </w:pBdr>
        <w:ind w:left="1134" w:hanging="414"/>
        <w:jc w:val="both"/>
        <w:rPr>
          <w:rFonts w:ascii="Arial" w:eastAsia="Arial" w:hAnsi="Arial" w:cs="Arial"/>
          <w:b/>
          <w:color w:val="000000"/>
          <w:highlight w:val="white"/>
        </w:rPr>
      </w:pPr>
      <w:r>
        <w:rPr>
          <w:rFonts w:ascii="Arial" w:eastAsia="Arial" w:hAnsi="Arial" w:cs="Arial"/>
          <w:b/>
          <w:color w:val="000000"/>
          <w:highlight w:val="white"/>
        </w:rPr>
        <w:t>Хууль зүйн үндэслэл:</w:t>
      </w:r>
    </w:p>
    <w:p w14:paraId="00000010" w14:textId="77777777" w:rsidR="00C8426A" w:rsidRDefault="00C8426A">
      <w:pPr>
        <w:ind w:firstLine="720"/>
        <w:jc w:val="both"/>
        <w:rPr>
          <w:rFonts w:ascii="Arial" w:eastAsia="Arial" w:hAnsi="Arial" w:cs="Arial"/>
          <w:color w:val="000000"/>
          <w:highlight w:val="white"/>
        </w:rPr>
      </w:pPr>
    </w:p>
    <w:p w14:paraId="00000011" w14:textId="77777777" w:rsidR="00C8426A" w:rsidRDefault="00000000">
      <w:pPr>
        <w:ind w:firstLine="720"/>
        <w:jc w:val="both"/>
        <w:rPr>
          <w:rFonts w:ascii="Arial" w:eastAsia="Arial" w:hAnsi="Arial" w:cs="Arial"/>
          <w:color w:val="000000"/>
          <w:highlight w:val="white"/>
        </w:rPr>
      </w:pPr>
      <w:r>
        <w:rPr>
          <w:rFonts w:ascii="Arial" w:eastAsia="Arial" w:hAnsi="Arial" w:cs="Arial"/>
          <w:color w:val="000000"/>
          <w:highlight w:val="white"/>
        </w:rPr>
        <w:t>Монгол Улсын Үндсэн хуулийн Арван зургадугаар зүйлд Монгол Улсын иргэн дараахь үндсэн эрх, эрх чөлөөг баталгаатай эдэлнэ: 1/амьд явах; 2/эрүүл,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Арван зургадугаар зүйлийн 11 дэх хэсэгт “...хүүхдийн ашиг сонирхлыг төр хамгаална” гэж, Тавдугаар зүйлийн 3 дахь хэсэгт “</w:t>
      </w:r>
      <w:r>
        <w:rPr>
          <w:rFonts w:ascii="Arial" w:eastAsia="Arial" w:hAnsi="Arial" w:cs="Arial"/>
          <w:color w:val="000000"/>
        </w:rPr>
        <w:t>Өмчлөгчийн эрхийг гагцхүү хуульд заасан үндэслэлээр хязгаарлаж болно.</w:t>
      </w:r>
      <w:r>
        <w:rPr>
          <w:rFonts w:ascii="Arial" w:eastAsia="Arial" w:hAnsi="Arial" w:cs="Arial"/>
          <w:color w:val="000000"/>
          <w:highlight w:val="white"/>
        </w:rPr>
        <w:t>” гэж, мөн “Монгол улсын үндэсний аюулгүй байдлын үзэл баримтлал”-ын 3.4-т “Монгол хүний эрүүл, аюулгүй амьдрах таатай орчин, нөхцөлийг бүрдүүлэх” гэж тус тус заасан.</w:t>
      </w:r>
    </w:p>
    <w:p w14:paraId="00000012" w14:textId="77777777" w:rsidR="00C8426A" w:rsidRDefault="00C8426A">
      <w:pPr>
        <w:ind w:firstLine="720"/>
        <w:jc w:val="both"/>
        <w:rPr>
          <w:rFonts w:ascii="Arial" w:eastAsia="Arial" w:hAnsi="Arial" w:cs="Arial"/>
          <w:color w:val="000000"/>
          <w:highlight w:val="white"/>
        </w:rPr>
      </w:pPr>
    </w:p>
    <w:p w14:paraId="00000013" w14:textId="77777777" w:rsidR="00C8426A" w:rsidRDefault="00000000">
      <w:pPr>
        <w:ind w:firstLine="720"/>
        <w:jc w:val="both"/>
        <w:rPr>
          <w:rFonts w:ascii="Arial" w:eastAsia="Arial" w:hAnsi="Arial" w:cs="Arial"/>
        </w:rPr>
      </w:pPr>
      <w:r>
        <w:rPr>
          <w:rFonts w:ascii="Arial" w:eastAsia="Arial" w:hAnsi="Arial" w:cs="Arial"/>
        </w:rPr>
        <w:t>Сүүлийн жилүүдэд манай улсад иргэд, ялангуяа 18 нас хүрээгүй хүүхэд, залуучууд шинэ төрлийн бичил цахилгаан тээврийн хэрэгслүүд</w:t>
      </w:r>
      <w:r>
        <w:rPr>
          <w:rFonts w:ascii="Arial" w:eastAsia="Arial" w:hAnsi="Arial" w:cs="Arial"/>
          <w:vertAlign w:val="superscript"/>
        </w:rPr>
        <w:footnoteReference w:id="1"/>
      </w:r>
      <w:r>
        <w:rPr>
          <w:rFonts w:ascii="Arial" w:eastAsia="Arial" w:hAnsi="Arial" w:cs="Arial"/>
        </w:rPr>
        <w:t>, түүний дотор цахилгаан дугуй /суррон/, цахилгаан скүүтерээр замын хөдөлгөөнд оролцох явдал эрс нэмэгдэж байна. Мөн хүн амын хэт төвлөрөл, хотжилт, авто замын түгжрэлээс үүдэлтэйгээр Нийслэл Улаанбаатар хотод нийтийн хэрэглээний цахилгаан скүүтер түрээсийн шинэ төрлийн үйлчилгээ</w:t>
      </w:r>
      <w:r>
        <w:rPr>
          <w:rFonts w:ascii="Arial" w:eastAsia="Arial" w:hAnsi="Arial" w:cs="Arial"/>
          <w:vertAlign w:val="superscript"/>
        </w:rPr>
        <w:footnoteReference w:id="2"/>
      </w:r>
      <w:r>
        <w:rPr>
          <w:rFonts w:ascii="Arial" w:eastAsia="Arial" w:hAnsi="Arial" w:cs="Arial"/>
        </w:rPr>
        <w:t xml:space="preserve"> бий болж, иргэдийн хэрэглээг өсгөж байна. Гэвч үүнийг дагаад цахилгаан дугуй /суррон/, цахилгаан скүүтерээс унаж бэртэх, явган зорчигч, автомашин, унадаг дугуй, мотоциклтэй мөргөлдөж зам тээврийн осол гэмтэлд өртөх, иргэдийн аюулгүй, тайван зорчих эрхэд нөлөөлөх, өөрийн болон бусдын амь нас, эрүүл мэнд, эд хөрөнгөд хохирол учруулах явдал ихэсч байна.</w:t>
      </w:r>
    </w:p>
    <w:p w14:paraId="00000014" w14:textId="77777777" w:rsidR="00C8426A" w:rsidRDefault="00C8426A">
      <w:pPr>
        <w:jc w:val="both"/>
        <w:rPr>
          <w:rFonts w:ascii="Arial" w:eastAsia="Arial" w:hAnsi="Arial" w:cs="Arial"/>
          <w:color w:val="000000"/>
          <w:highlight w:val="white"/>
        </w:rPr>
      </w:pPr>
    </w:p>
    <w:p w14:paraId="00000016" w14:textId="34AA316B" w:rsidR="00C8426A" w:rsidRPr="00A67DC7" w:rsidRDefault="00000000" w:rsidP="00A67DC7">
      <w:pPr>
        <w:ind w:firstLine="720"/>
        <w:jc w:val="both"/>
        <w:rPr>
          <w:rFonts w:ascii="Arial" w:eastAsia="Arial" w:hAnsi="Arial" w:cs="Arial"/>
        </w:rPr>
      </w:pPr>
      <w:r>
        <w:rPr>
          <w:rFonts w:ascii="Arial" w:eastAsia="Arial" w:hAnsi="Arial" w:cs="Arial"/>
          <w:color w:val="000000"/>
        </w:rPr>
        <w:t xml:space="preserve">Монгол Улсын нутаг дэвсгэрт замын хөдөлгөөний аюулгүй байдлыг хангах эрх зүйн үндэс, журмыг Замын хөдөлгөөний аюулгүй байдлын тухай хууль болон Замын хөдөлгөөний дүрмээр </w:t>
      </w:r>
      <w:r>
        <w:rPr>
          <w:rFonts w:ascii="Arial" w:eastAsia="Arial" w:hAnsi="Arial" w:cs="Arial"/>
        </w:rPr>
        <w:t>зохицуулж</w:t>
      </w:r>
      <w:r>
        <w:rPr>
          <w:rFonts w:ascii="Arial" w:eastAsia="Arial" w:hAnsi="Arial" w:cs="Arial"/>
          <w:color w:val="000000"/>
        </w:rPr>
        <w:t xml:space="preserve"> байгаа хэдий ч энэхүү хууль болон дүрмийн хүрээнд дээрх шинэ төрлийн бичил цахилгаан тээврийн хэрэгсэл /</w:t>
      </w:r>
      <w:r>
        <w:rPr>
          <w:rFonts w:ascii="Arial" w:eastAsia="Arial" w:hAnsi="Arial" w:cs="Arial"/>
        </w:rPr>
        <w:t xml:space="preserve">цахилгаан дугуй, скүүтер г.м/-ийн </w:t>
      </w:r>
      <w:r>
        <w:rPr>
          <w:rFonts w:ascii="Arial" w:eastAsia="Arial" w:hAnsi="Arial" w:cs="Arial"/>
          <w:color w:val="000000"/>
        </w:rPr>
        <w:t xml:space="preserve">тээврийн хэрэгслийн ангилал, тээврийн хэрэгслийг жолоодох насны хязгаар тодорхой биш, тээврийн хэрэгсэлд тавих техникийн ерөнхий шаардлага байхгүй, тээврийн хэрэгслийг жолоодон замын хөдөлгөөнд оролцогчийн үүрэг, хариуцлагын зохицуулалтгүй, мөн </w:t>
      </w:r>
      <w:r>
        <w:rPr>
          <w:rFonts w:ascii="Arial" w:eastAsia="Arial" w:hAnsi="Arial" w:cs="Arial"/>
        </w:rPr>
        <w:t>нийтийн хэрэглээний цахилгаан скүүтер түрээсийн үйлчилгээ үзүүлэгчид хяналт тавих эрх зүйн орчин байхгүй байгаа зэрэг асуудлууд нь замын хөдөлгөөний аюулгүй байдлыг хангахад тулгамдсан асуудал болоод байна.</w:t>
      </w:r>
    </w:p>
    <w:p w14:paraId="00000017" w14:textId="77777777" w:rsidR="00C8426A" w:rsidRDefault="00000000">
      <w:pPr>
        <w:ind w:firstLine="720"/>
        <w:jc w:val="both"/>
        <w:rPr>
          <w:rFonts w:ascii="Arial" w:eastAsia="Arial" w:hAnsi="Arial" w:cs="Arial"/>
          <w:color w:val="000000"/>
        </w:rPr>
      </w:pPr>
      <w:r>
        <w:rPr>
          <w:rFonts w:ascii="Arial" w:eastAsia="Arial" w:hAnsi="Arial" w:cs="Arial"/>
          <w:color w:val="000000"/>
          <w:highlight w:val="white"/>
        </w:rPr>
        <w:lastRenderedPageBreak/>
        <w:t xml:space="preserve">Иймд төрөөс иргэнийхээ амьд явах, эрүүл, аюулгүй орчинд амьдрах үндсэн эрхийг хангах, хүүхдийн ашиг сонирхлыг нэн тэргүүнд хамгаалах “хууль зүйн баталгааг” бий болгох үндсэн </w:t>
      </w:r>
      <w:r>
        <w:rPr>
          <w:rFonts w:ascii="Arial" w:eastAsia="Arial" w:hAnsi="Arial" w:cs="Arial"/>
          <w:highlight w:val="white"/>
        </w:rPr>
        <w:t>үүргийн</w:t>
      </w:r>
      <w:r>
        <w:rPr>
          <w:rFonts w:ascii="Arial" w:eastAsia="Arial" w:hAnsi="Arial" w:cs="Arial"/>
          <w:color w:val="000000"/>
          <w:highlight w:val="white"/>
        </w:rPr>
        <w:t xml:space="preserve"> хүрээнд</w:t>
      </w:r>
      <w:r>
        <w:rPr>
          <w:rFonts w:ascii="Arial" w:eastAsia="Arial" w:hAnsi="Arial" w:cs="Arial"/>
          <w:color w:val="000000"/>
        </w:rPr>
        <w:t xml:space="preserve"> </w:t>
      </w:r>
      <w:r>
        <w:rPr>
          <w:rFonts w:ascii="Arial" w:eastAsia="Arial" w:hAnsi="Arial" w:cs="Arial"/>
          <w:color w:val="000000"/>
          <w:highlight w:val="white"/>
        </w:rPr>
        <w:t xml:space="preserve">Замын хөдөлгөөний аюулгүй байдлын тухай хуульд нэмэлт, өөрчлөлт оруулах хуулийг төслийг Хууль тогтоомжийн тухай хуульд </w:t>
      </w:r>
      <w:r>
        <w:rPr>
          <w:rFonts w:ascii="Arial" w:eastAsia="Arial" w:hAnsi="Arial" w:cs="Arial"/>
          <w:highlight w:val="white"/>
        </w:rPr>
        <w:t>заасан журмын дагуу</w:t>
      </w:r>
      <w:r>
        <w:rPr>
          <w:rFonts w:ascii="Arial" w:eastAsia="Arial" w:hAnsi="Arial" w:cs="Arial"/>
          <w:color w:val="000000"/>
          <w:highlight w:val="white"/>
        </w:rPr>
        <w:t xml:space="preserve"> боловсруул</w:t>
      </w:r>
      <w:r>
        <w:rPr>
          <w:rFonts w:ascii="Arial" w:eastAsia="Arial" w:hAnsi="Arial" w:cs="Arial"/>
          <w:highlight w:val="white"/>
        </w:rPr>
        <w:t>лаа.</w:t>
      </w:r>
    </w:p>
    <w:p w14:paraId="00000018" w14:textId="77777777" w:rsidR="00C8426A" w:rsidRDefault="00C8426A">
      <w:pPr>
        <w:ind w:firstLine="720"/>
        <w:jc w:val="both"/>
        <w:rPr>
          <w:rFonts w:ascii="Arial" w:eastAsia="Arial" w:hAnsi="Arial" w:cs="Arial"/>
          <w:color w:val="000000"/>
          <w:highlight w:val="white"/>
        </w:rPr>
      </w:pPr>
    </w:p>
    <w:p w14:paraId="00000019" w14:textId="77777777" w:rsidR="00C8426A" w:rsidRDefault="00000000">
      <w:pPr>
        <w:numPr>
          <w:ilvl w:val="1"/>
          <w:numId w:val="2"/>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Практик шаардлага:</w:t>
      </w:r>
    </w:p>
    <w:p w14:paraId="0000001A" w14:textId="77777777" w:rsidR="00C8426A" w:rsidRDefault="00C8426A">
      <w:pPr>
        <w:pBdr>
          <w:top w:val="nil"/>
          <w:left w:val="nil"/>
          <w:bottom w:val="nil"/>
          <w:right w:val="nil"/>
          <w:between w:val="nil"/>
        </w:pBdr>
        <w:ind w:left="1440"/>
        <w:jc w:val="both"/>
        <w:rPr>
          <w:rFonts w:ascii="Arial" w:eastAsia="Arial" w:hAnsi="Arial" w:cs="Arial"/>
          <w:b/>
          <w:color w:val="000000"/>
        </w:rPr>
      </w:pPr>
    </w:p>
    <w:p w14:paraId="0000001B" w14:textId="77777777" w:rsidR="00C8426A" w:rsidRDefault="00000000">
      <w:pPr>
        <w:numPr>
          <w:ilvl w:val="2"/>
          <w:numId w:val="2"/>
        </w:numPr>
        <w:pBdr>
          <w:top w:val="nil"/>
          <w:left w:val="nil"/>
          <w:bottom w:val="nil"/>
          <w:right w:val="nil"/>
          <w:between w:val="nil"/>
        </w:pBdr>
        <w:ind w:left="1418" w:hanging="708"/>
        <w:jc w:val="both"/>
        <w:rPr>
          <w:rFonts w:ascii="Arial" w:eastAsia="Arial" w:hAnsi="Arial" w:cs="Arial"/>
          <w:color w:val="000000"/>
          <w:u w:val="single"/>
        </w:rPr>
      </w:pPr>
      <w:r>
        <w:rPr>
          <w:rFonts w:ascii="Arial" w:eastAsia="Arial" w:hAnsi="Arial" w:cs="Arial"/>
          <w:color w:val="000000"/>
          <w:u w:val="single"/>
        </w:rPr>
        <w:t>Монгол Улсын хүрээнд</w:t>
      </w:r>
    </w:p>
    <w:p w14:paraId="0000001C" w14:textId="77777777" w:rsidR="00C8426A" w:rsidRDefault="00C8426A">
      <w:pPr>
        <w:ind w:firstLine="720"/>
        <w:jc w:val="both"/>
        <w:rPr>
          <w:rFonts w:ascii="Arial" w:eastAsia="Arial" w:hAnsi="Arial" w:cs="Arial"/>
        </w:rPr>
      </w:pPr>
    </w:p>
    <w:p w14:paraId="0000001D" w14:textId="77777777" w:rsidR="00C8426A" w:rsidRDefault="00000000">
      <w:pPr>
        <w:ind w:firstLine="720"/>
        <w:jc w:val="both"/>
        <w:rPr>
          <w:rFonts w:ascii="Arial" w:eastAsia="Arial" w:hAnsi="Arial" w:cs="Arial"/>
        </w:rPr>
      </w:pPr>
      <w:r>
        <w:rPr>
          <w:rFonts w:ascii="Arial" w:eastAsia="Arial" w:hAnsi="Arial" w:cs="Arial"/>
        </w:rPr>
        <w:t>Сүүлийн 5 жилийн хугацаанд буюу 2019-2024 оны эхний 7 сарын байдлаар цахилгаан дугуй /суррон/, цахилгаан скүүтер-с үүдэлтэй нийт 584 осол гэмтлийн шинэ тохиолдол бүртгэгджээ.</w:t>
      </w:r>
      <w:r>
        <w:rPr>
          <w:rFonts w:ascii="Arial" w:eastAsia="Arial" w:hAnsi="Arial" w:cs="Arial"/>
          <w:vertAlign w:val="superscript"/>
        </w:rPr>
        <w:footnoteReference w:id="3"/>
      </w:r>
      <w:r>
        <w:rPr>
          <w:rFonts w:ascii="Arial" w:eastAsia="Arial" w:hAnsi="Arial" w:cs="Arial"/>
        </w:rPr>
        <w:t xml:space="preserve"> Үүнд: 2019 онд 14, 2020 онд 48, 2021 онд 20,            2022 онд 50, 2023 онд 274, 2024 онд 178 осол бүртгэгдснээс үзэхэд сүүлийн                    2 жилд энэ төрлийн тээврийн хэрэгслээс үүдэлтэй осол гэмтэл 4-5 дахин өссөн байна. Осол гэмтэлд өртсөн тохиолдлын 67.0% (391) нь эрэгтэй, 33.0% нь (193) эмэгтэй байна. Бүртгэгдсэн ослын тохиолдлын шалтгааныг хувиар авч үзэхэд цахилгаан дугуй /суррон/, цахилгаан скүүтер-с унаж гэмтэх, онхолдох 84%,    цахилгаан дугуй /суррон/, цахилгаан скүүтерийн жолооч автомашинтай мөргөлдөж гэмтэх 10,1%, явган зорчигчийг цахилгаан дугуй /суррон/, цахилгаан скүүтер мөргөж гэмтээх 4,3% тус тус эзэлж байна. Насны бүлэг бүрд цахилгаан дугуй /суррон/, цахилгаан скүүтер-с унаж гэмтэх, онхолдох тохиолдол түгээмэл байгаа ба                 10-19 насны иргэд осол гэмтэлд илүүтэй өртсөн байна. Мөн нийт тохиолдлын         551 /94,3%/ нь нийслэлд, 33 /5,6%/ нь орон нутагт бүртгэгдсэн байна.</w:t>
      </w:r>
    </w:p>
    <w:p w14:paraId="0000001E" w14:textId="77777777" w:rsidR="00C8426A" w:rsidRDefault="00C8426A">
      <w:pPr>
        <w:ind w:firstLine="720"/>
        <w:jc w:val="both"/>
        <w:rPr>
          <w:rFonts w:ascii="Arial" w:eastAsia="Arial" w:hAnsi="Arial" w:cs="Arial"/>
        </w:rPr>
      </w:pPr>
    </w:p>
    <w:p w14:paraId="0000001F" w14:textId="77777777" w:rsidR="00C8426A" w:rsidRDefault="00000000">
      <w:pPr>
        <w:ind w:firstLine="720"/>
        <w:jc w:val="both"/>
        <w:rPr>
          <w:rFonts w:ascii="Arial" w:eastAsia="Arial" w:hAnsi="Arial" w:cs="Arial"/>
        </w:rPr>
      </w:pPr>
      <w:r>
        <w:rPr>
          <w:rFonts w:ascii="Arial" w:eastAsia="Arial" w:hAnsi="Arial" w:cs="Arial"/>
        </w:rPr>
        <w:t>Тэгвэл цагдаагийн байгууллагад бүртгэгдсэн зөрчлийн тоон мэдээллээс үзэхэд улсын хэмжээнд 2022 онд цахилгаан дугуй /суррон/ холбогдсон 17, 2023 онд цахилгаан дугуй /суррон/, цахилгаан скүүтер холбогдсон 70 /скүүтер-28, суррон-42/, 2024 оны 9-р сарын байдлаар 191 /скүүтер-57, суррон-134/ зам тээврийн осол бүртгэгдсэн байна. 2024 онд унадаг дугуй, цахилгаан дугуй /суррон/, цахилгаан скүүтертэй холбоотой 241 зам тээврийн осол бүртгэгдсэнээс 229 буюу 95% нь нийслэлд бүртгэгдсэн байна. Тус тээврийн хэрэгслүүдтэй холбоотой зам тээврийн ослоос 121 хүн гэмтжээ.</w:t>
      </w:r>
      <w:r>
        <w:rPr>
          <w:rFonts w:ascii="Arial" w:eastAsia="Arial" w:hAnsi="Arial" w:cs="Arial"/>
          <w:vertAlign w:val="superscript"/>
        </w:rPr>
        <w:footnoteReference w:id="4"/>
      </w:r>
    </w:p>
    <w:p w14:paraId="00000020" w14:textId="77777777" w:rsidR="00C8426A" w:rsidRDefault="00C8426A">
      <w:pPr>
        <w:ind w:firstLine="720"/>
        <w:jc w:val="both"/>
        <w:rPr>
          <w:rFonts w:ascii="Arial" w:eastAsia="Arial" w:hAnsi="Arial" w:cs="Arial"/>
        </w:rPr>
      </w:pPr>
    </w:p>
    <w:p w14:paraId="00000021" w14:textId="77777777" w:rsidR="00C8426A" w:rsidRDefault="00000000">
      <w:pPr>
        <w:ind w:firstLine="720"/>
        <w:jc w:val="both"/>
        <w:rPr>
          <w:rFonts w:ascii="Arial" w:eastAsia="Arial" w:hAnsi="Arial" w:cs="Arial"/>
        </w:rPr>
      </w:pPr>
      <w:r>
        <w:rPr>
          <w:rFonts w:ascii="Arial" w:eastAsia="Arial" w:hAnsi="Arial" w:cs="Arial"/>
          <w:color w:val="000000"/>
        </w:rPr>
        <w:t xml:space="preserve">Монгол Улсын нутаг дэвсгэрт замын хөдөлгөөний аюулгүй байдлыг хангах эрх зүйн үндэс, журмыг Замын хөдөлгөөний аюулгүй байдлын тухай хууль болон Монгол улсын Засгийн газрын 2018 оны 239 дүгээр тогтоолын хавсралтаар баталсан “Монгол улсын замын хөдөлгөөний дүрэм” /цаашид “Замын хөдөлгөөний дүрэм” гэх/-ээр тус тус </w:t>
      </w:r>
      <w:r>
        <w:rPr>
          <w:rFonts w:ascii="Arial" w:eastAsia="Arial" w:hAnsi="Arial" w:cs="Arial"/>
        </w:rPr>
        <w:t>зохицуулж байна. Гэвч энэхүү хууль, дүрмийн хүрээнд цахилгаан дугуй /суррон/, цахилгаан скүүтер г.м хувь хүний бичил цахилгаан тээврийн хэрэгслийн замын хөдөлгөөний аюулгүй байдлыг хангахад дараах тулгамдсан асуудлууд байна. Үүнд:</w:t>
      </w:r>
    </w:p>
    <w:p w14:paraId="00000022" w14:textId="77777777" w:rsidR="00C8426A" w:rsidRDefault="00C8426A">
      <w:pPr>
        <w:jc w:val="both"/>
        <w:rPr>
          <w:rFonts w:ascii="Arial" w:eastAsia="Arial" w:hAnsi="Arial" w:cs="Arial"/>
          <w:b/>
        </w:rPr>
      </w:pPr>
    </w:p>
    <w:p w14:paraId="00000023" w14:textId="77777777" w:rsidR="00C8426A"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скүүтерийн тээврийн хэрэгслийн ангилал тодорхой биш</w:t>
      </w:r>
    </w:p>
    <w:p w14:paraId="00000024" w14:textId="77777777" w:rsidR="00C8426A" w:rsidRDefault="00C8426A">
      <w:pPr>
        <w:pBdr>
          <w:top w:val="nil"/>
          <w:left w:val="nil"/>
          <w:bottom w:val="nil"/>
          <w:right w:val="nil"/>
          <w:between w:val="nil"/>
        </w:pBdr>
        <w:ind w:left="720"/>
        <w:jc w:val="both"/>
        <w:rPr>
          <w:rFonts w:ascii="Arial" w:eastAsia="Arial" w:hAnsi="Arial" w:cs="Arial"/>
          <w:b/>
          <w:color w:val="000000"/>
        </w:rPr>
      </w:pPr>
    </w:p>
    <w:p w14:paraId="00000025" w14:textId="77777777" w:rsidR="00C8426A"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“тээврийн хэрэгсэл”, “механикжсан тээврийн хэрэгсэл”-ийн талаар тодорхойлсон бол “Замын хөдөлгөөний дүрэм”-д “унадаг дугуй”, “мопед”, “мотоцикл” гэсэн уламжлалт тээврийн хэрэгслийг тодорхойлсон ба зөвхөн мопедоос бусад “механикжсан тээврийн хэрэгсэл”-ийн ангиллыг заасан. Гэвч цахилгаан дугуй /суррон/, цахилгаан скүүтер нь эдгээрийн алинд хамаарах эсэх нь тодорхой биш байна. </w:t>
      </w:r>
      <w:r>
        <w:rPr>
          <w:rFonts w:ascii="Arial" w:eastAsia="Arial" w:hAnsi="Arial" w:cs="Arial"/>
        </w:rPr>
        <w:lastRenderedPageBreak/>
        <w:t xml:space="preserve">Тухайлбал, “Замын хөдөлгөөний дүрэм”-ийн 1.2.37-д зааснаар “унадаг дугуй” нь </w:t>
      </w:r>
      <w:r>
        <w:rPr>
          <w:rFonts w:ascii="Arial" w:eastAsia="Arial" w:hAnsi="Arial" w:cs="Arial"/>
          <w:b/>
        </w:rPr>
        <w:t>0.25 кВт-аас илүүгүй чадал бүхий цахилгаан хөдөлгүүрээр</w:t>
      </w:r>
      <w:r>
        <w:rPr>
          <w:rFonts w:ascii="Arial" w:eastAsia="Arial" w:hAnsi="Arial" w:cs="Arial"/>
        </w:rPr>
        <w:t xml:space="preserve"> тоноглогдсон байж болно гэсэн боловч унадаг дугуйн хурдны хязгаар заагаагүй учир үүнд “цахилгаан унадаг дугуй” хамаарах эсэх нь ойлгомжгүй, мөн дүрмийн 1.2.24-т зааснаар “мопед” гэж </w:t>
      </w:r>
      <w:r>
        <w:rPr>
          <w:rFonts w:ascii="Arial" w:eastAsia="Arial" w:hAnsi="Arial" w:cs="Arial"/>
          <w:b/>
        </w:rPr>
        <w:t>0.25 кВт-аас 4 кВт хүртэл чадал бүхий цахилгаан хөдөлгүүртэй, техникийн дээд хурд нь цагт 50 км-ээс</w:t>
      </w:r>
      <w:r>
        <w:rPr>
          <w:rFonts w:ascii="Arial" w:eastAsia="Arial" w:hAnsi="Arial" w:cs="Arial"/>
        </w:rPr>
        <w:t xml:space="preserve"> ихгүй гэсэн боловч тээврийн хэрэгслийн зориулалт (нэг эсхүл түүнээс дээш хүн тээвэрлэх эсэх, суудалтай эсхүл суудалгүй эсэх), техникийн доод хурдны талаар заагаагүй учир үүнд цахилгаан дугуй /суррон/, цахилгаан скүүтерийг хамааруулах эсэх нь ойлгомжгүй.</w:t>
      </w:r>
    </w:p>
    <w:p w14:paraId="00000026" w14:textId="77777777" w:rsidR="00C8426A" w:rsidRDefault="00C8426A">
      <w:pPr>
        <w:jc w:val="both"/>
        <w:rPr>
          <w:rFonts w:ascii="Arial" w:eastAsia="Arial" w:hAnsi="Arial" w:cs="Arial"/>
          <w:b/>
        </w:rPr>
      </w:pPr>
    </w:p>
    <w:p w14:paraId="00000027" w14:textId="77777777" w:rsidR="00C8426A"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 нь тээврийн хэрэгслийн улсын бүртгэлд бүртгэлгүй</w:t>
      </w:r>
    </w:p>
    <w:p w14:paraId="00000028" w14:textId="77777777" w:rsidR="00C8426A" w:rsidRDefault="00C8426A">
      <w:pPr>
        <w:pBdr>
          <w:top w:val="nil"/>
          <w:left w:val="nil"/>
          <w:bottom w:val="nil"/>
          <w:right w:val="nil"/>
          <w:between w:val="nil"/>
        </w:pBdr>
        <w:ind w:left="720"/>
        <w:jc w:val="both"/>
        <w:rPr>
          <w:rFonts w:ascii="Arial" w:eastAsia="Arial" w:hAnsi="Arial" w:cs="Arial"/>
          <w:b/>
          <w:color w:val="000000"/>
        </w:rPr>
      </w:pPr>
    </w:p>
    <w:p w14:paraId="00000029" w14:textId="77777777" w:rsidR="00C8426A"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хуулийн 10.1.1-т “тээврийн хэрэгслийн бүртгэл, мэдээллийн санд </w:t>
      </w:r>
      <w:r>
        <w:rPr>
          <w:rFonts w:ascii="Arial" w:eastAsia="Arial" w:hAnsi="Arial" w:cs="Arial"/>
          <w:b/>
        </w:rPr>
        <w:t>механикжсан тээврийн хэрэгслийн улсын бүртгэл</w:t>
      </w:r>
      <w:r>
        <w:rPr>
          <w:rFonts w:ascii="Arial" w:eastAsia="Arial" w:hAnsi="Arial" w:cs="Arial"/>
        </w:rPr>
        <w:t xml:space="preserve">, шилжилт хөдөлгөөн, ашиглалт, засвар, оношилгооны бүртгэл, мэдээллийг хамруулах”-аар хуулчилсан ба мөн хуулийн 3.1.2-т "механикжсан тээврийн хэрэгсэл" гэж мопедоос бусад, хөдөлгүүрээр тоноглогдсон тээврийн хэрэгслийг” ойлгохоор заасан тул цахилгаан дугуй /суррон/, цахилгаан скүүтерийг бүртгэх, хяналт тавих эрх зүйн үндэслэл байхгүй байна. </w:t>
      </w:r>
    </w:p>
    <w:p w14:paraId="0000002A" w14:textId="77777777" w:rsidR="00C8426A" w:rsidRDefault="00C8426A">
      <w:pPr>
        <w:jc w:val="both"/>
        <w:rPr>
          <w:rFonts w:ascii="Arial" w:eastAsia="Arial" w:hAnsi="Arial" w:cs="Arial"/>
          <w:b/>
        </w:rPr>
      </w:pPr>
    </w:p>
    <w:p w14:paraId="0000002B" w14:textId="77777777" w:rsidR="00C8426A"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/суррон/, цахилгаан скүүтерээр замын хөдөлгөөнд оролцогчийн эрх, үүрэг, хариуцлага зохицуулалтгүй</w:t>
      </w:r>
    </w:p>
    <w:p w14:paraId="0000002C" w14:textId="77777777" w:rsidR="00C8426A" w:rsidRDefault="00C8426A">
      <w:pPr>
        <w:pBdr>
          <w:top w:val="nil"/>
          <w:left w:val="nil"/>
          <w:bottom w:val="nil"/>
          <w:right w:val="nil"/>
          <w:between w:val="nil"/>
        </w:pBdr>
        <w:ind w:left="720"/>
        <w:rPr>
          <w:rFonts w:ascii="Arial" w:eastAsia="Arial" w:hAnsi="Arial" w:cs="Arial"/>
          <w:b/>
          <w:color w:val="000000"/>
        </w:rPr>
      </w:pPr>
    </w:p>
    <w:p w14:paraId="0000002D" w14:textId="77777777" w:rsidR="00C8426A" w:rsidRDefault="00000000">
      <w:pPr>
        <w:ind w:firstLine="720"/>
        <w:jc w:val="both"/>
        <w:rPr>
          <w:rFonts w:ascii="Arial" w:eastAsia="Arial" w:hAnsi="Arial" w:cs="Arial"/>
        </w:rPr>
      </w:pPr>
      <w:r>
        <w:rPr>
          <w:rFonts w:ascii="Arial" w:eastAsia="Arial" w:hAnsi="Arial" w:cs="Arial"/>
        </w:rPr>
        <w:t xml:space="preserve">Замын хөдөлгөөний аюулгүй байдлын тухай хуульд замын хөдөлгөөнд оролцогч (жолооч, зорчигч, явган зорчигч)-ийн нийтлэг эрх, үүрэг болон бусад иргэн, хуулийн этгээдийн нийтлэг эрх, үүргийг хуульчилсан бол Замын хөдөлгөөний дүрэмд зөвхөн унадаг дугуй, мопед, мотоциклийн жолоочийн үүрэг, жолоочид хориглох зүйлсийг журамласан ба энэхүү зохицуулалтаар цахилгаан дугуй /суррон/, цахилгаан скүүтерийн жолоочийг үүрэгжүүлэх боломжгүй. Тухайлбал, Замын хөдөлгөөний дүрмийн 25.9-д зааснаар унадаг дугуй, мопедоор “0.4 м-ээс илүүгүй ачаа тээвэрлэх”, “зорчигч тээвэрлэх”, “ачааны тэвштэй”, “чиргүүлтэй байх, тээврийн хэрэгслээр чирүүлэх”-ийг зөвшөөрсөн зохицуулалтууд байгаа нь суудалгүй, зөвхөн нэг хүнийг тээвэрлэхэд зориулсан цахилгаан скүүтерийн хөдөлгөөний аюулгүй байдалд харш зохицуулалт болно. </w:t>
      </w:r>
    </w:p>
    <w:p w14:paraId="0000002E" w14:textId="77777777" w:rsidR="00C8426A" w:rsidRDefault="00C8426A">
      <w:pPr>
        <w:jc w:val="both"/>
        <w:rPr>
          <w:rFonts w:ascii="Arial" w:eastAsia="Arial" w:hAnsi="Arial" w:cs="Arial"/>
          <w:b/>
        </w:rPr>
      </w:pPr>
    </w:p>
    <w:p w14:paraId="0000002F" w14:textId="77777777" w:rsidR="00C8426A"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Цахилгаан дугуй, цахилгаан скүүтер нь техникийн хяналтын үзлэг, оношилгоонд хамрагдаггүй</w:t>
      </w:r>
    </w:p>
    <w:p w14:paraId="00000030" w14:textId="77777777" w:rsidR="00C8426A" w:rsidRDefault="00C8426A">
      <w:pPr>
        <w:pBdr>
          <w:top w:val="nil"/>
          <w:left w:val="nil"/>
          <w:bottom w:val="nil"/>
          <w:right w:val="nil"/>
          <w:between w:val="nil"/>
        </w:pBdr>
        <w:ind w:left="720"/>
        <w:jc w:val="both"/>
        <w:rPr>
          <w:rFonts w:ascii="Arial" w:eastAsia="Arial" w:hAnsi="Arial" w:cs="Arial"/>
          <w:b/>
          <w:color w:val="000000"/>
        </w:rPr>
      </w:pPr>
    </w:p>
    <w:p w14:paraId="00000031" w14:textId="77777777" w:rsidR="00C8426A" w:rsidRDefault="00000000">
      <w:pPr>
        <w:ind w:firstLine="720"/>
        <w:jc w:val="both"/>
        <w:rPr>
          <w:rFonts w:ascii="Arial" w:eastAsia="Arial" w:hAnsi="Arial" w:cs="Arial"/>
        </w:rPr>
      </w:pPr>
      <w:r>
        <w:rPr>
          <w:rFonts w:ascii="Arial" w:eastAsia="Arial" w:hAnsi="Arial" w:cs="Arial"/>
        </w:rPr>
        <w:t>Замын хөдөлгөөний аюулгүй байдлын тухай хуулийн 21.1-т “Монгол Улсын нутаг дэвсгэрт замын хөдөлгөөнд оролцуулах зорилгоор импортоор оруулж ирсэн тээврийн хэрэгсэл, түүний нэмэлт тоног төхөөрөмж нь зохих техникийн норм, дүрэм, стандарт, замын хөдөлгөөний аюулгүй байдлын шаардлагыг бүрэн хангасан байх” гэж заасан ба цахилгаан скүүтерийн техникийн шаардлагыг тодорхойлсон тодорхой зохицуулалт байхгүй болно.</w:t>
      </w:r>
    </w:p>
    <w:p w14:paraId="00000032" w14:textId="77777777" w:rsidR="00C8426A" w:rsidRDefault="00C8426A">
      <w:pPr>
        <w:pBdr>
          <w:top w:val="nil"/>
          <w:left w:val="nil"/>
          <w:bottom w:val="nil"/>
          <w:right w:val="nil"/>
          <w:between w:val="nil"/>
        </w:pBdr>
        <w:ind w:left="720"/>
        <w:rPr>
          <w:rFonts w:ascii="Arial" w:eastAsia="Arial" w:hAnsi="Arial" w:cs="Arial"/>
          <w:b/>
          <w:color w:val="000000"/>
        </w:rPr>
      </w:pPr>
    </w:p>
    <w:p w14:paraId="00000033" w14:textId="77777777" w:rsidR="00C8426A" w:rsidRDefault="00000000">
      <w:pPr>
        <w:numPr>
          <w:ilvl w:val="0"/>
          <w:numId w:val="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Нийтийн хэрэглээний цахилгаан дугуй, цахилгаан скүүтерийн үйлчилгээ үзүүлэгч этгээдэд хяналт тавих эрх зүйн орчин байхгүй</w:t>
      </w:r>
    </w:p>
    <w:p w14:paraId="00000034" w14:textId="77777777" w:rsidR="00C8426A" w:rsidRDefault="00C8426A">
      <w:pPr>
        <w:jc w:val="both"/>
        <w:rPr>
          <w:rFonts w:ascii="Arial" w:eastAsia="Arial" w:hAnsi="Arial" w:cs="Arial"/>
        </w:rPr>
      </w:pPr>
    </w:p>
    <w:p w14:paraId="00000035" w14:textId="77777777" w:rsidR="00C8426A" w:rsidRDefault="00000000">
      <w:pPr>
        <w:ind w:firstLine="720"/>
        <w:jc w:val="both"/>
        <w:rPr>
          <w:rFonts w:ascii="Arial" w:eastAsia="Arial" w:hAnsi="Arial" w:cs="Arial"/>
        </w:rPr>
      </w:pPr>
      <w:r>
        <w:rPr>
          <w:rFonts w:ascii="Arial" w:eastAsia="Arial" w:hAnsi="Arial" w:cs="Arial"/>
        </w:rPr>
        <w:t>2024 оны байдлаар манай улсад нийтэд цахилгаан дугуй, цахилгаан скүүтерийн үйлчилгээ үзүүлэгч 3 аж ахуйн нэгж үйл ажиллагаа эрхэлж байгаа мэдээлэл байна.</w:t>
      </w:r>
      <w:r>
        <w:rPr>
          <w:rFonts w:ascii="Arial" w:eastAsia="Arial" w:hAnsi="Arial" w:cs="Arial"/>
          <w:vertAlign w:val="superscript"/>
        </w:rPr>
        <w:footnoteReference w:id="5"/>
      </w:r>
      <w:r>
        <w:rPr>
          <w:rFonts w:ascii="Arial" w:eastAsia="Arial" w:hAnsi="Arial" w:cs="Arial"/>
        </w:rPr>
        <w:t xml:space="preserve"> Үүнд: “Жэт Шэйринг Монголиа” ХХК нь “Жет” нэртэй 6000 орчим цахилгаан скүүтер, “Ви Эм Си Групп” ХХК нь “Табо” нэртэй 1500 орчим цахилгаан скүүтер, “Эко байк” ХХК нь “Эко байк” нэртэй 1000 </w:t>
      </w:r>
      <w:r>
        <w:rPr>
          <w:rFonts w:ascii="Arial" w:eastAsia="Arial" w:hAnsi="Arial" w:cs="Arial"/>
        </w:rPr>
        <w:lastRenderedPageBreak/>
        <w:t>орчим цахилгаан дугуйн түрээсийн үйлчилгээг Нийслэл Улаанбаатар хотод нэвтрүүлээд байна. “Табо” цахилгаан скүүтер 520 мянган хэрэглэгч бүртгэлтэй ба скүүтер уналтын тоо 2024 онд л гэхэд 896 мянга байсан гэсэн тоон судалгаа байна.</w:t>
      </w:r>
      <w:r>
        <w:rPr>
          <w:rFonts w:ascii="Arial" w:eastAsia="Arial" w:hAnsi="Arial" w:cs="Arial"/>
          <w:vertAlign w:val="superscript"/>
        </w:rPr>
        <w:footnoteReference w:id="6"/>
      </w:r>
      <w:r>
        <w:rPr>
          <w:rFonts w:ascii="Arial" w:eastAsia="Arial" w:hAnsi="Arial" w:cs="Arial"/>
        </w:rPr>
        <w:t xml:space="preserve"> Харин “Жет”-ийн скүүтерийн тухайд хэрэглэгч, уналтын тоон мэдээлэл тодорхойгүй байна.</w:t>
      </w:r>
    </w:p>
    <w:p w14:paraId="00000036" w14:textId="77777777" w:rsidR="00C8426A" w:rsidRDefault="00C8426A">
      <w:pPr>
        <w:ind w:firstLine="720"/>
        <w:jc w:val="both"/>
        <w:rPr>
          <w:rFonts w:ascii="Arial" w:eastAsia="Arial" w:hAnsi="Arial" w:cs="Arial"/>
        </w:rPr>
      </w:pPr>
    </w:p>
    <w:p w14:paraId="00000037" w14:textId="77777777" w:rsidR="00C8426A" w:rsidRDefault="00000000">
      <w:pPr>
        <w:ind w:firstLine="720"/>
        <w:jc w:val="both"/>
        <w:rPr>
          <w:rFonts w:ascii="Arial" w:eastAsia="Arial" w:hAnsi="Arial" w:cs="Arial"/>
        </w:rPr>
      </w:pPr>
      <w:r>
        <w:rPr>
          <w:rFonts w:ascii="Arial" w:eastAsia="Arial" w:hAnsi="Arial" w:cs="Arial"/>
        </w:rPr>
        <w:t>Гэвч Замын хөдөлгөөний аюулгүй байдлын тухай, Авто тээврийн тухай, Зөвшөөрлийн тухай хуулиудын хүрээнд дээрх шинэ төрлийн үйлчилгээ үзүүлэгчийн эрх зүйн байдал зохицуулалтгүй байна. Үүний улмаас нийтийн хэрэглээний цахилгаан дугуй, цахилгаан скүүтер тээврийн хэрэгслийн бүртгэл, техникийн хяналтын үзлэг, оношилгоо, даатгал, тээврийн хэрэгслийн явах зам, чиглэл, хугацаа, зогсоолын байршил, хадгалалт, тодорхой бүс, нутагт тээврийн хэрэгслийн хурдыг хязгаарлах, тээврийн хэрэгслийн хог хаягдал зэрэг асуудлууд огт хяналтгүй, тодорхойгүй байдалтай байна.</w:t>
      </w:r>
    </w:p>
    <w:p w14:paraId="00000038" w14:textId="77777777" w:rsidR="00C8426A" w:rsidRDefault="00C8426A">
      <w:pPr>
        <w:jc w:val="both"/>
        <w:rPr>
          <w:rFonts w:ascii="Arial" w:eastAsia="Arial" w:hAnsi="Arial" w:cs="Arial"/>
        </w:rPr>
      </w:pPr>
    </w:p>
    <w:p w14:paraId="00000039" w14:textId="77777777" w:rsidR="00C8426A" w:rsidRDefault="00000000">
      <w:pPr>
        <w:numPr>
          <w:ilvl w:val="2"/>
          <w:numId w:val="2"/>
        </w:numPr>
        <w:pBdr>
          <w:top w:val="nil"/>
          <w:left w:val="nil"/>
          <w:bottom w:val="nil"/>
          <w:right w:val="nil"/>
          <w:between w:val="nil"/>
        </w:pBdr>
        <w:ind w:left="1276" w:hanging="709"/>
        <w:jc w:val="both"/>
        <w:rPr>
          <w:rFonts w:ascii="Arial" w:eastAsia="Arial" w:hAnsi="Arial" w:cs="Arial"/>
          <w:color w:val="000000"/>
          <w:u w:val="single"/>
        </w:rPr>
      </w:pPr>
      <w:r>
        <w:rPr>
          <w:rFonts w:ascii="Arial" w:eastAsia="Arial" w:hAnsi="Arial" w:cs="Arial"/>
          <w:color w:val="000000"/>
          <w:u w:val="single"/>
        </w:rPr>
        <w:t>Гадаад улс, орнуудын хүрээнд</w:t>
      </w:r>
    </w:p>
    <w:p w14:paraId="0000003A" w14:textId="77777777" w:rsidR="00C8426A" w:rsidRDefault="00C8426A">
      <w:pPr>
        <w:jc w:val="both"/>
        <w:rPr>
          <w:rFonts w:ascii="Arial" w:eastAsia="Arial" w:hAnsi="Arial" w:cs="Arial"/>
        </w:rPr>
      </w:pPr>
    </w:p>
    <w:p w14:paraId="0000003B" w14:textId="77777777" w:rsidR="00C8426A" w:rsidRDefault="00000000">
      <w:pPr>
        <w:ind w:firstLine="567"/>
        <w:jc w:val="both"/>
        <w:rPr>
          <w:rFonts w:ascii="Arial" w:eastAsia="Arial" w:hAnsi="Arial" w:cs="Arial"/>
        </w:rPr>
      </w:pPr>
      <w:r>
        <w:rPr>
          <w:rFonts w:ascii="Arial" w:eastAsia="Arial" w:hAnsi="Arial" w:cs="Arial"/>
        </w:rPr>
        <w:t>2017 онд АНУ-ын Калифорни мужид анхны нийтийн хэрэглээний цахилгаан скүүтерийн үйлчилгээ нэвтэрсэн цагаас хойш цахилгаан скүүтерийн хэрэглээ дэлхийн улс орнуудад түгээмэл болжээ.</w:t>
      </w:r>
      <w:r>
        <w:rPr>
          <w:rFonts w:ascii="Arial" w:eastAsia="Arial" w:hAnsi="Arial" w:cs="Arial"/>
          <w:vertAlign w:val="superscript"/>
        </w:rPr>
        <w:footnoteReference w:id="7"/>
      </w:r>
      <w:r>
        <w:rPr>
          <w:rFonts w:ascii="Arial" w:eastAsia="Arial" w:hAnsi="Arial" w:cs="Arial"/>
        </w:rPr>
        <w:t xml:space="preserve"> 2022 онд цахилгаан скүүтер хэрэглэгчдийн тоо 350 саяд хүрч нийтийн хэрэглээний цахилгаан скүүтер дэлхий даяар зохицуулагчдын анхаарлыг татаад байна.</w:t>
      </w:r>
      <w:r>
        <w:rPr>
          <w:rFonts w:ascii="Arial" w:eastAsia="Arial" w:hAnsi="Arial" w:cs="Arial"/>
          <w:vertAlign w:val="superscript"/>
        </w:rPr>
        <w:footnoteReference w:id="8"/>
      </w:r>
      <w:r>
        <w:rPr>
          <w:rFonts w:ascii="Arial" w:eastAsia="Arial" w:hAnsi="Arial" w:cs="Arial"/>
        </w:rPr>
        <w:t xml:space="preserve"> </w:t>
      </w:r>
    </w:p>
    <w:p w14:paraId="0000003C" w14:textId="77777777" w:rsidR="00C8426A" w:rsidRDefault="00C8426A">
      <w:pPr>
        <w:ind w:firstLine="567"/>
        <w:jc w:val="both"/>
        <w:rPr>
          <w:rFonts w:ascii="Arial" w:eastAsia="Arial" w:hAnsi="Arial" w:cs="Arial"/>
        </w:rPr>
      </w:pPr>
    </w:p>
    <w:p w14:paraId="0000003D" w14:textId="77777777" w:rsidR="00C8426A" w:rsidRDefault="00000000">
      <w:pPr>
        <w:ind w:firstLine="567"/>
        <w:jc w:val="both"/>
        <w:rPr>
          <w:rFonts w:ascii="Arial" w:eastAsia="Arial" w:hAnsi="Arial" w:cs="Arial"/>
        </w:rPr>
      </w:pPr>
      <w:r>
        <w:rPr>
          <w:rFonts w:ascii="Arial" w:eastAsia="Arial" w:hAnsi="Arial" w:cs="Arial"/>
        </w:rPr>
        <w:t>Мөн дэлхийн улс орнуудад цахилгаан дугуй /суррон/, цахилгаан скүүтерийг бага насны хүүхэд унах, явган зорчигч мөргөлдөж гэмтээх, автомашинтай мөргөлдөх, зориулалтын зогсоол байхгүйгээс явган зам болон бусад талбайд түгжрэл үүсгэх, орц, гарц хаах, хөгжлийн бэрхшээлтэй иргэд зорчих боломжгүй болгох зэрэг тулгамдсан асуудлууд үүсгэж эхэлсэн байна.</w:t>
      </w:r>
    </w:p>
    <w:p w14:paraId="0000003E" w14:textId="77777777" w:rsidR="00C8426A" w:rsidRDefault="00C8426A">
      <w:pPr>
        <w:ind w:firstLine="567"/>
        <w:jc w:val="both"/>
        <w:rPr>
          <w:rFonts w:ascii="Arial" w:eastAsia="Arial" w:hAnsi="Arial" w:cs="Arial"/>
        </w:rPr>
      </w:pPr>
    </w:p>
    <w:p w14:paraId="0000003F" w14:textId="77777777" w:rsidR="00C8426A" w:rsidRDefault="00000000">
      <w:pPr>
        <w:ind w:firstLine="567"/>
        <w:jc w:val="both"/>
        <w:rPr>
          <w:rFonts w:ascii="Arial" w:eastAsia="Arial" w:hAnsi="Arial" w:cs="Arial"/>
        </w:rPr>
      </w:pPr>
      <w:r>
        <w:rPr>
          <w:rFonts w:ascii="Arial" w:eastAsia="Arial" w:hAnsi="Arial" w:cs="Arial"/>
        </w:rPr>
        <w:t>2023 онд олон улсын зөвлөх үйлчилгээний Маккензи компаниас дэлхийн улс орнуудын томоохон 100 хотод нийтийн хэрэглээний цахилгаан скүүтерийн хэрэглээг хэрхэн зохицуулж байгаа талаар судлахад зохицуулалтын дараах 4 хандлага оршиж байна.</w:t>
      </w:r>
      <w:r>
        <w:rPr>
          <w:rFonts w:ascii="Arial" w:eastAsia="Arial" w:hAnsi="Arial" w:cs="Arial"/>
          <w:vertAlign w:val="superscript"/>
        </w:rPr>
        <w:footnoteReference w:id="9"/>
      </w:r>
      <w:r>
        <w:rPr>
          <w:rFonts w:ascii="Arial" w:eastAsia="Arial" w:hAnsi="Arial" w:cs="Arial"/>
        </w:rPr>
        <w:t xml:space="preserve"> Үүнд:</w:t>
      </w:r>
    </w:p>
    <w:p w14:paraId="00000040" w14:textId="77777777" w:rsidR="00C8426A" w:rsidRDefault="00C8426A">
      <w:pPr>
        <w:ind w:firstLine="567"/>
        <w:jc w:val="both"/>
        <w:rPr>
          <w:rFonts w:ascii="Arial" w:eastAsia="Arial" w:hAnsi="Arial" w:cs="Arial"/>
          <w:b/>
          <w:u w:val="single"/>
        </w:rPr>
      </w:pPr>
    </w:p>
    <w:p w14:paraId="00000041" w14:textId="77777777" w:rsidR="00C8426A" w:rsidRDefault="00000000">
      <w:pPr>
        <w:ind w:firstLine="567"/>
        <w:jc w:val="both"/>
        <w:rPr>
          <w:rFonts w:ascii="Arial" w:eastAsia="Arial" w:hAnsi="Arial" w:cs="Arial"/>
          <w:b/>
          <w:u w:val="single"/>
        </w:rPr>
      </w:pPr>
      <w:r>
        <w:rPr>
          <w:rFonts w:ascii="Arial" w:eastAsia="Arial" w:hAnsi="Arial" w:cs="Arial"/>
          <w:b/>
          <w:u w:val="single"/>
        </w:rPr>
        <w:t xml:space="preserve">Нийтийн хэрэглээний цахилгаан скүүтерийг нэг мөр хориглох   </w:t>
      </w:r>
    </w:p>
    <w:p w14:paraId="00000042" w14:textId="77777777" w:rsidR="00C8426A" w:rsidRDefault="00C8426A">
      <w:pPr>
        <w:ind w:firstLine="567"/>
        <w:jc w:val="both"/>
        <w:rPr>
          <w:rFonts w:ascii="Arial" w:eastAsia="Arial" w:hAnsi="Arial" w:cs="Arial"/>
        </w:rPr>
      </w:pPr>
    </w:p>
    <w:p w14:paraId="00000043" w14:textId="77777777" w:rsidR="00C8426A" w:rsidRDefault="00000000">
      <w:pPr>
        <w:ind w:firstLine="567"/>
        <w:jc w:val="both"/>
        <w:rPr>
          <w:rFonts w:ascii="Arial" w:eastAsia="Arial" w:hAnsi="Arial" w:cs="Arial"/>
        </w:rPr>
      </w:pPr>
      <w:r>
        <w:rPr>
          <w:rFonts w:ascii="Arial" w:eastAsia="Arial" w:hAnsi="Arial" w:cs="Arial"/>
        </w:rPr>
        <w:t>290 орчим сая хүн амьдардаг 35 хот хамаарч байна. Энэ хотуудад нийтийн хэрэглээний цахилгаан скүүтерийн үйлчилгээг хориглож, хувийн скүүтерийг зөвшөөрчээ. Тухайлбал, Францын Парис (2018 онд хориглосон Европын анхны улс), Нидерланд (2018 онд нэг мөр хориглосон), АНУ-ын Филадельф муж, Канадын Торонто, Австралийн Сидней, Мельбурн, Испанийн Барселона, Индонез, Сингапур зэрэг улсуудад замын хөдөлгөөнд оролцуулахыг бүрэн хориглосон шийдвэрийг гаргасан. Мөн БНХАУ нь Шанхай, Бээжин, Хонгконг зэрэг том хотууддаа замын хөдөлгөөнд оролцуулахыг хориглосон. ОХУ нь Москва, Санкт-Петербург зэрэг томоохон хотуудын явган зорчигчийн хөдөлгөөн ихтэй зарим гудамжнуудаар хөдөлгөөнийг хориглосон байна.</w:t>
      </w:r>
    </w:p>
    <w:p w14:paraId="00000044" w14:textId="77777777" w:rsidR="00C8426A" w:rsidRDefault="00C8426A">
      <w:pPr>
        <w:ind w:firstLine="567"/>
        <w:jc w:val="both"/>
        <w:rPr>
          <w:rFonts w:ascii="Arial" w:eastAsia="Arial" w:hAnsi="Arial" w:cs="Arial"/>
        </w:rPr>
      </w:pPr>
    </w:p>
    <w:p w14:paraId="00000045" w14:textId="77777777" w:rsidR="00C8426A" w:rsidRDefault="00000000">
      <w:pPr>
        <w:ind w:firstLine="567"/>
        <w:jc w:val="both"/>
        <w:rPr>
          <w:rFonts w:ascii="Arial" w:eastAsia="Arial" w:hAnsi="Arial" w:cs="Arial"/>
          <w:b/>
          <w:u w:val="single"/>
        </w:rPr>
      </w:pPr>
      <w:r>
        <w:rPr>
          <w:rFonts w:ascii="Arial" w:eastAsia="Arial" w:hAnsi="Arial" w:cs="Arial"/>
          <w:b/>
          <w:u w:val="single"/>
        </w:rPr>
        <w:t>Тендерийн зохицуулалттай</w:t>
      </w:r>
    </w:p>
    <w:p w14:paraId="00000046" w14:textId="77777777" w:rsidR="00C8426A" w:rsidRDefault="00C8426A">
      <w:pPr>
        <w:ind w:firstLine="567"/>
        <w:jc w:val="both"/>
        <w:rPr>
          <w:rFonts w:ascii="Arial" w:eastAsia="Arial" w:hAnsi="Arial" w:cs="Arial"/>
          <w:b/>
          <w:u w:val="single"/>
        </w:rPr>
      </w:pPr>
    </w:p>
    <w:p w14:paraId="00000047" w14:textId="77777777" w:rsidR="00C8426A" w:rsidRDefault="00000000">
      <w:pPr>
        <w:ind w:firstLine="567"/>
        <w:jc w:val="both"/>
        <w:rPr>
          <w:rFonts w:ascii="Arial" w:eastAsia="Arial" w:hAnsi="Arial" w:cs="Arial"/>
        </w:rPr>
      </w:pPr>
      <w:r>
        <w:rPr>
          <w:rFonts w:ascii="Arial" w:eastAsia="Arial" w:hAnsi="Arial" w:cs="Arial"/>
        </w:rPr>
        <w:lastRenderedPageBreak/>
        <w:t xml:space="preserve">100 орчим сая хүн амьдардаг 13 хот хамаарч байна. Эдгээр хотод нийтийн хэрэглээний цахилгаан скүүтерийн үйлчилгээ үзүүлэгч (оператор), цахилгаан скүүтерийн тоог хязгаарлах, эсхүл аль алиныг хязгаарлах, үйл ажиллагааны тодорхой нөхцөл шаардлага тавих замаар цахилгаан скүүтерийг зөвшөөрдөг байна. Тухайлбал, АНУ-ын Лос анжелес, Вашингтон, Испанийн Мадрид хотууд ийм зохицуулалтай байна. </w:t>
      </w:r>
    </w:p>
    <w:p w14:paraId="00000048" w14:textId="77777777" w:rsidR="00C8426A" w:rsidRDefault="00C8426A">
      <w:pPr>
        <w:jc w:val="both"/>
        <w:rPr>
          <w:rFonts w:ascii="Arial" w:eastAsia="Arial" w:hAnsi="Arial" w:cs="Arial"/>
          <w:b/>
          <w:u w:val="single"/>
        </w:rPr>
      </w:pPr>
    </w:p>
    <w:p w14:paraId="00000049" w14:textId="77777777" w:rsidR="00C8426A" w:rsidRDefault="00000000">
      <w:pPr>
        <w:ind w:firstLine="567"/>
        <w:jc w:val="both"/>
        <w:rPr>
          <w:rFonts w:ascii="Arial" w:eastAsia="Arial" w:hAnsi="Arial" w:cs="Arial"/>
          <w:b/>
          <w:u w:val="single"/>
        </w:rPr>
      </w:pPr>
      <w:r>
        <w:rPr>
          <w:rFonts w:ascii="Arial" w:eastAsia="Arial" w:hAnsi="Arial" w:cs="Arial"/>
          <w:b/>
          <w:u w:val="single"/>
        </w:rPr>
        <w:t>Нээлттэй боловч хатуу зохицуулалттай</w:t>
      </w:r>
    </w:p>
    <w:p w14:paraId="0000004A" w14:textId="77777777" w:rsidR="00C8426A" w:rsidRDefault="00C8426A">
      <w:pPr>
        <w:ind w:firstLine="567"/>
        <w:jc w:val="both"/>
        <w:rPr>
          <w:rFonts w:ascii="Arial" w:eastAsia="Arial" w:hAnsi="Arial" w:cs="Arial"/>
          <w:b/>
          <w:u w:val="single"/>
        </w:rPr>
      </w:pPr>
    </w:p>
    <w:p w14:paraId="0000004B" w14:textId="77777777" w:rsidR="00C8426A" w:rsidRDefault="00000000">
      <w:pPr>
        <w:ind w:firstLine="567"/>
        <w:jc w:val="both"/>
        <w:rPr>
          <w:rFonts w:ascii="Arial" w:eastAsia="Arial" w:hAnsi="Arial" w:cs="Arial"/>
        </w:rPr>
      </w:pPr>
      <w:r>
        <w:rPr>
          <w:rFonts w:ascii="Arial" w:eastAsia="Arial" w:hAnsi="Arial" w:cs="Arial"/>
        </w:rPr>
        <w:t>280 орчим сая хүн амьдардаг 23 хот хамаарч байна. Эдгээр хотод нийтийн хэрэглээний цахилгаан скүүтерийн үйлчилгээ үзүүлэгч (оператор)-ийн тоонд хязгаарлалт тавихгүйгээр цахилгаан скүүтерийг зөвшөөрдөг ба үйлчилгээ үзүүлэгч нь орон нутгийн захиргаанд бизнесээ бүртгүүлэх шаардлагатай. Мөн цахилгаан скүүтерийн техникийн дээд хурд, жолоодох насны хязгаар, зөвшөөрөгдсөн газар зэргийг зохицуулсан хууль, дүрэмтэй байна. Тухайлбал, Англи, Япон, Бразил, Мексик, Европын холбооны 27 гишүүн улс ийм зохицуулалттай байна. Эдгээр улсуудын замын хөдөлгөөний аюулгүй байдлын хууль, дүрмийг харьцуулан судлахад цахилгаан дугуй, цахилгаан скүүтерийн техникийн дээд хурд нь цагт 20-25 км-ээс хэтрэхгүй, цахилгаан хөдөлгүүрийн дээд хүчин чадал 0.25-1 кВт хүртэл, жолоодох насны доод хязгаар 14-18 нас, цахилгаан дугуй, скүүтерт тавих техникийн доод шаардлагыг зохицуулсан зэрэг байна.</w:t>
      </w:r>
      <w:r>
        <w:rPr>
          <w:rFonts w:ascii="Arial" w:eastAsia="Arial" w:hAnsi="Arial" w:cs="Arial"/>
          <w:vertAlign w:val="superscript"/>
        </w:rPr>
        <w:footnoteReference w:id="10"/>
      </w:r>
      <w:r>
        <w:rPr>
          <w:rFonts w:ascii="Arial" w:eastAsia="Arial" w:hAnsi="Arial" w:cs="Arial"/>
        </w:rPr>
        <w:t xml:space="preserve"> Зарим орны сайн туршлагаас, тухайлбал, Казакстан Улсад Цахилгаан скүүтертэй холбоотой осол, гэмтэл  гарч байгаатай холбогдуулан зарим хууль тогтоомждоо замын хөдөлгөөнийг зохицуулах асуудлаар хэд хэдэн нэмэлт, өөрчлөлт оруулсан байна. Тус нэмэлт, өөрчлөлтөөрөө цахилгаан тээврийн хэрэгслүүдийн ангилал, тодорхойлолтыг шинээр хуульчилж, тухайн ангиллын тээврийн хэрэгслийг жолоодох насны хязгаар, тээврийн хэрэгсэлд тавигдах шаардлага, тээврийн хэрэгслийг жолоодож замын хөдөлгөөнд оролцож байгаа этгээдийн эрх, үүрэг, хариуцлага, хориглолт, мөн нөхөн төлбөр, даатгалыг асуудлыг тусгасан байна.</w:t>
      </w:r>
      <w:r>
        <w:rPr>
          <w:rFonts w:ascii="Arial" w:eastAsia="Arial" w:hAnsi="Arial" w:cs="Arial"/>
          <w:vertAlign w:val="superscript"/>
        </w:rPr>
        <w:footnoteReference w:id="11"/>
      </w:r>
    </w:p>
    <w:p w14:paraId="0000004C" w14:textId="77777777" w:rsidR="00C8426A" w:rsidRDefault="00C8426A">
      <w:pPr>
        <w:jc w:val="both"/>
        <w:rPr>
          <w:rFonts w:ascii="Arial" w:eastAsia="Arial" w:hAnsi="Arial" w:cs="Arial"/>
        </w:rPr>
      </w:pPr>
    </w:p>
    <w:p w14:paraId="0000004D" w14:textId="77777777" w:rsidR="00C8426A" w:rsidRDefault="00C8426A">
      <w:pPr>
        <w:jc w:val="both"/>
        <w:rPr>
          <w:rFonts w:ascii="Arial" w:eastAsia="Arial" w:hAnsi="Arial" w:cs="Arial"/>
        </w:rPr>
      </w:pPr>
    </w:p>
    <w:p w14:paraId="0000004E" w14:textId="77777777" w:rsidR="00C8426A" w:rsidRDefault="00000000">
      <w:pPr>
        <w:ind w:firstLine="567"/>
        <w:jc w:val="both"/>
        <w:rPr>
          <w:rFonts w:ascii="Arial" w:eastAsia="Arial" w:hAnsi="Arial" w:cs="Arial"/>
          <w:b/>
          <w:u w:val="single"/>
        </w:rPr>
      </w:pPr>
      <w:r>
        <w:rPr>
          <w:rFonts w:ascii="Arial" w:eastAsia="Arial" w:hAnsi="Arial" w:cs="Arial"/>
          <w:b/>
          <w:u w:val="single"/>
        </w:rPr>
        <w:t>Зохицуулалтгүй</w:t>
      </w:r>
    </w:p>
    <w:p w14:paraId="0000004F" w14:textId="77777777" w:rsidR="00C8426A" w:rsidRDefault="00C8426A">
      <w:pPr>
        <w:ind w:firstLine="567"/>
        <w:jc w:val="both"/>
        <w:rPr>
          <w:rFonts w:ascii="Arial" w:eastAsia="Arial" w:hAnsi="Arial" w:cs="Arial"/>
          <w:b/>
          <w:u w:val="single"/>
        </w:rPr>
      </w:pPr>
    </w:p>
    <w:p w14:paraId="00000050" w14:textId="77777777" w:rsidR="00C8426A" w:rsidRDefault="00000000">
      <w:pPr>
        <w:ind w:firstLine="567"/>
        <w:jc w:val="both"/>
        <w:rPr>
          <w:rFonts w:ascii="Arial" w:eastAsia="Arial" w:hAnsi="Arial" w:cs="Arial"/>
          <w:b/>
          <w:u w:val="single"/>
        </w:rPr>
      </w:pPr>
      <w:r>
        <w:rPr>
          <w:rFonts w:ascii="Arial" w:eastAsia="Arial" w:hAnsi="Arial" w:cs="Arial"/>
        </w:rPr>
        <w:t xml:space="preserve">310 орчим сая хүн амьдардаг 29 хот хамаарч байна. Эдгээр хотод нийтийн хэрэглээний цахилгаан скүүтерийн үйлчилгээний талаар зохицуулалтгүй байна. Тухайлбайл, Энэтхэгийн Шинэ Дели, Мумбай хотууд, Африкийн улсууд байна. </w:t>
      </w:r>
    </w:p>
    <w:p w14:paraId="00000051" w14:textId="77777777" w:rsidR="00C8426A" w:rsidRDefault="00C8426A">
      <w:pPr>
        <w:jc w:val="both"/>
        <w:rPr>
          <w:rFonts w:ascii="Arial" w:eastAsia="Arial" w:hAnsi="Arial" w:cs="Arial"/>
        </w:rPr>
      </w:pPr>
    </w:p>
    <w:p w14:paraId="00000052" w14:textId="77777777" w:rsidR="00C8426A" w:rsidRDefault="00000000">
      <w:pPr>
        <w:ind w:firstLine="567"/>
        <w:jc w:val="both"/>
        <w:rPr>
          <w:rFonts w:ascii="Arial" w:eastAsia="Arial" w:hAnsi="Arial" w:cs="Arial"/>
        </w:rPr>
      </w:pPr>
      <w:r>
        <w:rPr>
          <w:rFonts w:ascii="Arial" w:eastAsia="Arial" w:hAnsi="Arial" w:cs="Arial"/>
        </w:rPr>
        <w:t>Дээрхээс үзвэл гадаадын улс, орнууд эрх зүйн тогтолцоо, үүсэж буй шалтгаан нөхцөлийнхөө хүрээнд шинэ төрлийн бичил цахилгаан тээврийн хэрэгслүүд, түүний дотор цахилгаан дугуй /суррон/, цахилгаан скүүтерийг хууль тогтоомждоо зохицуулж, тодорхой арга хэмжээнүүдийг авсан байна.</w:t>
      </w:r>
    </w:p>
    <w:p w14:paraId="00000053" w14:textId="77777777" w:rsidR="00C8426A" w:rsidRDefault="00C8426A">
      <w:pPr>
        <w:jc w:val="both"/>
        <w:rPr>
          <w:rFonts w:ascii="Arial" w:eastAsia="Arial" w:hAnsi="Arial" w:cs="Arial"/>
          <w:b/>
          <w:highlight w:val="white"/>
        </w:rPr>
      </w:pPr>
    </w:p>
    <w:p w14:paraId="00000054" w14:textId="77777777" w:rsidR="00C8426A" w:rsidRDefault="00000000">
      <w:pPr>
        <w:ind w:firstLine="720"/>
        <w:jc w:val="both"/>
        <w:rPr>
          <w:rFonts w:ascii="Arial" w:eastAsia="Arial" w:hAnsi="Arial" w:cs="Arial"/>
          <w:b/>
          <w:highlight w:val="white"/>
        </w:rPr>
      </w:pPr>
      <w:r>
        <w:rPr>
          <w:rFonts w:ascii="Arial" w:eastAsia="Arial" w:hAnsi="Arial" w:cs="Arial"/>
          <w:b/>
          <w:highlight w:val="white"/>
        </w:rPr>
        <w:t>Хоёр.Хуулийн зорилго, ерөнхий бүтэц, зохицуулах харилцаа</w:t>
      </w:r>
    </w:p>
    <w:p w14:paraId="00000055" w14:textId="77777777" w:rsidR="00C8426A" w:rsidRDefault="00C8426A">
      <w:pPr>
        <w:ind w:firstLine="567"/>
        <w:jc w:val="both"/>
        <w:rPr>
          <w:rFonts w:ascii="Arial" w:eastAsia="Arial" w:hAnsi="Arial" w:cs="Arial"/>
          <w:b/>
          <w:highlight w:val="white"/>
        </w:rPr>
      </w:pPr>
    </w:p>
    <w:p w14:paraId="00000056" w14:textId="77777777" w:rsidR="00C8426A" w:rsidRDefault="00000000">
      <w:pPr>
        <w:jc w:val="both"/>
        <w:rPr>
          <w:rFonts w:ascii="Arial" w:eastAsia="Arial" w:hAnsi="Arial" w:cs="Arial"/>
        </w:rPr>
      </w:pPr>
      <w:r>
        <w:rPr>
          <w:rFonts w:ascii="Arial" w:eastAsia="Arial" w:hAnsi="Arial" w:cs="Arial"/>
        </w:rPr>
        <w:tab/>
        <w:t xml:space="preserve">Хуулийн төсөл нь 3 зүйлтэй байх бөгөөд дараах асуудлыг тусган боловсруулна. </w:t>
      </w:r>
      <w:r>
        <w:rPr>
          <w:rFonts w:ascii="Arial" w:eastAsia="Arial" w:hAnsi="Arial" w:cs="Arial"/>
          <w:color w:val="000000"/>
        </w:rPr>
        <w:t>Цахилгаан дугуй, цахилгаан скүүтерээр замын хөдөлгөөнд оролцогчийн эрх, үүрэг, хориглолт, хязгаарлалт, Нийтийн хэрэглээний цахилгаан дугуй, цахилгаан скүүтерийн үйлчилгээ үзүүлэгч хуулийн этгээдийн эрх, үүрэг, Цахилгаан скүүтерт тавих техникийн ерөнхий шаардлага, нэр томьёоны тодорхойлолт зэрэг багтана. Үүнд:</w:t>
      </w:r>
    </w:p>
    <w:p w14:paraId="00000057" w14:textId="77777777" w:rsidR="00C8426A"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lastRenderedPageBreak/>
        <w:t>“Цахилгаан скүүтер” (the electric scooter), ”Цахилгаан дугуй” (the electric bike), ”Хувь хүний бичил цахилгаан тээврийн хэрэгсэл” (the personal light electric vehicles) гэсэн тээврийн хэрэгслийн ангиллыг шинээр тодорхойлж, эдгээр тээврийн хэрэгслийг жолоодох насны хязгаар, тээврийн хэрэгслийн техникийн дээд хурд, тээврийн хэрэгсэл зорчихыг зөвшөөрсөн замыг хуульчлана;</w:t>
      </w:r>
    </w:p>
    <w:p w14:paraId="00000058" w14:textId="77777777" w:rsidR="00C8426A"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 цахилгаан дугуй жолоодон замын хөдөлгөөнд оролцогч жолоочийн үүрэг, жолоочид хориглох зүйлсийг тусгана;</w:t>
      </w:r>
    </w:p>
    <w:p w14:paraId="00000059" w14:textId="77777777" w:rsidR="00C8426A"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Цахилгаан скүүтерийн хөдөлгүүрийн хүч чадал, хамгийн дээд, доод хурд, тээврийн хэрэгслийн бүх жин, тээврийн хэрэгслийн тоноглол зэргийг агуулсан цахилгаан скүүтерт тавих техникийн ерөнхий шаардлагыг шинээр тусгана;</w:t>
      </w:r>
    </w:p>
    <w:p w14:paraId="0000005A" w14:textId="77777777" w:rsidR="00C8426A" w:rsidRDefault="00000000">
      <w:pPr>
        <w:numPr>
          <w:ilvl w:val="0"/>
          <w:numId w:val="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Замын хөдөлгөөний аюулгүй байдлыг хангахад ”Нийтийн хэрэглээний цахилгаан дугуй, цахилгаан скүүтерийн үйлчилгээ үзүүлэгч” (shared micromobility services)-ийн эрх, үүрэг, нөхцөл шаардлагыг шинээр тодорхойлно.</w:t>
      </w:r>
    </w:p>
    <w:p w14:paraId="0000005B" w14:textId="77777777" w:rsidR="00C8426A" w:rsidRDefault="00C8426A">
      <w:pPr>
        <w:ind w:firstLine="567"/>
        <w:jc w:val="both"/>
        <w:rPr>
          <w:rFonts w:ascii="Arial" w:eastAsia="Arial" w:hAnsi="Arial" w:cs="Arial"/>
        </w:rPr>
      </w:pPr>
    </w:p>
    <w:p w14:paraId="0000005C" w14:textId="77777777" w:rsidR="00C8426A" w:rsidRDefault="00000000">
      <w:pPr>
        <w:ind w:firstLine="567"/>
        <w:jc w:val="both"/>
        <w:rPr>
          <w:rFonts w:ascii="Arial" w:eastAsia="Arial" w:hAnsi="Arial" w:cs="Arial"/>
          <w:b/>
        </w:rPr>
      </w:pPr>
      <w:r>
        <w:rPr>
          <w:rFonts w:ascii="Arial" w:eastAsia="Arial" w:hAnsi="Arial" w:cs="Arial"/>
          <w:b/>
        </w:rPr>
        <w:t>Гурав.Хуулийн төсөл батлагдсаны дараа үүсч болох эдийн засаг, нийгэм, хууль зүйн үр дагавар, тэдгээрийг шийдвэрлэх арга хэмжээний талаарх санал</w:t>
      </w:r>
    </w:p>
    <w:p w14:paraId="0000005D" w14:textId="77777777" w:rsidR="00C8426A" w:rsidRDefault="00C8426A">
      <w:pPr>
        <w:ind w:firstLine="567"/>
        <w:jc w:val="both"/>
        <w:rPr>
          <w:rFonts w:ascii="Arial" w:eastAsia="Arial" w:hAnsi="Arial" w:cs="Arial"/>
          <w:b/>
        </w:rPr>
      </w:pPr>
    </w:p>
    <w:p w14:paraId="0000005E" w14:textId="77777777" w:rsidR="00C8426A" w:rsidRDefault="00000000">
      <w:pPr>
        <w:ind w:firstLine="567"/>
        <w:jc w:val="both"/>
        <w:rPr>
          <w:rFonts w:ascii="Arial" w:eastAsia="Arial" w:hAnsi="Arial" w:cs="Arial"/>
          <w:color w:val="000000"/>
        </w:rPr>
      </w:pPr>
      <w:r>
        <w:rPr>
          <w:rFonts w:ascii="Arial" w:eastAsia="Arial" w:hAnsi="Arial" w:cs="Arial"/>
        </w:rPr>
        <w:t xml:space="preserve">Хуулийн төсөл батлагдсанаар </w:t>
      </w:r>
      <w:r>
        <w:rPr>
          <w:rFonts w:ascii="Arial" w:eastAsia="Arial" w:hAnsi="Arial" w:cs="Arial"/>
          <w:color w:val="000000"/>
        </w:rPr>
        <w:t xml:space="preserve">Цахилгаан дугуй, цахилгаан скүүтерээр замын хөдөлгөөнд оролцогч, Нийтийн хэрэглээний цахилгаан дугуй, цахилгаан скүүтерийн үйлчилгээ үзүүлэгч хуулийн этгээдийн эрх, үүрэг тодорхой болно. </w:t>
      </w:r>
    </w:p>
    <w:p w14:paraId="0000005F" w14:textId="77777777" w:rsidR="00C8426A" w:rsidRDefault="00C8426A">
      <w:pPr>
        <w:jc w:val="both"/>
        <w:rPr>
          <w:rFonts w:ascii="Arial" w:eastAsia="Arial" w:hAnsi="Arial" w:cs="Arial"/>
          <w:color w:val="000000"/>
        </w:rPr>
      </w:pPr>
    </w:p>
    <w:p w14:paraId="00000060" w14:textId="77777777" w:rsidR="00C8426A" w:rsidRDefault="00000000">
      <w:pPr>
        <w:ind w:firstLine="567"/>
        <w:jc w:val="both"/>
        <w:rPr>
          <w:rFonts w:ascii="Arial" w:eastAsia="Arial" w:hAnsi="Arial" w:cs="Arial"/>
          <w:color w:val="000000"/>
        </w:rPr>
      </w:pPr>
      <w:r>
        <w:rPr>
          <w:rFonts w:ascii="Arial" w:eastAsia="Arial" w:hAnsi="Arial" w:cs="Arial"/>
          <w:color w:val="000000"/>
        </w:rPr>
        <w:t xml:space="preserve">Цахилгаан дугуй, цахилгаан скүүтерээр замын хөдөлгөөнд оролцогч жолоочид тодорхой хориглолтуудыг тавьснаар замын хөдөлгөөнд оролцогч бусад этгээдийн эрх хангагдаж, цахилгаан дугуй, цахилгаан скүүтерээр хөдөлгөөнд оролцогч жолоочийн хариуцлага нэмэгдэнэ. </w:t>
      </w:r>
    </w:p>
    <w:p w14:paraId="00000061" w14:textId="77777777" w:rsidR="00C8426A" w:rsidRDefault="00C8426A">
      <w:pPr>
        <w:jc w:val="both"/>
        <w:rPr>
          <w:rFonts w:ascii="Arial" w:eastAsia="Arial" w:hAnsi="Arial" w:cs="Arial"/>
          <w:color w:val="000000"/>
        </w:rPr>
      </w:pPr>
    </w:p>
    <w:p w14:paraId="00000062" w14:textId="77777777" w:rsidR="00C8426A" w:rsidRDefault="00000000">
      <w:pPr>
        <w:ind w:firstLine="567"/>
        <w:jc w:val="both"/>
        <w:rPr>
          <w:rFonts w:ascii="Arial" w:eastAsia="Arial" w:hAnsi="Arial" w:cs="Arial"/>
          <w:color w:val="000000"/>
        </w:rPr>
      </w:pPr>
      <w:r>
        <w:rPr>
          <w:rFonts w:ascii="Arial" w:eastAsia="Arial" w:hAnsi="Arial" w:cs="Arial"/>
          <w:color w:val="000000"/>
        </w:rPr>
        <w:t xml:space="preserve">Цахилгаан скүүтерт тавих техникийн ерөнхий шаардлагыг хуульчилснаар Нийтийн хэрэглээний цахилгаан дугуй, цахилгаан скүүтерийн үйлчилгээ үзүүлэгч хуулийн этгээдийн хэрэглэгч, жолоочийн хууль ёсны эрх хамгаалагдах, ерөнхий шаардлагад нийцсэн цахилгаан скүүтер замын хөдөлгөөнд оролцох, цахилгаан скүүтерээс үүдэлтэй осол, гэмтлээс сэргийлэх үндсэн нөхцөлийг бүрдэнэ. </w:t>
      </w:r>
    </w:p>
    <w:p w14:paraId="00000063" w14:textId="77777777" w:rsidR="00C8426A" w:rsidRDefault="00C8426A">
      <w:pPr>
        <w:ind w:firstLine="720"/>
        <w:jc w:val="both"/>
        <w:rPr>
          <w:rFonts w:ascii="Arial" w:eastAsia="Arial" w:hAnsi="Arial" w:cs="Arial"/>
          <w:color w:val="FF0000"/>
        </w:rPr>
      </w:pPr>
    </w:p>
    <w:p w14:paraId="00000064" w14:textId="77777777" w:rsidR="00C8426A" w:rsidRDefault="00000000">
      <w:pPr>
        <w:ind w:firstLine="567"/>
        <w:jc w:val="both"/>
        <w:rPr>
          <w:rFonts w:ascii="Arial" w:eastAsia="Arial" w:hAnsi="Arial" w:cs="Arial"/>
        </w:rPr>
      </w:pPr>
      <w:r>
        <w:rPr>
          <w:rFonts w:ascii="Arial" w:eastAsia="Arial" w:hAnsi="Arial" w:cs="Arial"/>
        </w:rPr>
        <w:t>Цахилгаан скүүтер, цахилгаан дугуй, Хувь хүний бичил цахилгаан тээврийн хэрэгсэл, Нийтийн хэрэглээний цахилгаан дугуй, цахилгаан скүүтерийн үйлчилгээ үзүүлэгчийг тодорхойлж, утга агуулгыг томьёолсноор Монгол Улсад замын хөдөлгөөнтэй холбоотой мөрдөгдөж буй хууль тогтоомжийн хүрээнд үүсэж буй үндсэн асуудлыг шийднэ.</w:t>
      </w:r>
    </w:p>
    <w:p w14:paraId="00000065" w14:textId="77777777" w:rsidR="00C8426A" w:rsidRDefault="00C8426A">
      <w:pPr>
        <w:jc w:val="both"/>
        <w:rPr>
          <w:rFonts w:ascii="Arial" w:eastAsia="Arial" w:hAnsi="Arial" w:cs="Arial"/>
          <w:b/>
        </w:rPr>
      </w:pPr>
    </w:p>
    <w:p w14:paraId="00000066" w14:textId="77777777" w:rsidR="00C8426A" w:rsidRDefault="00000000">
      <w:pPr>
        <w:ind w:firstLine="567"/>
        <w:jc w:val="both"/>
        <w:rPr>
          <w:rFonts w:ascii="Arial" w:eastAsia="Arial" w:hAnsi="Arial" w:cs="Arial"/>
        </w:rPr>
      </w:pPr>
      <w:r>
        <w:rPr>
          <w:rFonts w:ascii="Arial" w:eastAsia="Arial" w:hAnsi="Arial" w:cs="Arial"/>
          <w:b/>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00000067" w14:textId="77777777" w:rsidR="00C8426A" w:rsidRDefault="00C8426A">
      <w:pPr>
        <w:ind w:firstLine="567"/>
        <w:jc w:val="both"/>
        <w:rPr>
          <w:rFonts w:ascii="Arial" w:eastAsia="Arial" w:hAnsi="Arial" w:cs="Arial"/>
        </w:rPr>
      </w:pPr>
    </w:p>
    <w:p w14:paraId="00000068" w14:textId="77777777" w:rsidR="00C8426A" w:rsidRDefault="00000000">
      <w:pPr>
        <w:ind w:firstLine="567"/>
        <w:jc w:val="both"/>
        <w:rPr>
          <w:rFonts w:ascii="Arial" w:eastAsia="Arial" w:hAnsi="Arial" w:cs="Arial"/>
        </w:rPr>
      </w:pPr>
      <w:r>
        <w:rPr>
          <w:rFonts w:ascii="Arial" w:eastAsia="Arial" w:hAnsi="Arial" w:cs="Arial"/>
        </w:rPr>
        <w:t>Хуулийн төслийг Монгол Улсын Үндсэн хууль, Монгол Улсын олон улсын гэрээ, бусад хууль тогтоомжтой нийцүүлэн боловсруулна. Мөн хуулийн төсөлтэй холбогдуулан Зөвшөөрлийн тухай хуульд өөрчлөлт оруулах тухай, Зөрчлийн тухай хуульд өөрчлөлт оруулах тухай дагалдах хуулийн төслүүдийг боловсруулна.</w:t>
      </w:r>
    </w:p>
    <w:p w14:paraId="00000069" w14:textId="77777777" w:rsidR="00C8426A" w:rsidRDefault="00C8426A">
      <w:pPr>
        <w:ind w:firstLine="720"/>
        <w:jc w:val="both"/>
        <w:rPr>
          <w:rFonts w:ascii="Arial" w:eastAsia="Arial" w:hAnsi="Arial" w:cs="Arial"/>
        </w:rPr>
      </w:pPr>
    </w:p>
    <w:p w14:paraId="0000006A" w14:textId="77777777" w:rsidR="00C8426A" w:rsidRDefault="00C8426A">
      <w:pPr>
        <w:ind w:firstLine="720"/>
        <w:jc w:val="both"/>
        <w:rPr>
          <w:rFonts w:ascii="Arial" w:eastAsia="Arial" w:hAnsi="Arial" w:cs="Arial"/>
        </w:rPr>
      </w:pPr>
    </w:p>
    <w:p w14:paraId="0000006B" w14:textId="77777777" w:rsidR="00C8426A" w:rsidRDefault="00C8426A">
      <w:pPr>
        <w:ind w:firstLine="720"/>
        <w:jc w:val="both"/>
        <w:rPr>
          <w:rFonts w:ascii="Arial" w:eastAsia="Arial" w:hAnsi="Arial" w:cs="Arial"/>
        </w:rPr>
      </w:pPr>
    </w:p>
    <w:p w14:paraId="0000006C" w14:textId="77777777" w:rsidR="00C8426A" w:rsidRDefault="00000000">
      <w:pPr>
        <w:jc w:val="center"/>
        <w:rPr>
          <w:rFonts w:ascii="Arial" w:eastAsia="Arial" w:hAnsi="Arial" w:cs="Arial"/>
        </w:rPr>
      </w:pPr>
      <w:r>
        <w:rPr>
          <w:rFonts w:ascii="Arial" w:eastAsia="Arial" w:hAnsi="Arial" w:cs="Arial"/>
        </w:rPr>
        <w:t>---oOo---</w:t>
      </w:r>
    </w:p>
    <w:p w14:paraId="0000006D" w14:textId="77777777" w:rsidR="00C8426A" w:rsidRDefault="00C8426A">
      <w:pPr>
        <w:rPr>
          <w:rFonts w:ascii="Arial" w:eastAsia="Arial" w:hAnsi="Arial" w:cs="Arial"/>
          <w:color w:val="333333"/>
          <w:highlight w:val="white"/>
        </w:rPr>
      </w:pPr>
    </w:p>
    <w:sectPr w:rsidR="00C8426A" w:rsidSect="00A67DC7">
      <w:headerReference w:type="default" r:id="rId8"/>
      <w:footerReference w:type="default" r:id="rId9"/>
      <w:pgSz w:w="11901" w:h="16817"/>
      <w:pgMar w:top="1078" w:right="538" w:bottom="1134" w:left="873" w:header="709" w:footer="49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5B0B" w14:textId="77777777" w:rsidR="000F505A" w:rsidRDefault="000F505A">
      <w:r>
        <w:separator/>
      </w:r>
    </w:p>
  </w:endnote>
  <w:endnote w:type="continuationSeparator" w:id="0">
    <w:p w14:paraId="1BDF3D7C" w14:textId="77777777" w:rsidR="000F505A" w:rsidRDefault="000F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4AB58A5-DAC8-AA4E-A036-133AF3D4B074}"/>
  </w:font>
  <w:font w:name="Courier New">
    <w:panose1 w:val="02070309020205020404"/>
    <w:charset w:val="00"/>
    <w:family w:val="modern"/>
    <w:pitch w:val="fixed"/>
    <w:sig w:usb0="E0002AFF" w:usb1="C0007843" w:usb2="00000009" w:usb3="00000000" w:csb0="000001FF" w:csb1="00000000"/>
    <w:embedRegular r:id="rId2" w:fontKey="{4EE4C578-8400-F040-BB75-BEE5E06F5685}"/>
  </w:font>
  <w:font w:name="Calibri">
    <w:panose1 w:val="020F0502020204030204"/>
    <w:charset w:val="00"/>
    <w:family w:val="swiss"/>
    <w:pitch w:val="variable"/>
    <w:sig w:usb0="E0002AFF" w:usb1="C000ACFF" w:usb2="00000009" w:usb3="00000000" w:csb0="000001FF" w:csb1="00000000"/>
    <w:embedRegular r:id="rId3" w:fontKey="{B3AE7DEE-D1C7-074B-8DC5-A72551A87471}"/>
    <w:embedBold r:id="rId4" w:fontKey="{9B13DD15-B348-A041-9EC1-317C51875E3C}"/>
  </w:font>
  <w:font w:name="Times New Roman">
    <w:panose1 w:val="02020603050405020304"/>
    <w:charset w:val="00"/>
    <w:family w:val="roman"/>
    <w:pitch w:val="variable"/>
    <w:sig w:usb0="E0002EFF" w:usb1="C000785B" w:usb2="00000009" w:usb3="00000000" w:csb0="000001FF" w:csb1="00000000"/>
    <w:embedRegular r:id="rId5" w:fontKey="{83F1E2D5-4387-FE4D-8F05-525CDFF531DE}"/>
    <w:embedBold r:id="rId6" w:fontKey="{86EA0A99-ABE7-6D4C-8F7C-DD6E169580BC}"/>
  </w:font>
  <w:font w:name="Georgia">
    <w:panose1 w:val="02040502050405020303"/>
    <w:charset w:val="00"/>
    <w:family w:val="roman"/>
    <w:pitch w:val="variable"/>
    <w:sig w:usb0="00000287" w:usb1="00000000" w:usb2="00000000" w:usb3="00000000" w:csb0="0000009F" w:csb1="00000000"/>
    <w:embedRegular r:id="rId7" w:fontKey="{69DD9702-ED84-514B-8FD0-EC93CB32C443}"/>
    <w:embedItalic r:id="rId8" w:fontKey="{ECBB64BF-BA2F-F04A-9AFC-AA83E5E6FC1B}"/>
  </w:font>
  <w:font w:name="Arial">
    <w:panose1 w:val="020B0604020202020204"/>
    <w:charset w:val="00"/>
    <w:family w:val="swiss"/>
    <w:pitch w:val="variable"/>
    <w:sig w:usb0="E0002AFF" w:usb1="C0007843" w:usb2="00000009" w:usb3="00000000" w:csb0="000001FF" w:csb1="00000000"/>
    <w:embedRegular r:id="rId9" w:fontKey="{A83967F0-FCEC-B448-BF44-542EC3A77E90}"/>
    <w:embedBold r:id="rId10" w:fontKey="{51D8EE50-4231-6848-9120-C4CAF8C0464D}"/>
  </w:font>
  <w:font w:name="Calibri Light">
    <w:panose1 w:val="020F0302020204030204"/>
    <w:charset w:val="00"/>
    <w:family w:val="swiss"/>
    <w:pitch w:val="variable"/>
    <w:sig w:usb0="E0002AFF" w:usb1="C000247B" w:usb2="00000009" w:usb3="00000000" w:csb0="000001FF" w:csb1="00000000"/>
    <w:embedRegular r:id="rId11" w:fontKey="{E1138E23-C0C8-0E4C-B58F-0DE5D5CF45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173453E4" w:rsidR="00C8426A" w:rsidRDefault="00000000">
    <w:pPr>
      <w:pBdr>
        <w:top w:val="nil"/>
        <w:left w:val="nil"/>
        <w:bottom w:val="nil"/>
        <w:right w:val="nil"/>
        <w:between w:val="nil"/>
      </w:pBdr>
      <w:tabs>
        <w:tab w:val="center" w:pos="4680"/>
        <w:tab w:val="right" w:pos="936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A67DC7">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E942" w14:textId="77777777" w:rsidR="000F505A" w:rsidRDefault="000F505A">
      <w:r>
        <w:separator/>
      </w:r>
    </w:p>
  </w:footnote>
  <w:footnote w:type="continuationSeparator" w:id="0">
    <w:p w14:paraId="62412337" w14:textId="77777777" w:rsidR="000F505A" w:rsidRDefault="000F505A">
      <w:r>
        <w:continuationSeparator/>
      </w:r>
    </w:p>
  </w:footnote>
  <w:footnote w:id="1">
    <w:p w14:paraId="0000006E"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Олон улсад “The personal light electric vehicles” нэршилтэй байна. Эх сурвалж: Improving the road safety of E-scooters. PIN Flash report 47, European Transport Safety Counsel, 2024</w:t>
      </w:r>
    </w:p>
  </w:footnote>
  <w:footnote w:id="2">
    <w:p w14:paraId="0000006F" w14:textId="77777777" w:rsidR="00C8426A" w:rsidRDefault="00000000">
      <w:pPr>
        <w:pBdr>
          <w:top w:val="nil"/>
          <w:left w:val="nil"/>
          <w:bottom w:val="nil"/>
          <w:right w:val="nil"/>
          <w:between w:val="nil"/>
        </w:pBdr>
        <w:rPr>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Олон улсад цахилгаан дугуй, скүүтерийг нийтэд ашиглуулах үйлчилгээг “shared micro mobility service” гэж нэрлэж байна. Эх сурвалж: Improving the road safety of E-scooters. PIN Flash report 47, European Transport Safety Counsel, 2024</w:t>
      </w:r>
    </w:p>
  </w:footnote>
  <w:footnote w:id="3">
    <w:p w14:paraId="00000070"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Эрүүл мэндийн сайдын 2024 оны 9-р сарын 10-ны өдрийн 1а/3664 тоот албан бичгийн Хавсралт “Цахилгаан скүүтер болон цахилгаан дугуйнаас үүдэлтэй осол гэмтэл”-ийн тоон мэдээллээс</w:t>
      </w:r>
    </w:p>
  </w:footnote>
  <w:footnote w:id="4">
    <w:p w14:paraId="00000071"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 xml:space="preserve">Хууль зүй, дотоод хэргийн сайдын 2024 оны 9-р сарын 09-ний өдрийн 1/680 тоот албан бичиг. </w:t>
      </w:r>
    </w:p>
  </w:footnote>
  <w:footnote w:id="5">
    <w:p w14:paraId="00000072"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УИХ-ын даргын 2024 оны 76 дугаар захирамжаар байгуулагдсан ажлын хэсгийн 2024 оны 11-р сарын 21-ний өдрийн хуралдааны тэмдэглэлээс</w:t>
      </w:r>
    </w:p>
  </w:footnote>
  <w:footnote w:id="6">
    <w:p w14:paraId="00000073"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УИХ-ын даргын 2024 оны 76 дугаар захирамжаар байгуулагдсан ажлын хэсгийн 2024 оны 11-р сарын 21-ний өдрийн хуралдааны тэмдэглэлээс</w:t>
      </w:r>
    </w:p>
  </w:footnote>
  <w:footnote w:id="7">
    <w:p w14:paraId="00000074"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Kersten Heineke, The e-kickscooter takes to the road: Understanding consumer-ownership preferences. 2021</w:t>
      </w:r>
    </w:p>
  </w:footnote>
  <w:footnote w:id="8">
    <w:p w14:paraId="00000075"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Kersten Heineke, Benedikt Kloss, Darius Scurtu, and Charlotte Wiemuth, Electric kickscooters have come of age. Regulators have taken notice. 2023</w:t>
      </w:r>
    </w:p>
  </w:footnote>
  <w:footnote w:id="9">
    <w:p w14:paraId="00000076" w14:textId="77777777" w:rsidR="00C8426A" w:rsidRDefault="00000000">
      <w:pPr>
        <w:pBdr>
          <w:top w:val="nil"/>
          <w:left w:val="nil"/>
          <w:bottom w:val="nil"/>
          <w:right w:val="nil"/>
          <w:between w:val="nil"/>
        </w:pBdr>
        <w:rPr>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Мөн тэнд</w:t>
      </w:r>
    </w:p>
  </w:footnote>
  <w:footnote w:id="10">
    <w:p w14:paraId="00000077"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ЗАМЫН ХӨДӨЛГӨӨНИЙ АЮУЛГҮЙ БАЙДЛЫН ТУХАЙ ХУУЛЬД НЭМЭЛТ, ӨӨРЧЛӨЛТ ОРУУЛАХ ТУХАЙ ХУУЛИЙН ТӨСЛИЙН ХЭРЭГЦЭЭ, ШААРДЛАГЫГ УРЬДЧИЛАН ТАНДАН СУДАЛСАН ТАЙЛАН. 22-31 дэх талаас үзнэ үү.</w:t>
      </w:r>
    </w:p>
  </w:footnote>
  <w:footnote w:id="11">
    <w:p w14:paraId="00000078" w14:textId="77777777" w:rsidR="00C8426A" w:rsidRDefault="00000000">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Pr>
          <w:rFonts w:ascii="Arial" w:eastAsia="Arial" w:hAnsi="Arial" w:cs="Arial"/>
          <w:color w:val="000000"/>
          <w:sz w:val="20"/>
          <w:szCs w:val="20"/>
        </w:rPr>
        <w:t>Парламентийн судалгаа, сургалтын хүрээлэн, Цахилгаан дугуйн эрх зүйн зохицуулалт: Зарим орны туршлага ба Монгол Улсын нөхцөл байдал /Харьцуулсан судалгаа/, УБ.,2024 он. 19-23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C8426A" w:rsidRDefault="00000000">
    <w:pPr>
      <w:pBdr>
        <w:top w:val="nil"/>
        <w:left w:val="nil"/>
        <w:bottom w:val="nil"/>
        <w:right w:val="nil"/>
        <w:between w:val="nil"/>
      </w:pBdr>
      <w:tabs>
        <w:tab w:val="center" w:pos="4680"/>
        <w:tab w:val="right" w:pos="9360"/>
      </w:tabs>
      <w:jc w:val="right"/>
      <w:rPr>
        <w:rFonts w:ascii="Arial" w:eastAsia="Arial" w:hAnsi="Arial" w:cs="Arial"/>
        <w:color w:val="000000"/>
      </w:rPr>
    </w:pPr>
    <w:r>
      <w:rPr>
        <w:rFonts w:ascii="Arial" w:eastAsia="Arial" w:hAnsi="Arial" w:cs="Arial"/>
        <w:color w:val="000000"/>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308"/>
    <w:multiLevelType w:val="multilevel"/>
    <w:tmpl w:val="0BD686BA"/>
    <w:lvl w:ilvl="0">
      <w:start w:val="1"/>
      <w:numFmt w:val="decimal"/>
      <w:lvlText w:val="%1."/>
      <w:lvlJc w:val="left"/>
      <w:pPr>
        <w:ind w:left="408" w:hanging="408"/>
      </w:pPr>
    </w:lvl>
    <w:lvl w:ilvl="1">
      <w:start w:val="1"/>
      <w:numFmt w:val="decimal"/>
      <w:lvlText w:val="%1.%2."/>
      <w:lvlJc w:val="left"/>
      <w:pPr>
        <w:ind w:left="1440" w:hanging="720"/>
      </w:pPr>
    </w:lvl>
    <w:lvl w:ilvl="2">
      <w:start w:val="1"/>
      <w:numFmt w:val="decimal"/>
      <w:lvlText w:val="%1.%2.%3."/>
      <w:lvlJc w:val="left"/>
      <w:pPr>
        <w:ind w:left="1713" w:hanging="719"/>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 w15:restartNumberingAfterBreak="0">
    <w:nsid w:val="0A1A2BD9"/>
    <w:multiLevelType w:val="multilevel"/>
    <w:tmpl w:val="D4160D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185E8F"/>
    <w:multiLevelType w:val="multilevel"/>
    <w:tmpl w:val="DA50D2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913694">
    <w:abstractNumId w:val="1"/>
  </w:num>
  <w:num w:numId="2" w16cid:durableId="1663117379">
    <w:abstractNumId w:val="0"/>
  </w:num>
  <w:num w:numId="3" w16cid:durableId="23405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6A"/>
    <w:rsid w:val="000F505A"/>
    <w:rsid w:val="00A67195"/>
    <w:rsid w:val="00A67DC7"/>
    <w:rsid w:val="00C8426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8FDB7"/>
  <w15:docId w15:val="{715E6E1B-F55E-8540-A865-3B1AE527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ighlight2">
    <w:name w:val="highlight2"/>
    <w:basedOn w:val="DefaultParagraphFont"/>
    <w:rsid w:val="002F392B"/>
  </w:style>
  <w:style w:type="paragraph" w:styleId="NormalWeb">
    <w:name w:val="Normal (Web)"/>
    <w:basedOn w:val="Normal"/>
    <w:uiPriority w:val="99"/>
    <w:unhideWhenUsed/>
    <w:rsid w:val="002F392B"/>
    <w:pPr>
      <w:spacing w:before="100" w:beforeAutospacing="1" w:after="100" w:afterAutospacing="1"/>
    </w:pPr>
    <w:rPr>
      <w:rFonts w:ascii="Times New Roman" w:eastAsia="Times New Roman" w:hAnsi="Times New Roman" w:cs="Times New Roman"/>
    </w:rPr>
  </w:style>
  <w:style w:type="character" w:customStyle="1" w:styleId="pull-right">
    <w:name w:val="pull-right"/>
    <w:basedOn w:val="DefaultParagraphFont"/>
    <w:rsid w:val="002F392B"/>
  </w:style>
  <w:style w:type="character" w:styleId="Strong">
    <w:name w:val="Strong"/>
    <w:basedOn w:val="DefaultParagraphFont"/>
    <w:uiPriority w:val="22"/>
    <w:qFormat/>
    <w:rsid w:val="00CD2CC3"/>
    <w:rPr>
      <w:b/>
      <w:bCs/>
    </w:rPr>
  </w:style>
  <w:style w:type="character" w:customStyle="1" w:styleId="apple-style-span">
    <w:name w:val="apple-style-span"/>
    <w:basedOn w:val="DefaultParagraphFont"/>
    <w:rsid w:val="00CD2CC3"/>
  </w:style>
  <w:style w:type="character" w:customStyle="1" w:styleId="highlight">
    <w:name w:val="highlight"/>
    <w:basedOn w:val="DefaultParagraphFont"/>
    <w:rsid w:val="00CD2CC3"/>
  </w:style>
  <w:style w:type="paragraph" w:styleId="ListParagraph">
    <w:name w:val="List Paragraph"/>
    <w:basedOn w:val="Normal"/>
    <w:uiPriority w:val="34"/>
    <w:qFormat/>
    <w:rsid w:val="00897083"/>
    <w:pPr>
      <w:ind w:left="720"/>
      <w:contextualSpacing/>
    </w:pPr>
  </w:style>
  <w:style w:type="paragraph" w:styleId="FootnoteText">
    <w:name w:val="footnote text"/>
    <w:basedOn w:val="Normal"/>
    <w:link w:val="FootnoteTextChar"/>
    <w:uiPriority w:val="99"/>
    <w:unhideWhenUsed/>
    <w:rsid w:val="0097306F"/>
    <w:rPr>
      <w:sz w:val="20"/>
      <w:szCs w:val="20"/>
    </w:rPr>
  </w:style>
  <w:style w:type="character" w:customStyle="1" w:styleId="FootnoteTextChar">
    <w:name w:val="Footnote Text Char"/>
    <w:basedOn w:val="DefaultParagraphFont"/>
    <w:link w:val="FootnoteText"/>
    <w:uiPriority w:val="99"/>
    <w:rsid w:val="0097306F"/>
    <w:rPr>
      <w:sz w:val="20"/>
      <w:szCs w:val="20"/>
    </w:rPr>
  </w:style>
  <w:style w:type="character" w:styleId="FootnoteReference">
    <w:name w:val="footnote reference"/>
    <w:basedOn w:val="DefaultParagraphFont"/>
    <w:uiPriority w:val="99"/>
    <w:semiHidden/>
    <w:unhideWhenUsed/>
    <w:rsid w:val="0097306F"/>
    <w:rPr>
      <w:vertAlign w:val="superscript"/>
    </w:rPr>
  </w:style>
  <w:style w:type="paragraph" w:styleId="Header">
    <w:name w:val="header"/>
    <w:basedOn w:val="Normal"/>
    <w:link w:val="HeaderChar"/>
    <w:uiPriority w:val="99"/>
    <w:unhideWhenUsed/>
    <w:rsid w:val="00351537"/>
    <w:pPr>
      <w:tabs>
        <w:tab w:val="center" w:pos="4680"/>
        <w:tab w:val="right" w:pos="9360"/>
      </w:tabs>
    </w:pPr>
  </w:style>
  <w:style w:type="character" w:customStyle="1" w:styleId="HeaderChar">
    <w:name w:val="Header Char"/>
    <w:basedOn w:val="DefaultParagraphFont"/>
    <w:link w:val="Header"/>
    <w:uiPriority w:val="99"/>
    <w:rsid w:val="00351537"/>
  </w:style>
  <w:style w:type="paragraph" w:styleId="Footer">
    <w:name w:val="footer"/>
    <w:basedOn w:val="Normal"/>
    <w:link w:val="FooterChar"/>
    <w:uiPriority w:val="99"/>
    <w:unhideWhenUsed/>
    <w:rsid w:val="00351537"/>
    <w:pPr>
      <w:tabs>
        <w:tab w:val="center" w:pos="4680"/>
        <w:tab w:val="right" w:pos="9360"/>
      </w:tabs>
    </w:pPr>
  </w:style>
  <w:style w:type="character" w:customStyle="1" w:styleId="FooterChar">
    <w:name w:val="Footer Char"/>
    <w:basedOn w:val="DefaultParagraphFont"/>
    <w:link w:val="Footer"/>
    <w:uiPriority w:val="99"/>
    <w:rsid w:val="0035153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6C7A03"/>
    <w:rPr>
      <w:sz w:val="20"/>
      <w:szCs w:val="20"/>
    </w:rPr>
  </w:style>
  <w:style w:type="character" w:customStyle="1" w:styleId="EndnoteTextChar">
    <w:name w:val="Endnote Text Char"/>
    <w:basedOn w:val="DefaultParagraphFont"/>
    <w:link w:val="EndnoteText"/>
    <w:uiPriority w:val="99"/>
    <w:semiHidden/>
    <w:rsid w:val="006C7A03"/>
    <w:rPr>
      <w:sz w:val="20"/>
      <w:szCs w:val="20"/>
    </w:rPr>
  </w:style>
  <w:style w:type="character" w:styleId="EndnoteReference">
    <w:name w:val="endnote reference"/>
    <w:basedOn w:val="DefaultParagraphFont"/>
    <w:uiPriority w:val="99"/>
    <w:semiHidden/>
    <w:unhideWhenUsed/>
    <w:rsid w:val="006C7A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zrrSkZhGoTBFYoOmybhe1G0/7A==">CgMxLjA4AHIhMW9lZzJnNzl2NnphZ3hZb0lVUTV1X3dHZkpPQlJidzM1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2592</Words>
  <Characters>14781</Characters>
  <Application>Microsoft Office Word</Application>
  <DocSecurity>0</DocSecurity>
  <Lines>123</Lines>
  <Paragraphs>34</Paragraphs>
  <ScaleCrop>false</ScaleCrop>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Gerel</cp:lastModifiedBy>
  <cp:revision>2</cp:revision>
  <cp:lastPrinted>2025-03-24T02:53:00Z</cp:lastPrinted>
  <dcterms:created xsi:type="dcterms:W3CDTF">2025-03-17T12:00:00Z</dcterms:created>
  <dcterms:modified xsi:type="dcterms:W3CDTF">2025-03-24T03:00:00Z</dcterms:modified>
</cp:coreProperties>
</file>