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ТОВЧ ТАНИЛЦУУЛГА</w:t>
      </w:r>
    </w:p>
    <w:p w:rsidR="00000000" w:rsidDel="00000000" w:rsidP="00000000" w:rsidRDefault="00000000" w:rsidRPr="00000000" w14:paraId="00000002">
      <w:pPr>
        <w:jc w:val="right"/>
        <w:rPr>
          <w:rFonts w:ascii="Arial" w:cs="Arial" w:eastAsia="Arial" w:hAnsi="Arial"/>
        </w:rPr>
      </w:pPr>
      <w:r w:rsidDel="00000000" w:rsidR="00000000" w:rsidRPr="00000000">
        <w:rPr>
          <w:rtl w:val="0"/>
        </w:rPr>
      </w:r>
    </w:p>
    <w:p w:rsidR="00000000" w:rsidDel="00000000" w:rsidP="00000000" w:rsidRDefault="00000000" w:rsidRPr="00000000" w14:paraId="00000003">
      <w:pPr>
        <w:jc w:val="right"/>
        <w:rPr>
          <w:rFonts w:ascii="Arial" w:cs="Arial" w:eastAsia="Arial" w:hAnsi="Arial"/>
        </w:rPr>
      </w:pPr>
      <w:r w:rsidDel="00000000" w:rsidR="00000000" w:rsidRPr="00000000">
        <w:rPr>
          <w:rtl w:val="0"/>
        </w:rPr>
      </w:r>
    </w:p>
    <w:p w:rsidR="00000000" w:rsidDel="00000000" w:rsidP="00000000" w:rsidRDefault="00000000" w:rsidRPr="00000000" w14:paraId="00000004">
      <w:pPr>
        <w:jc w:val="right"/>
        <w:rPr>
          <w:rFonts w:ascii="Arial" w:cs="Arial" w:eastAsia="Arial" w:hAnsi="Arial"/>
        </w:rPr>
      </w:pPr>
      <w:r w:rsidDel="00000000" w:rsidR="00000000" w:rsidRPr="00000000">
        <w:rPr>
          <w:rFonts w:ascii="Arial" w:cs="Arial" w:eastAsia="Arial" w:hAnsi="Arial"/>
          <w:rtl w:val="0"/>
        </w:rPr>
        <w:t xml:space="preserve">Замын хөдөлгөөний аюулгүй байдлын тухай </w:t>
      </w:r>
    </w:p>
    <w:p w:rsidR="00000000" w:rsidDel="00000000" w:rsidP="00000000" w:rsidRDefault="00000000" w:rsidRPr="00000000" w14:paraId="00000005">
      <w:pPr>
        <w:jc w:val="right"/>
        <w:rPr>
          <w:rFonts w:ascii="Arial" w:cs="Arial" w:eastAsia="Arial" w:hAnsi="Arial"/>
        </w:rPr>
      </w:pPr>
      <w:r w:rsidDel="00000000" w:rsidR="00000000" w:rsidRPr="00000000">
        <w:rPr>
          <w:rFonts w:ascii="Arial" w:cs="Arial" w:eastAsia="Arial" w:hAnsi="Arial"/>
          <w:rtl w:val="0"/>
        </w:rPr>
        <w:t xml:space="preserve">хуульд нэмэлт, өөрчлөлт оруулах тухай</w:t>
      </w:r>
    </w:p>
    <w:p w:rsidR="00000000" w:rsidDel="00000000" w:rsidP="00000000" w:rsidRDefault="00000000" w:rsidRPr="00000000" w14:paraId="00000006">
      <w:pPr>
        <w:jc w:val="right"/>
        <w:rPr>
          <w:rFonts w:ascii="Arial" w:cs="Arial" w:eastAsia="Arial" w:hAnsi="Arial"/>
        </w:rPr>
      </w:pPr>
      <w:r w:rsidDel="00000000" w:rsidR="00000000" w:rsidRPr="00000000">
        <w:rPr>
          <w:rFonts w:ascii="Arial" w:cs="Arial" w:eastAsia="Arial" w:hAnsi="Arial"/>
          <w:rtl w:val="0"/>
        </w:rPr>
        <w:t xml:space="preserve">хуулийн төслийн талаар</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ind w:firstLine="720"/>
        <w:rPr>
          <w:rFonts w:ascii="Arial" w:cs="Arial" w:eastAsia="Arial" w:hAnsi="Arial"/>
          <w:b w:val="1"/>
        </w:rPr>
      </w:pPr>
      <w:r w:rsidDel="00000000" w:rsidR="00000000" w:rsidRPr="00000000">
        <w:rPr>
          <w:rFonts w:ascii="Arial" w:cs="Arial" w:eastAsia="Arial" w:hAnsi="Arial"/>
          <w:b w:val="1"/>
          <w:rtl w:val="0"/>
        </w:rPr>
        <w:t xml:space="preserve">Нэг. Хуулийн төслийн ерөнхий агуулга, зохицуулах харилцаа</w:t>
      </w:r>
    </w:p>
    <w:p w:rsidR="00000000" w:rsidDel="00000000" w:rsidP="00000000" w:rsidRDefault="00000000" w:rsidRPr="00000000" w14:paraId="00000009">
      <w:pPr>
        <w:ind w:firstLine="720"/>
        <w:rPr>
          <w:rFonts w:ascii="Arial" w:cs="Arial" w:eastAsia="Arial" w:hAnsi="Arial"/>
          <w:b w:val="1"/>
        </w:rPr>
      </w:pPr>
      <w:r w:rsidDel="00000000" w:rsidR="00000000" w:rsidRPr="00000000">
        <w:rPr>
          <w:rtl w:val="0"/>
        </w:rPr>
      </w:r>
    </w:p>
    <w:p w:rsidR="00000000" w:rsidDel="00000000" w:rsidP="00000000" w:rsidRDefault="00000000" w:rsidRPr="00000000" w14:paraId="0000000A">
      <w:pPr>
        <w:ind w:firstLine="720"/>
        <w:jc w:val="both"/>
        <w:rPr>
          <w:rFonts w:ascii="Arial" w:cs="Arial" w:eastAsia="Arial" w:hAnsi="Arial"/>
        </w:rPr>
      </w:pPr>
      <w:r w:rsidDel="00000000" w:rsidR="00000000" w:rsidRPr="00000000">
        <w:rPr>
          <w:rFonts w:ascii="Arial" w:cs="Arial" w:eastAsia="Arial" w:hAnsi="Arial"/>
          <w:highlight w:val="white"/>
          <w:rtl w:val="0"/>
        </w:rPr>
        <w:t xml:space="preserve">Монгол Улсын Үндсэн хуулийн Арван зургадугаар зүйлд Монгол Улсын иргэн дараахь үндсэн эрх, эрх чөлөөг баталгаатай эдэлнэ: 1/амьд явах; 2/эрүүл, аюулгүй орчинд амьдрах, орчны бохирдол, байгалийн тэнцэл алдагдахаас хамгаалуулах эрхтэй” гэж,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Арван зургадугаар зүйлийн 11 дэх хэсэгт “...хүүхдийн ашиг сонирхлыг төр хамгаална” гэж, Тавдугаар зүйлийн 3 дахь хэсэгт “</w:t>
      </w:r>
      <w:r w:rsidDel="00000000" w:rsidR="00000000" w:rsidRPr="00000000">
        <w:rPr>
          <w:rFonts w:ascii="Arial" w:cs="Arial" w:eastAsia="Arial" w:hAnsi="Arial"/>
          <w:rtl w:val="0"/>
        </w:rPr>
        <w:t xml:space="preserve">Өмчлөгчийн эрхийг гагцхүү хуульд заасан үндэслэлээр хязгаарлаж болно.</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гэж тус тус заасан. </w:t>
      </w:r>
    </w:p>
    <w:p w:rsidR="00000000" w:rsidDel="00000000" w:rsidP="00000000" w:rsidRDefault="00000000" w:rsidRPr="00000000" w14:paraId="0000000B">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firstLine="720"/>
        <w:jc w:val="both"/>
        <w:rPr>
          <w:rFonts w:ascii="Arial" w:cs="Arial" w:eastAsia="Arial" w:hAnsi="Arial"/>
        </w:rPr>
      </w:pPr>
      <w:r w:rsidDel="00000000" w:rsidR="00000000" w:rsidRPr="00000000">
        <w:rPr>
          <w:rFonts w:ascii="Arial" w:cs="Arial" w:eastAsia="Arial" w:hAnsi="Arial"/>
          <w:rtl w:val="0"/>
        </w:rPr>
        <w:t xml:space="preserve">Сүүлийн жилүүдэд манай улсад иргэд, ялангуяа 18 нас хүрээгүй хүүхэд, залуучууд шинэ төрлийн бичил цахилгаан тээврийн хэрэгслүүд, түүний дотор цахилгаан дугуй /суррон/, цахилгаан скүүтерээр замын хөдөлгөөнд оролцох явдал эрс нэмэгдэж байна. Мөн хүн амын хэт төвлөрөл, хотжилт, авто замын түгжрэлээс үүдэлтэйгээр Нийслэл Улаанбаатар хотод нийтийн хэрэглээний цахилгаан скүүтер түрээсийн шинэ төрлийн үйлчилгээ бий болж, иргэдийн хэрэглээг өсгөж байна. </w:t>
      </w:r>
      <w:r w:rsidDel="00000000" w:rsidR="00000000" w:rsidRPr="00000000">
        <w:rPr>
          <w:rFonts w:ascii="Arial" w:cs="Arial" w:eastAsia="Arial" w:hAnsi="Arial"/>
          <w:rtl w:val="0"/>
        </w:rPr>
        <w:t xml:space="preserve">Үүний улмаас цахилгаан дугуй /суррон/, цахилгаан скүүтерээс унаж бэртэх, явган зорчигч, автомашин, унадаг дугуй, мотоциклтэй мөргөлдөж зам тээврийн осол гэмтэлд өртөх, иргэдийн аюулгүй зорчих эрхэд нөлөөлөх, өөрт болон бусдад эрүүл мэнд, эд хөрөнгийн хохирол учруулах явдал ихэсч байна. Сүүлийн 5 жилийн хугацаанд буюу 2019-2024 оны эхний 7 сарын байдлаар цахилгаан дугуй /суррон/, цахилгаан скүүтер-с үүдэлтэй нийт </w:t>
      </w:r>
      <w:r w:rsidDel="00000000" w:rsidR="00000000" w:rsidRPr="00000000">
        <w:rPr>
          <w:rFonts w:ascii="Arial" w:cs="Arial" w:eastAsia="Arial" w:hAnsi="Arial"/>
          <w:b w:val="1"/>
          <w:rtl w:val="0"/>
        </w:rPr>
        <w:t xml:space="preserve">584 </w:t>
      </w:r>
      <w:r w:rsidDel="00000000" w:rsidR="00000000" w:rsidRPr="00000000">
        <w:rPr>
          <w:rFonts w:ascii="Arial" w:cs="Arial" w:eastAsia="Arial" w:hAnsi="Arial"/>
          <w:rtl w:val="0"/>
        </w:rPr>
        <w:t xml:space="preserve">осол гэмтлийн шинэ тохиолдол бүртгэгдсэн ба насны бүлгээр </w:t>
      </w:r>
      <w:r w:rsidDel="00000000" w:rsidR="00000000" w:rsidRPr="00000000">
        <w:rPr>
          <w:rFonts w:ascii="Arial" w:cs="Arial" w:eastAsia="Arial" w:hAnsi="Arial"/>
          <w:b w:val="1"/>
          <w:rtl w:val="0"/>
        </w:rPr>
        <w:t xml:space="preserve">10-19 </w:t>
      </w:r>
      <w:r w:rsidDel="00000000" w:rsidR="00000000" w:rsidRPr="00000000">
        <w:rPr>
          <w:rFonts w:ascii="Arial" w:cs="Arial" w:eastAsia="Arial" w:hAnsi="Arial"/>
          <w:rtl w:val="0"/>
        </w:rPr>
        <w:t xml:space="preserve">насны иргэд энэ төрлийн осол гэмтэлд илүүтэй өртсөн байна.</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Мөн нийт тохиолдлын 551 /94,3%/, нийслэлд, 33 /5,6%/ нь орон нутагт бүртгэгдсэн байна. Тэгвэл цагдаагийн байгууллагад бүртгэгдсэн зөрчлийн тоон мэдээллээс үзэхэд 2022-2024 оны эхний 7 сарын байдлаар унадаг дугуй, цахилгаан скүүтер, цахилгаан дугуй /суррон/-наас үүдэлтэй нийт </w:t>
      </w:r>
      <w:r w:rsidDel="00000000" w:rsidR="00000000" w:rsidRPr="00000000">
        <w:rPr>
          <w:rFonts w:ascii="Arial" w:cs="Arial" w:eastAsia="Arial" w:hAnsi="Arial"/>
          <w:b w:val="1"/>
          <w:rtl w:val="0"/>
        </w:rPr>
        <w:t xml:space="preserve">206 зам тээврийн осол</w:t>
      </w:r>
      <w:r w:rsidDel="00000000" w:rsidR="00000000" w:rsidRPr="00000000">
        <w:rPr>
          <w:rFonts w:ascii="Arial" w:cs="Arial" w:eastAsia="Arial" w:hAnsi="Arial"/>
          <w:rtl w:val="0"/>
        </w:rPr>
        <w:t xml:space="preserve"> бүртгэгдсэн байна.</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0D">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720"/>
        <w:jc w:val="both"/>
        <w:rPr>
          <w:rFonts w:ascii="Arial" w:cs="Arial" w:eastAsia="Arial" w:hAnsi="Arial"/>
        </w:rPr>
      </w:pPr>
      <w:r w:rsidDel="00000000" w:rsidR="00000000" w:rsidRPr="00000000">
        <w:rPr>
          <w:rFonts w:ascii="Arial" w:cs="Arial" w:eastAsia="Arial" w:hAnsi="Arial"/>
          <w:rtl w:val="0"/>
        </w:rPr>
        <w:t xml:space="preserve"> Гэвч манай улсад нэвтэрсэн дээрх шинэ төрлийн бичил цахилгаан тээврийн хэрэгслүүдийн ангилал, тодорхойлолт, энэ төрлийн тээврийн хэрэгслээр замын хөдөлгөөнд оролцох жолоочийн эрх, үүрэг одоогийн хүчин төгөлдөр мөрдөж буй Замын хөдөлгөөний аюулгүй байдлын тухай хууль болон Замын хөдөлгөөний дүрмээр тодорхой зохицуулалтгүй байгаа, мөн энэ төрлийн тээврийн хэрэгслийг Монгол улсын нутаг дэвсгэрт импортоор оруулж нийтэд төлбөртэй ашиглуулах үйлчилгээ үзүүлж байгаа этгээдэд</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хяналт тавих эрх зүйн орчин байхгүй зэргээс үүдэн энэ төрлийн тээврийн хэрэгсэлтэй холбоотой замын хөдөлгөөний аюулгүй байдлыг хангахад тулгамдаж буй үндсэн асуудал болоод байна.</w:t>
      </w:r>
    </w:p>
    <w:p w:rsidR="00000000" w:rsidDel="00000000" w:rsidP="00000000" w:rsidRDefault="00000000" w:rsidRPr="00000000" w14:paraId="0000000F">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720"/>
        <w:jc w:val="both"/>
        <w:rPr>
          <w:rFonts w:ascii="Arial" w:cs="Arial" w:eastAsia="Arial" w:hAnsi="Arial"/>
        </w:rPr>
      </w:pPr>
      <w:r w:rsidDel="00000000" w:rsidR="00000000" w:rsidRPr="00000000">
        <w:rPr>
          <w:rFonts w:ascii="Arial" w:cs="Arial" w:eastAsia="Arial" w:hAnsi="Arial"/>
          <w:rtl w:val="0"/>
        </w:rPr>
        <w:t xml:space="preserve">Иймд дээрх шинэ төрлийн бичил цахилгаан тээврийн хэрэгслүүдийн ангилал, тодорхойлолтыг шинээр хуульчлах, тухайн ангиллын тээврийн хэрэгслийг жолоодох насны хязгаар, тээврийн хэрэгсэлд тавих техникийн ерөнхий шаардлага, тээврийн хэрэгслийг жолоодож замын хөдөлгөөнд оролцож байгаа этгээдийн эрх, үүрэг, хариуцлага, мөн дээрх тээврийн хэрэгслээр нийтэд төлбөртэй үйлчилгээ үзүүлж байгаа хуулийн этгээдийн эрх зүйн байдлыг шинээр хуульчлах гэсэн цогц асуудлуудыг зохицуулах зорилгоор Замын хөдөлгөөний аюулгүй байдлын тухай хуульд нэмэлт, өөрчлөлт оруулах нь Монгол улсын Үндсэн хуульд заасан “Төрөөс хүний эрх, эрх чөлөөг хангахуйц эдийн засаг, нийгэм, </w:t>
      </w:r>
      <w:r w:rsidDel="00000000" w:rsidR="00000000" w:rsidRPr="00000000">
        <w:rPr>
          <w:rFonts w:ascii="Arial" w:cs="Arial" w:eastAsia="Arial" w:hAnsi="Arial"/>
          <w:b w:val="1"/>
          <w:rtl w:val="0"/>
        </w:rPr>
        <w:t xml:space="preserve">хууль зүйн</w:t>
      </w:r>
      <w:r w:rsidDel="00000000" w:rsidR="00000000" w:rsidRPr="00000000">
        <w:rPr>
          <w:rFonts w:ascii="Arial" w:cs="Arial" w:eastAsia="Arial" w:hAnsi="Arial"/>
          <w:rtl w:val="0"/>
        </w:rPr>
        <w:t xml:space="preserve"> болон бусад баталгааг бүрдүүлэх” зарчимд нийцэх юм.</w:t>
      </w:r>
    </w:p>
    <w:p w:rsidR="00000000" w:rsidDel="00000000" w:rsidP="00000000" w:rsidRDefault="00000000" w:rsidRPr="00000000" w14:paraId="00000011">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2">
      <w:pPr>
        <w:ind w:firstLine="720"/>
        <w:jc w:val="both"/>
        <w:rPr>
          <w:rFonts w:ascii="Arial" w:cs="Arial" w:eastAsia="Arial" w:hAnsi="Arial"/>
          <w:b w:val="1"/>
        </w:rPr>
      </w:pPr>
      <w:r w:rsidDel="00000000" w:rsidR="00000000" w:rsidRPr="00000000">
        <w:rPr>
          <w:rFonts w:ascii="Arial" w:cs="Arial" w:eastAsia="Arial" w:hAnsi="Arial"/>
          <w:b w:val="1"/>
          <w:rtl w:val="0"/>
        </w:rPr>
        <w:t xml:space="preserve">Хоёр.Хуулийн төсөлд тусгасан зарчмын шинжтэй зохицуулалтын талаар</w:t>
      </w:r>
    </w:p>
    <w:p w:rsidR="00000000" w:rsidDel="00000000" w:rsidP="00000000" w:rsidRDefault="00000000" w:rsidRPr="00000000" w14:paraId="00000013">
      <w:pPr>
        <w:jc w:val="both"/>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Замын хөдөлгөөний аюулгүй байдлын тухай хуульд нэмэлт, өөрчлөлт оруулах тухай хуулийн төсөл нь ..... зүйлтэй бөгөөд хуулийн төсөлд дараах зарчмын шинжтэй зохицуулалтыг тусгав. Үүнд:</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“Цахилгаан скүүтер” (the electric scooter), ”Цахилгаан дугуй” (the electric bike), ”Хувь хүний бичил цахилгаан тээврийн хэрэгсэл” (the personal light electric vehicles) гэсэн тээврийн хэрэгслийн ангиллыг шинээр тодорхойлж, эдгээр тээврийн хэрэгслийг жолоодох насны хязгаар, тээврийн хэрэгслийн техникийн дээд хурд, тээврийн хэрэгсэл зорчихыг зөвшөөрсөн замыг хуульчлав.</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Цахилгаан скүүтер, цахилгаан дугуй жолоодон замын хөдөлгөөнд оролцогч жолоочийн үүрэг, жолоочид хориглох зүйлсийг тусгав.</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Цахилгаан скүүтерийн хөдөлгүүрийн хүч чадал, хамгийн дээд, доод хурд, тээврийн хэрэгслийн бүх жин, тээврийн хэрэгслийн тоноглол зэргийг агуулсан цахилгаан скүүтерт тавих техникийн ерөнхий шаардлагыг шинээр тусгав.</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Замын хөдөлгөөний аюулгүй байдлыг хангахад ”Нийтийн хэрэглээний цахилгаан дугуй, цахилгаан скүүтерийн үйлчилгээ үзүүлэгч” (shared micromobility services) нь тусгай зөвшөөрлийн үндсэн дээр үйл ажиллагаа эрхлэх, үйлчилгээ үзүүлэгчийн эрх, үүрэг, тусгай зөвшөөрлийн нөхцөл шаардлагыг шинээр тодорхойлов.</w:t>
      </w:r>
    </w:p>
    <w:p w:rsidR="00000000" w:rsidDel="00000000" w:rsidP="00000000" w:rsidRDefault="00000000" w:rsidRPr="00000000" w14:paraId="0000001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ind w:firstLine="720"/>
        <w:jc w:val="both"/>
        <w:rPr>
          <w:rFonts w:ascii="Arial" w:cs="Arial" w:eastAsia="Arial" w:hAnsi="Arial"/>
          <w:b w:val="1"/>
        </w:rPr>
      </w:pPr>
      <w:r w:rsidDel="00000000" w:rsidR="00000000" w:rsidRPr="00000000">
        <w:rPr>
          <w:rFonts w:ascii="Arial" w:cs="Arial" w:eastAsia="Arial" w:hAnsi="Arial"/>
          <w:b w:val="1"/>
          <w:rtl w:val="0"/>
        </w:rPr>
        <w:t xml:space="preserve">Гурав.Тухайн харилцааг урьд нь хууль, эрх зүйн бусад актаар зохицуулж ирсэн байдал</w:t>
      </w:r>
    </w:p>
    <w:p w:rsidR="00000000" w:rsidDel="00000000" w:rsidP="00000000" w:rsidRDefault="00000000" w:rsidRPr="00000000" w14:paraId="0000001C">
      <w:pPr>
        <w:ind w:firstLine="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ind w:firstLine="720"/>
        <w:jc w:val="both"/>
        <w:rPr>
          <w:rFonts w:ascii="Arial" w:cs="Arial" w:eastAsia="Arial" w:hAnsi="Arial"/>
        </w:rPr>
      </w:pPr>
      <w:r w:rsidDel="00000000" w:rsidR="00000000" w:rsidRPr="00000000">
        <w:rPr>
          <w:rFonts w:ascii="Arial" w:cs="Arial" w:eastAsia="Arial" w:hAnsi="Arial"/>
          <w:rtl w:val="0"/>
        </w:rPr>
        <w:t xml:space="preserve">Одоо хүчин төгөлдөр мөрдөж буй 2015 оны Замын хөдөлгөөний аюулгүй байдлын тухай хуульд “тээврийн хэрэгсэл” болон “механикжсан тээврийн хэрэгсэл”-ийн талаарх ерөнхий ойлголтыг хуульчилсан ба замын хөдөлгөөнд оролцогч буюу жолооч, тээврийн хэрэгслээр зорчигч, явган зорчигч нарын нийтлэг эрх, үүргийг, мөн замын хөдөлгөөний аюулгүй байдлыг хангах талаар замын хөдөлгөөнд оролцогчоос бусад иргэн, хуулийн этгээдийн нийтлэг эрх, үүргийг тус тус хуульчилсан болно. Харин Засгийн газрын 2018 оны 239-р тогтоолын хавсралтаар баталсан “Монгол улсын замын хөдөлгөөний дүрэм”-д “мопед”, “унадаг дугуй”, “мотоцикл”-ын ангиллыг тодорхойлсон ба эдгээр тээврийн хэрэгслийн жолооч, тээврийн хэрэгслээр зорчигчийн үүргийг журамласнаас өөр цахилгаан дугуй, цахилгаан скүүтерийн ангиллын талаарх ойлголт байхгүй болно.  </w:t>
      </w:r>
    </w:p>
    <w:p w:rsidR="00000000" w:rsidDel="00000000" w:rsidP="00000000" w:rsidRDefault="00000000" w:rsidRPr="00000000" w14:paraId="0000001E">
      <w:pPr>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ind w:firstLine="720"/>
        <w:jc w:val="both"/>
        <w:rPr>
          <w:rFonts w:ascii="Arial" w:cs="Arial" w:eastAsia="Arial" w:hAnsi="Arial"/>
          <w:b w:val="1"/>
        </w:rPr>
      </w:pPr>
      <w:r w:rsidDel="00000000" w:rsidR="00000000" w:rsidRPr="00000000">
        <w:rPr>
          <w:rFonts w:ascii="Arial" w:cs="Arial" w:eastAsia="Arial" w:hAnsi="Arial"/>
          <w:b w:val="1"/>
          <w:rtl w:val="0"/>
        </w:rPr>
        <w:t xml:space="preserve">Дөрөв.Хуулийн төслийг боловсруулахтай холбогдуулан хууль санаачлагчаас авч хэрэгжүүлсэн арга хэмжээ</w:t>
      </w:r>
    </w:p>
    <w:p w:rsidR="00000000" w:rsidDel="00000000" w:rsidP="00000000" w:rsidRDefault="00000000" w:rsidRPr="00000000" w14:paraId="00000020">
      <w:pPr>
        <w:ind w:firstLine="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ind w:firstLine="720"/>
        <w:jc w:val="both"/>
        <w:rPr>
          <w:rFonts w:ascii="Arial" w:cs="Arial" w:eastAsia="Arial" w:hAnsi="Arial"/>
          <w:b w:val="1"/>
        </w:rPr>
      </w:pPr>
      <w:r w:rsidDel="00000000" w:rsidR="00000000" w:rsidRPr="00000000">
        <w:rPr>
          <w:rFonts w:ascii="Arial" w:cs="Arial" w:eastAsia="Arial" w:hAnsi="Arial"/>
          <w:rtl w:val="0"/>
        </w:rPr>
        <w:t xml:space="preserve">Улсын Их Хурлын даргын 2024 оны 9-р сарын 05-ны өдрийн 76 тоот захирамжаар “Төрөөс хүний эрх, эрх чөлөө, хүүхдийн язгуур эрхийг эн тэрүүнд хангахуйц эдийн засаг, нийгэм, хууль зүйн болон бусад баталгааг бүрдүүлэх зорилгоор Монгол улсын нутаг дэвсгэрт замын хөдөлгөөнд оролцож байгаа цахилгаан дугуй /суррон/, цахилгаан скүүтерийн хэрэглээг зохицуулах талаар холбогдох хуулийн төсөл боловсруулах” үүрэг бүхий Ажлын хэсгийг УИХ-ын гишүүн П.Батчимэгээр ахлуулан нийт 5 гишүүний бүрэлдэхүүнтэй байгуулсан. Ажлын хэсгээс Замын хөдөлгөөний аюулгүй байдлын тухай хуульд нэмэлт, өөрчлөлт оруулах тухай хуулийн төслийг боловсруулах шатанд цахилгаан дугуй /суррон/, цахилгаан скүүтерийн хэрэглээний өнөөгийн нөхцөл байдал, цахилгаан скүүтер, цахилгаан дугуй /суррон/-наас үүдэлтэй осол гэмтэл, зохицуулалтын талаар авч хэрэгжүүлж байгаа арга хэмжээний талаарх мэдээллийг Хууль зүй, дотоод хэргийн сайд, Зам, тээврийн сайд, Эрүүл мэндийн сайд, Цагдаагийн ерөнхий газраас, МУ-д импортоор оруулж байгаа дээрх тээврийн хэрэгслийн стандарт, хяналт зохицуулалтын талаар Гаалийн ерөнхий газар, Стандарт, хэмжил зүйн газраас тус тус албан бичгээр мэдээлэл авч ажилласан болно. Мөн “Цахилгаан дугуйн эрх зүйн зохицуулалт: зарим орны туршлага ба монгол улсын нөхцөл байдал” сэдэвт харьцуулсан судалгааг Парламентын судалгаа, хөгжлийн хүрээлэнгээр гүйцэтгүүлсэн.</w:t>
      </w:r>
      <w:r w:rsidDel="00000000" w:rsidR="00000000" w:rsidRPr="00000000">
        <w:rPr>
          <w:rtl w:val="0"/>
        </w:rPr>
      </w:r>
    </w:p>
    <w:p w:rsidR="00000000" w:rsidDel="00000000" w:rsidP="00000000" w:rsidRDefault="00000000" w:rsidRPr="00000000" w14:paraId="00000022">
      <w:pPr>
        <w:ind w:firstLine="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23">
      <w:pPr>
        <w:ind w:firstLine="720"/>
        <w:jc w:val="both"/>
        <w:rPr>
          <w:rFonts w:ascii="Arial" w:cs="Arial" w:eastAsia="Arial" w:hAnsi="Arial"/>
          <w:b w:val="1"/>
        </w:rPr>
      </w:pPr>
      <w:r w:rsidDel="00000000" w:rsidR="00000000" w:rsidRPr="00000000">
        <w:rPr>
          <w:rFonts w:ascii="Arial" w:cs="Arial" w:eastAsia="Arial" w:hAnsi="Arial"/>
          <w:b w:val="1"/>
          <w:rtl w:val="0"/>
        </w:rPr>
        <w:t xml:space="preserve">Тав.Хуулийн төслийг олон нийтээр хэлэлцүүлсэн дүн</w:t>
      </w:r>
    </w:p>
    <w:p w:rsidR="00000000" w:rsidDel="00000000" w:rsidP="00000000" w:rsidRDefault="00000000" w:rsidRPr="00000000" w14:paraId="00000024">
      <w:pPr>
        <w:ind w:firstLine="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25">
      <w:pPr>
        <w:ind w:firstLine="720"/>
        <w:jc w:val="both"/>
        <w:rPr>
          <w:rFonts w:ascii="Arial" w:cs="Arial" w:eastAsia="Arial" w:hAnsi="Arial"/>
          <w:b w:val="1"/>
        </w:rPr>
      </w:pPr>
      <w:r w:rsidDel="00000000" w:rsidR="00000000" w:rsidRPr="00000000">
        <w:rPr>
          <w:rFonts w:ascii="Arial" w:cs="Arial" w:eastAsia="Arial" w:hAnsi="Arial"/>
          <w:rtl w:val="0"/>
        </w:rPr>
        <w:t xml:space="preserve">Улсын Их Хурлын даргын 2024 оны 9-р сарын 05-ны өдрийн 76 тоот захирамжаар байгуулсан Ажлын хэсгээс 2024 оны 11-р сарын 06-ны өдөр цахилгаан дугуй, цахилгаан скүүтерийн зохицуулалтын талаар Хууль зүй, дотоод хэргийн яам, Зам, тээврийн яам, ЦЕГ-ын Тээврийн цагдаагийн алба, “Замын хөдөлгөөний удирдлагын төв” ОНӨТҮГ-ын эрх бүхий албан тушаалтнуудаас санал авах уулзалт, 2024 оны 11-р сарын 21-ний өдөр цахилгаан дугуй, цахилгаан скүүтер худалдан борлуулагч, үйлчилгээ үзүүлэгч “Жэт шаринг” ХХК, “Ви Эм Си” ХХК, “Суррон монголиа” ХХК, “Эко баяк” ХХК гэсэн аж ахуйн нэгжийн удирдлагуудтай санал солилцох уулзалтыг тус тус зохион байгуулав.   </w:t>
      </w:r>
      <w:r w:rsidDel="00000000" w:rsidR="00000000" w:rsidRPr="00000000">
        <w:rPr>
          <w:rtl w:val="0"/>
        </w:rPr>
      </w:r>
    </w:p>
    <w:p w:rsidR="00000000" w:rsidDel="00000000" w:rsidP="00000000" w:rsidRDefault="00000000" w:rsidRPr="00000000" w14:paraId="0000002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7">
      <w:pPr>
        <w:ind w:firstLine="720"/>
        <w:jc w:val="both"/>
        <w:rPr>
          <w:rFonts w:ascii="Arial" w:cs="Arial" w:eastAsia="Arial" w:hAnsi="Arial"/>
          <w:b w:val="1"/>
        </w:rPr>
      </w:pPr>
      <w:r w:rsidDel="00000000" w:rsidR="00000000" w:rsidRPr="00000000">
        <w:rPr>
          <w:rFonts w:ascii="Arial" w:cs="Arial" w:eastAsia="Arial" w:hAnsi="Arial"/>
          <w:b w:val="1"/>
          <w:rtl w:val="0"/>
        </w:rPr>
        <w:t xml:space="preserve">Зургаа.Гадаад орны туршлага, бусад судалгаа, шинжилгээний тайлангийн дүгнэлт </w:t>
      </w:r>
    </w:p>
    <w:p w:rsidR="00000000" w:rsidDel="00000000" w:rsidP="00000000" w:rsidRDefault="00000000" w:rsidRPr="00000000" w14:paraId="00000028">
      <w:pPr>
        <w:rPr>
          <w:rFonts w:ascii="Arial" w:cs="Arial" w:eastAsia="Arial" w:hAnsi="Arial"/>
          <w:b w:val="1"/>
        </w:rPr>
      </w:pPr>
      <w:r w:rsidDel="00000000" w:rsidR="00000000" w:rsidRPr="00000000">
        <w:rPr>
          <w:rtl w:val="0"/>
        </w:rPr>
      </w:r>
    </w:p>
    <w:p w:rsidR="00000000" w:rsidDel="00000000" w:rsidP="00000000" w:rsidRDefault="00000000" w:rsidRPr="00000000" w14:paraId="00000029">
      <w:pPr>
        <w:ind w:firstLine="720"/>
        <w:jc w:val="both"/>
        <w:rPr>
          <w:rFonts w:ascii="Arial" w:cs="Arial" w:eastAsia="Arial" w:hAnsi="Arial"/>
        </w:rPr>
      </w:pPr>
      <w:r w:rsidDel="00000000" w:rsidR="00000000" w:rsidRPr="00000000">
        <w:rPr>
          <w:rFonts w:ascii="Arial" w:cs="Arial" w:eastAsia="Arial" w:hAnsi="Arial"/>
          <w:rtl w:val="0"/>
        </w:rPr>
        <w:t xml:space="preserve">Хууль санаачлагчийн зүгээс хуулийн төсөл боловсруулах шатанд “Цахилгаан дугуйн эрх зүйн зохицуулалт: зарим орны туршлага ба монгол улсын нөхцөл байдал” сэдэвт харьцуулсан судалгааг Парламентын судалгаа, хөгжлийн хүрээлэнгээр гүйцэтгүүлэхдээ АНУ-ын зарим мужууд, Их Британи, БНХАУ, Япон улсын зохицуулалтын талаар, мөн “Замын хөдөлгөөний аюулгүй байдлын тухай хуульд нэмэлт, өөрчлөлт оруулах тухай хуулийн төслийн хэрэгцээ, шаардлагыг урьдчилан тандан судлах судалгааны ажил”-ыг мэргэжлийн судлаачдаар гүйцэтгүүлэхдээ Европын холбооны гишүүн 30 гаран улсын Замын хөдөлгөөний аюулгүй байдлын тухай хууль болон дүрмээр зохицуулсан “Цахилгаан скүүтер” (the electric scooter), ”Цахилгаан дугуй” (the electric bike), ”Хувь хүний бичил цахилгаан тээврийн хэрэгсэл” (the personal light electric vehicles)-ийн талаарх хууль зүйн ойлголт, эдгээр тээврийн хэрэгслийг жолоодох насны хязгаар, тээврийн хэрэгслийн техникийн дээд, доод хурд, тээврийн хэрэгсэлд тавигдах техникийн ерөнхий шаардлага, тээврийн хэрэгсэл зорчих зөвшөөрөгдсөн газар зэргийн талаарх зохицуулалтуудыг харьцуулан судалж, эдгээрээс Их Британи, ХБНГУ, Эстони, Казахстан, Болгар улсын Замын хөдөлгөөний аюулгүй байдлын тухай хууль болон дүрэмд тусгагдсан шинэлэг зохицуулалтуудыг хуулийн төсөл боловсруулахад тусгасан болно.</w:t>
      </w:r>
    </w:p>
    <w:p w:rsidR="00000000" w:rsidDel="00000000" w:rsidP="00000000" w:rsidRDefault="00000000" w:rsidRPr="00000000" w14:paraId="0000002A">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B">
      <w:pPr>
        <w:ind w:firstLine="720"/>
        <w:jc w:val="both"/>
        <w:rPr>
          <w:rFonts w:ascii="Arial" w:cs="Arial" w:eastAsia="Arial" w:hAnsi="Arial"/>
        </w:rPr>
      </w:pPr>
      <w:r w:rsidDel="00000000" w:rsidR="00000000" w:rsidRPr="00000000">
        <w:rPr>
          <w:rFonts w:ascii="Arial" w:cs="Arial" w:eastAsia="Arial" w:hAnsi="Arial"/>
          <w:rtl w:val="0"/>
        </w:rPr>
        <w:t xml:space="preserve">Энэхүү хуулийн төсөл нь Монгол Улсын Үндсэн хууль, Хууль тогтоомжийн тухай хууль, Замын хөдөлгөөний аюулгүй байдлын тухай хууль болон холбогдох бусад хууль тогтоомжтой нийцсэн бөгөөд хуулийн төсөлтэй холбогдуулан Зөвшөөрлийн тухай хуульд өөрчлөлт оруулах тухай, Зөрчлийн тухай хуульд өөрчлөлт оруулах тухай дагалдах хуулийн төслүүдийг боловсруулав.</w:t>
      </w:r>
    </w:p>
    <w:sectPr>
      <w:footerReference r:id="rId8" w:type="default"/>
      <w:footerReference r:id="rId9" w:type="even"/>
      <w:pgSz w:h="16817" w:w="11901" w:orient="portrait"/>
      <w:pgMar w:bottom="1134" w:top="1134" w:left="1440"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Эрүүл мэндийн сайдын 2024 оны 9-р сарын 10-ны өдрийн 1а/3664 тоот албан бичгийн Хавсралт “Цахилгаан скүүтер болон цахилгаан дугуйнаас үүдэлтэй осол гэмтэл”-ийн тоон мэдээллээс</w:t>
      </w:r>
    </w:p>
  </w:footnote>
  <w:footnote w:id="1">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Хууль зүй, дотоод хэргийн сайдын 2024 оны 9-р сарын 09-ний өдрийн 1/680 тоот албан бичиг. </w:t>
      </w:r>
    </w:p>
  </w:footnote>
  <w:footnote w:id="2">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Олон улсад цахилгаан дугуй, скүүтерийг нийтэд ашиглуулах үйлчилгээг “shared micro mobility service” гэж нэрлэж байна. Эх сурвалж: Improving the road safety of E-scooters. PIN Flash report 47, European Transport Safety Counsel, 2024</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mn-M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1509A7"/>
    <w:rPr>
      <w:sz w:val="20"/>
      <w:szCs w:val="20"/>
    </w:rPr>
  </w:style>
  <w:style w:type="character" w:styleId="FootnoteTextChar" w:customStyle="1">
    <w:name w:val="Footnote Text Char"/>
    <w:basedOn w:val="DefaultParagraphFont"/>
    <w:link w:val="FootnoteText"/>
    <w:uiPriority w:val="99"/>
    <w:semiHidden w:val="1"/>
    <w:rsid w:val="001509A7"/>
    <w:rPr>
      <w:sz w:val="20"/>
      <w:szCs w:val="20"/>
    </w:rPr>
  </w:style>
  <w:style w:type="character" w:styleId="FootnoteReference">
    <w:name w:val="footnote reference"/>
    <w:basedOn w:val="DefaultParagraphFont"/>
    <w:uiPriority w:val="99"/>
    <w:semiHidden w:val="1"/>
    <w:unhideWhenUsed w:val="1"/>
    <w:rsid w:val="001509A7"/>
    <w:rPr>
      <w:vertAlign w:val="superscript"/>
    </w:rPr>
  </w:style>
  <w:style w:type="paragraph" w:styleId="EndnoteText">
    <w:name w:val="endnote text"/>
    <w:basedOn w:val="Normal"/>
    <w:link w:val="EndnoteTextChar"/>
    <w:uiPriority w:val="99"/>
    <w:semiHidden w:val="1"/>
    <w:unhideWhenUsed w:val="1"/>
    <w:rsid w:val="005B7240"/>
    <w:rPr>
      <w:sz w:val="20"/>
      <w:szCs w:val="20"/>
    </w:rPr>
  </w:style>
  <w:style w:type="character" w:styleId="EndnoteTextChar" w:customStyle="1">
    <w:name w:val="Endnote Text Char"/>
    <w:basedOn w:val="DefaultParagraphFont"/>
    <w:link w:val="EndnoteText"/>
    <w:uiPriority w:val="99"/>
    <w:semiHidden w:val="1"/>
    <w:rsid w:val="005B7240"/>
    <w:rPr>
      <w:sz w:val="20"/>
      <w:szCs w:val="20"/>
    </w:rPr>
  </w:style>
  <w:style w:type="character" w:styleId="EndnoteReference">
    <w:name w:val="endnote reference"/>
    <w:basedOn w:val="DefaultParagraphFont"/>
    <w:uiPriority w:val="99"/>
    <w:semiHidden w:val="1"/>
    <w:unhideWhenUsed w:val="1"/>
    <w:rsid w:val="005B7240"/>
    <w:rPr>
      <w:vertAlign w:val="superscript"/>
    </w:rPr>
  </w:style>
  <w:style w:type="paragraph" w:styleId="ListParagraph">
    <w:name w:val="List Paragraph"/>
    <w:basedOn w:val="Normal"/>
    <w:uiPriority w:val="34"/>
    <w:qFormat w:val="1"/>
    <w:rsid w:val="00AF4995"/>
    <w:pPr>
      <w:ind w:left="720"/>
      <w:contextualSpacing w:val="1"/>
    </w:pPr>
  </w:style>
  <w:style w:type="paragraph" w:styleId="Footer">
    <w:name w:val="footer"/>
    <w:basedOn w:val="Normal"/>
    <w:link w:val="FooterChar"/>
    <w:uiPriority w:val="99"/>
    <w:unhideWhenUsed w:val="1"/>
    <w:rsid w:val="002A49E3"/>
    <w:pPr>
      <w:tabs>
        <w:tab w:val="center" w:pos="4680"/>
        <w:tab w:val="right" w:pos="9360"/>
      </w:tabs>
    </w:pPr>
  </w:style>
  <w:style w:type="character" w:styleId="FooterChar" w:customStyle="1">
    <w:name w:val="Footer Char"/>
    <w:basedOn w:val="DefaultParagraphFont"/>
    <w:link w:val="Footer"/>
    <w:uiPriority w:val="99"/>
    <w:rsid w:val="002A49E3"/>
  </w:style>
  <w:style w:type="character" w:styleId="PageNumber">
    <w:name w:val="page number"/>
    <w:basedOn w:val="DefaultParagraphFont"/>
    <w:uiPriority w:val="99"/>
    <w:semiHidden w:val="1"/>
    <w:unhideWhenUsed w:val="1"/>
    <w:rsid w:val="002A49E3"/>
  </w:style>
  <w:style w:type="paragraph" w:styleId="Header">
    <w:name w:val="header"/>
    <w:basedOn w:val="Normal"/>
    <w:link w:val="HeaderChar"/>
    <w:uiPriority w:val="99"/>
    <w:unhideWhenUsed w:val="1"/>
    <w:rsid w:val="002A49E3"/>
    <w:pPr>
      <w:tabs>
        <w:tab w:val="center" w:pos="4680"/>
        <w:tab w:val="right" w:pos="9360"/>
      </w:tabs>
    </w:pPr>
  </w:style>
  <w:style w:type="character" w:styleId="HeaderChar" w:customStyle="1">
    <w:name w:val="Header Char"/>
    <w:basedOn w:val="DefaultParagraphFont"/>
    <w:link w:val="Header"/>
    <w:uiPriority w:val="99"/>
    <w:rsid w:val="002A49E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X8Uoj+xuB8wQWQ9xWUKu+QhXQ==">CgMxLjA4AHIhMUUtaGFJWENTbnVFTFZMMC0yWXNXTGluVVdkalNfOU5F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2025-03-17T08:42:00Z</dcterms:created>
  <dc:creator>Macintosh</dc:creator>
</cp:coreProperties>
</file>