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68F9" w14:textId="77777777" w:rsidR="00DC3E02" w:rsidRPr="00DC3E02" w:rsidRDefault="00DC3E02">
      <w:pPr>
        <w:rPr>
          <w:rFonts w:ascii="Arial" w:hAnsi="Arial" w:cs="Arial"/>
          <w:sz w:val="24"/>
          <w:szCs w:val="24"/>
        </w:rPr>
      </w:pPr>
    </w:p>
    <w:tbl>
      <w:tblPr>
        <w:tblStyle w:val="TableGrid"/>
        <w:tblW w:w="9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9"/>
        <w:gridCol w:w="3199"/>
      </w:tblGrid>
      <w:tr w:rsidR="00414AD1" w:rsidRPr="00414AD1" w14:paraId="406931B6" w14:textId="77777777">
        <w:trPr>
          <w:trHeight w:val="280"/>
        </w:trPr>
        <w:tc>
          <w:tcPr>
            <w:tcW w:w="3198" w:type="dxa"/>
          </w:tcPr>
          <w:p w14:paraId="258E0C46" w14:textId="2079ABDB"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БАТЛАВ.</w:t>
            </w:r>
          </w:p>
        </w:tc>
        <w:tc>
          <w:tcPr>
            <w:tcW w:w="3199" w:type="dxa"/>
          </w:tcPr>
          <w:p w14:paraId="55799ACE"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БАТЛАВ.</w:t>
            </w:r>
          </w:p>
        </w:tc>
        <w:tc>
          <w:tcPr>
            <w:tcW w:w="3199" w:type="dxa"/>
          </w:tcPr>
          <w:p w14:paraId="3534A9F7"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БАТЛАВ.</w:t>
            </w:r>
          </w:p>
        </w:tc>
      </w:tr>
      <w:tr w:rsidR="00797B3A" w:rsidRPr="00414AD1" w14:paraId="342BFA4A" w14:textId="77777777">
        <w:trPr>
          <w:trHeight w:val="1725"/>
        </w:trPr>
        <w:tc>
          <w:tcPr>
            <w:tcW w:w="3198" w:type="dxa"/>
          </w:tcPr>
          <w:p w14:paraId="1EA4E9D0"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АЖ ҮЙЛДВЭР, ЭРДЭС БАЯЛГИЙН САЙД</w:t>
            </w:r>
          </w:p>
          <w:p w14:paraId="37AA8A1C" w14:textId="77777777" w:rsidR="00797B3A" w:rsidRPr="00414AD1" w:rsidRDefault="00797B3A" w:rsidP="00B54536">
            <w:pPr>
              <w:spacing w:after="0" w:line="240" w:lineRule="auto"/>
              <w:jc w:val="center"/>
              <w:rPr>
                <w:rFonts w:ascii="Arial" w:hAnsi="Arial" w:cs="Arial"/>
                <w:sz w:val="24"/>
                <w:szCs w:val="24"/>
              </w:rPr>
            </w:pPr>
          </w:p>
          <w:p w14:paraId="24811AD5" w14:textId="77777777" w:rsidR="00797B3A" w:rsidRPr="00414AD1" w:rsidRDefault="00797B3A" w:rsidP="00B54536">
            <w:pPr>
              <w:spacing w:after="0" w:line="240" w:lineRule="auto"/>
              <w:jc w:val="center"/>
              <w:rPr>
                <w:rFonts w:ascii="Arial" w:hAnsi="Arial" w:cs="Arial"/>
                <w:sz w:val="24"/>
                <w:szCs w:val="24"/>
              </w:rPr>
            </w:pPr>
          </w:p>
          <w:p w14:paraId="07EF1BDF" w14:textId="77777777" w:rsidR="00797B3A" w:rsidRPr="00414AD1" w:rsidRDefault="00797B3A" w:rsidP="00B54536">
            <w:pPr>
              <w:spacing w:after="0" w:line="240" w:lineRule="auto"/>
              <w:rPr>
                <w:rFonts w:ascii="Arial" w:hAnsi="Arial" w:cs="Arial"/>
                <w:sz w:val="24"/>
                <w:szCs w:val="24"/>
              </w:rPr>
            </w:pPr>
          </w:p>
          <w:p w14:paraId="7B0D0037"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Ц.ТУВААН</w:t>
            </w:r>
          </w:p>
        </w:tc>
        <w:tc>
          <w:tcPr>
            <w:tcW w:w="3199" w:type="dxa"/>
          </w:tcPr>
          <w:p w14:paraId="3CCE45C0"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САНГИЙН САЙД</w:t>
            </w:r>
          </w:p>
          <w:p w14:paraId="5056B5AF" w14:textId="77777777" w:rsidR="00797B3A" w:rsidRPr="00414AD1" w:rsidRDefault="00797B3A" w:rsidP="00B54536">
            <w:pPr>
              <w:spacing w:after="0" w:line="240" w:lineRule="auto"/>
              <w:jc w:val="center"/>
              <w:rPr>
                <w:rFonts w:ascii="Arial" w:hAnsi="Arial" w:cs="Arial"/>
                <w:sz w:val="24"/>
                <w:szCs w:val="24"/>
              </w:rPr>
            </w:pPr>
          </w:p>
          <w:p w14:paraId="2984D9BC" w14:textId="77777777" w:rsidR="00797B3A" w:rsidRPr="00414AD1" w:rsidRDefault="00797B3A" w:rsidP="00B54536">
            <w:pPr>
              <w:spacing w:after="0" w:line="240" w:lineRule="auto"/>
              <w:jc w:val="center"/>
              <w:rPr>
                <w:rFonts w:ascii="Arial" w:hAnsi="Arial" w:cs="Arial"/>
                <w:sz w:val="24"/>
                <w:szCs w:val="24"/>
              </w:rPr>
            </w:pPr>
          </w:p>
          <w:p w14:paraId="68A1CEFF" w14:textId="77777777" w:rsidR="00797B3A" w:rsidRPr="00414AD1" w:rsidRDefault="00797B3A" w:rsidP="00B54536">
            <w:pPr>
              <w:spacing w:after="0" w:line="240" w:lineRule="auto"/>
              <w:jc w:val="center"/>
              <w:rPr>
                <w:rFonts w:ascii="Arial" w:hAnsi="Arial" w:cs="Arial"/>
                <w:sz w:val="24"/>
                <w:szCs w:val="24"/>
              </w:rPr>
            </w:pPr>
          </w:p>
          <w:p w14:paraId="228EF457" w14:textId="77777777" w:rsidR="00797B3A" w:rsidRPr="00414AD1" w:rsidRDefault="00797B3A" w:rsidP="00B54536">
            <w:pPr>
              <w:spacing w:after="0" w:line="240" w:lineRule="auto"/>
              <w:jc w:val="center"/>
              <w:rPr>
                <w:rFonts w:ascii="Arial" w:hAnsi="Arial" w:cs="Arial"/>
                <w:sz w:val="24"/>
                <w:szCs w:val="24"/>
              </w:rPr>
            </w:pPr>
          </w:p>
          <w:p w14:paraId="61407011"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Б.ЖАВХЛАН</w:t>
            </w:r>
          </w:p>
        </w:tc>
        <w:tc>
          <w:tcPr>
            <w:tcW w:w="3199" w:type="dxa"/>
          </w:tcPr>
          <w:p w14:paraId="00181A71"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ХУУЛЬ ЗҮЙ, ДОТООД ХЭРГИЙН САЙД</w:t>
            </w:r>
          </w:p>
          <w:p w14:paraId="37BB017F" w14:textId="77777777" w:rsidR="00797B3A" w:rsidRPr="00414AD1" w:rsidRDefault="00797B3A" w:rsidP="00B54536">
            <w:pPr>
              <w:spacing w:after="0" w:line="240" w:lineRule="auto"/>
              <w:jc w:val="center"/>
              <w:rPr>
                <w:rFonts w:ascii="Arial" w:hAnsi="Arial" w:cs="Arial"/>
                <w:sz w:val="24"/>
                <w:szCs w:val="24"/>
              </w:rPr>
            </w:pPr>
          </w:p>
          <w:p w14:paraId="1C353191" w14:textId="77777777" w:rsidR="00797B3A" w:rsidRPr="00414AD1" w:rsidRDefault="00797B3A" w:rsidP="00B54536">
            <w:pPr>
              <w:spacing w:after="0" w:line="240" w:lineRule="auto"/>
              <w:jc w:val="center"/>
              <w:rPr>
                <w:rFonts w:ascii="Arial" w:hAnsi="Arial" w:cs="Arial"/>
                <w:sz w:val="24"/>
                <w:szCs w:val="24"/>
              </w:rPr>
            </w:pPr>
          </w:p>
          <w:p w14:paraId="3FBB5347" w14:textId="77777777" w:rsidR="00797B3A" w:rsidRPr="00414AD1" w:rsidRDefault="00797B3A" w:rsidP="00B54536">
            <w:pPr>
              <w:spacing w:after="0" w:line="240" w:lineRule="auto"/>
              <w:jc w:val="center"/>
              <w:rPr>
                <w:rFonts w:ascii="Arial" w:hAnsi="Arial" w:cs="Arial"/>
                <w:sz w:val="24"/>
                <w:szCs w:val="24"/>
              </w:rPr>
            </w:pPr>
          </w:p>
          <w:p w14:paraId="1076AF33" w14:textId="77777777" w:rsidR="00797B3A" w:rsidRPr="00414AD1" w:rsidRDefault="00797B3A" w:rsidP="00B54536">
            <w:pPr>
              <w:spacing w:after="0" w:line="240" w:lineRule="auto"/>
              <w:jc w:val="center"/>
              <w:rPr>
                <w:rFonts w:ascii="Arial" w:hAnsi="Arial" w:cs="Arial"/>
                <w:sz w:val="24"/>
                <w:szCs w:val="24"/>
              </w:rPr>
            </w:pPr>
            <w:r w:rsidRPr="00414AD1">
              <w:rPr>
                <w:rFonts w:ascii="Arial" w:hAnsi="Arial" w:cs="Arial"/>
                <w:sz w:val="24"/>
                <w:szCs w:val="24"/>
              </w:rPr>
              <w:t>О.АЛТАНГЭРЭЛ</w:t>
            </w:r>
          </w:p>
        </w:tc>
      </w:tr>
    </w:tbl>
    <w:p w14:paraId="162DBCA8" w14:textId="77777777" w:rsidR="00797B3A" w:rsidRPr="00414AD1" w:rsidRDefault="00797B3A" w:rsidP="00B54536">
      <w:pPr>
        <w:spacing w:after="0" w:line="240" w:lineRule="auto"/>
        <w:rPr>
          <w:rFonts w:ascii="Arial" w:eastAsia="Arial" w:hAnsi="Arial" w:cs="Arial"/>
          <w:sz w:val="24"/>
          <w:szCs w:val="24"/>
        </w:rPr>
      </w:pPr>
    </w:p>
    <w:p w14:paraId="73AB2F5A" w14:textId="77777777" w:rsidR="00797B3A" w:rsidRPr="00414AD1" w:rsidRDefault="00797B3A" w:rsidP="00B54536">
      <w:pPr>
        <w:spacing w:after="0" w:line="240" w:lineRule="auto"/>
        <w:rPr>
          <w:rFonts w:ascii="Arial" w:eastAsia="Arial" w:hAnsi="Arial" w:cs="Arial"/>
          <w:sz w:val="24"/>
          <w:szCs w:val="24"/>
        </w:rPr>
      </w:pPr>
    </w:p>
    <w:p w14:paraId="094483FD" w14:textId="77777777" w:rsidR="00797B3A" w:rsidRPr="00414AD1" w:rsidRDefault="00797B3A" w:rsidP="00B54536">
      <w:pPr>
        <w:spacing w:after="0" w:line="240" w:lineRule="auto"/>
        <w:rPr>
          <w:rFonts w:ascii="Arial" w:eastAsia="Arial" w:hAnsi="Arial" w:cs="Arial"/>
          <w:sz w:val="24"/>
          <w:szCs w:val="24"/>
        </w:rPr>
      </w:pPr>
    </w:p>
    <w:p w14:paraId="17C491D9" w14:textId="4B7F98C5" w:rsidR="00797B3A" w:rsidRPr="00414AD1" w:rsidRDefault="00797B3A" w:rsidP="00B54536">
      <w:pPr>
        <w:spacing w:after="0" w:line="240" w:lineRule="auto"/>
        <w:jc w:val="center"/>
        <w:rPr>
          <w:rFonts w:ascii="Arial" w:hAnsi="Arial" w:cs="Arial"/>
          <w:b/>
          <w:sz w:val="24"/>
          <w:szCs w:val="24"/>
        </w:rPr>
      </w:pPr>
      <w:r w:rsidRPr="00414AD1">
        <w:rPr>
          <w:rFonts w:ascii="Arial" w:hAnsi="Arial" w:cs="Arial"/>
          <w:b/>
          <w:sz w:val="24"/>
          <w:szCs w:val="24"/>
        </w:rPr>
        <w:t>УУЛ УУРХАЙН БҮТЭЭГДЭХҮҮНИЙ БИРЖИЙН ТУХАЙ</w:t>
      </w:r>
      <w:r w:rsidR="00DC008C" w:rsidRPr="00414AD1">
        <w:rPr>
          <w:rFonts w:ascii="Arial" w:hAnsi="Arial" w:cs="Arial"/>
          <w:b/>
          <w:sz w:val="24"/>
          <w:szCs w:val="24"/>
        </w:rPr>
        <w:t xml:space="preserve"> </w:t>
      </w:r>
      <w:r w:rsidRPr="00414AD1">
        <w:rPr>
          <w:rFonts w:ascii="Arial" w:hAnsi="Arial" w:cs="Arial"/>
          <w:b/>
          <w:sz w:val="24"/>
          <w:szCs w:val="24"/>
        </w:rPr>
        <w:t xml:space="preserve">ХУУЛЬД НЭМЭЛТ, ӨӨРЧЛӨЛТ ОРУУЛАХ ТУХАЙ ХУУЛИЙН </w:t>
      </w:r>
    </w:p>
    <w:p w14:paraId="6B1BEADA" w14:textId="77777777" w:rsidR="00797B3A" w:rsidRPr="00414AD1" w:rsidRDefault="00797B3A" w:rsidP="00B54536">
      <w:pPr>
        <w:spacing w:after="0" w:line="240" w:lineRule="auto"/>
        <w:jc w:val="center"/>
        <w:rPr>
          <w:rFonts w:ascii="Arial" w:hAnsi="Arial" w:cs="Arial"/>
          <w:b/>
          <w:sz w:val="24"/>
          <w:szCs w:val="24"/>
        </w:rPr>
      </w:pPr>
      <w:r w:rsidRPr="00414AD1">
        <w:rPr>
          <w:rFonts w:ascii="Arial" w:hAnsi="Arial" w:cs="Arial"/>
          <w:b/>
          <w:sz w:val="24"/>
          <w:szCs w:val="24"/>
        </w:rPr>
        <w:t>ТӨСЛИЙН ҮЗЭЛ БАРИМТЛАЛ</w:t>
      </w:r>
    </w:p>
    <w:p w14:paraId="290D8FCD" w14:textId="77777777" w:rsidR="00797B3A" w:rsidRPr="00414AD1" w:rsidRDefault="00797B3A" w:rsidP="00B54536">
      <w:pPr>
        <w:spacing w:after="0" w:line="240" w:lineRule="auto"/>
        <w:jc w:val="center"/>
        <w:rPr>
          <w:rFonts w:ascii="Arial" w:hAnsi="Arial" w:cs="Arial"/>
          <w:b/>
          <w:sz w:val="24"/>
          <w:szCs w:val="24"/>
        </w:rPr>
      </w:pPr>
    </w:p>
    <w:p w14:paraId="085286D0" w14:textId="77777777" w:rsidR="00797B3A" w:rsidRPr="00414AD1" w:rsidRDefault="00797B3A" w:rsidP="00B54536">
      <w:pPr>
        <w:spacing w:after="0" w:line="240" w:lineRule="auto"/>
        <w:ind w:firstLine="720"/>
        <w:rPr>
          <w:rFonts w:ascii="Arial" w:hAnsi="Arial" w:cs="Arial"/>
          <w:b/>
          <w:sz w:val="24"/>
          <w:szCs w:val="24"/>
        </w:rPr>
      </w:pPr>
      <w:r w:rsidRPr="00414AD1">
        <w:rPr>
          <w:rFonts w:ascii="Arial" w:hAnsi="Arial" w:cs="Arial"/>
          <w:b/>
          <w:sz w:val="24"/>
          <w:szCs w:val="24"/>
        </w:rPr>
        <w:t>Нэг. Хуулийн төсөл боловсруулах болсон үндэслэл, шаардлага</w:t>
      </w:r>
    </w:p>
    <w:p w14:paraId="610A9D25" w14:textId="77777777" w:rsidR="00797B3A" w:rsidRPr="00414AD1" w:rsidRDefault="00797B3A" w:rsidP="00B54536">
      <w:pPr>
        <w:spacing w:after="0" w:line="240" w:lineRule="auto"/>
        <w:ind w:firstLine="720"/>
        <w:rPr>
          <w:rFonts w:ascii="Arial" w:hAnsi="Arial" w:cs="Arial"/>
          <w:b/>
          <w:sz w:val="24"/>
          <w:szCs w:val="24"/>
        </w:rPr>
      </w:pPr>
    </w:p>
    <w:p w14:paraId="6F3B8E7F" w14:textId="77777777" w:rsidR="00797B3A" w:rsidRPr="00414AD1" w:rsidRDefault="00797B3A" w:rsidP="00B54536">
      <w:pPr>
        <w:pStyle w:val="NormalWeb"/>
        <w:numPr>
          <w:ilvl w:val="1"/>
          <w:numId w:val="1"/>
        </w:numPr>
        <w:shd w:val="clear" w:color="auto" w:fill="FFFFFF"/>
        <w:tabs>
          <w:tab w:val="left" w:pos="2250"/>
        </w:tabs>
        <w:spacing w:before="0" w:beforeAutospacing="0" w:after="0" w:afterAutospacing="0"/>
        <w:jc w:val="both"/>
        <w:textAlignment w:val="top"/>
        <w:rPr>
          <w:rFonts w:ascii="Arial" w:hAnsi="Arial" w:cs="Arial"/>
          <w:lang w:val="mn-MN"/>
        </w:rPr>
      </w:pPr>
      <w:r w:rsidRPr="00414AD1">
        <w:rPr>
          <w:rFonts w:ascii="Arial" w:hAnsi="Arial" w:cs="Arial"/>
          <w:bCs/>
          <w:lang w:val="mn-MN"/>
        </w:rPr>
        <w:t>Хууль зүйн үндэслэл</w:t>
      </w:r>
    </w:p>
    <w:p w14:paraId="5AD69A37" w14:textId="77777777" w:rsidR="00797B3A" w:rsidRPr="00414AD1" w:rsidRDefault="00797B3A" w:rsidP="00B54536">
      <w:pPr>
        <w:spacing w:after="0" w:line="240" w:lineRule="auto"/>
        <w:jc w:val="both"/>
        <w:rPr>
          <w:rFonts w:ascii="Arial" w:hAnsi="Arial" w:cs="Arial"/>
          <w:iCs/>
          <w:sz w:val="24"/>
          <w:szCs w:val="24"/>
        </w:rPr>
      </w:pPr>
    </w:p>
    <w:p w14:paraId="75E72863" w14:textId="091474BF" w:rsidR="00797B3A" w:rsidRPr="00414AD1" w:rsidRDefault="00797B3A" w:rsidP="00EC77D2">
      <w:pPr>
        <w:pStyle w:val="NormalWeb"/>
        <w:shd w:val="clear" w:color="auto" w:fill="FFFFFF"/>
        <w:spacing w:before="0" w:beforeAutospacing="0" w:after="0" w:afterAutospacing="0"/>
        <w:ind w:firstLine="720"/>
        <w:jc w:val="both"/>
        <w:textAlignment w:val="top"/>
        <w:rPr>
          <w:rFonts w:ascii="Arial" w:hAnsi="Arial" w:cs="Arial"/>
          <w:lang w:val="mn-MN"/>
        </w:rPr>
      </w:pPr>
      <w:r w:rsidRPr="00414AD1">
        <w:rPr>
          <w:rFonts w:ascii="Arial" w:hAnsi="Arial" w:cs="Arial"/>
          <w:lang w:val="mn-MN"/>
        </w:rPr>
        <w:t>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w:t>
      </w:r>
      <w:r w:rsidRPr="00414AD1">
        <w:rPr>
          <w:rFonts w:ascii="Arial" w:hAnsi="Arial" w:cs="Arial"/>
          <w:shd w:val="clear" w:color="auto" w:fill="FFFFFF"/>
          <w:lang w:val="mn-MN"/>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414AD1">
        <w:rPr>
          <w:rFonts w:ascii="Arial" w:hAnsi="Arial" w:cs="Arial"/>
          <w:lang w:val="mn-MN"/>
        </w:rPr>
        <w:t>” гэж заасан.</w:t>
      </w:r>
    </w:p>
    <w:p w14:paraId="40055A32" w14:textId="77777777" w:rsidR="00797B3A" w:rsidRPr="00414AD1" w:rsidRDefault="00797B3A" w:rsidP="00EC77D2">
      <w:pPr>
        <w:pStyle w:val="NormalWeb"/>
        <w:shd w:val="clear" w:color="auto" w:fill="FFFFFF"/>
        <w:spacing w:before="0" w:beforeAutospacing="0" w:after="0" w:afterAutospacing="0"/>
        <w:ind w:firstLine="720"/>
        <w:jc w:val="both"/>
        <w:textAlignment w:val="top"/>
        <w:rPr>
          <w:rFonts w:ascii="Arial" w:hAnsi="Arial" w:cs="Arial"/>
          <w:lang w:val="mn-MN"/>
        </w:rPr>
      </w:pPr>
    </w:p>
    <w:p w14:paraId="2862104C" w14:textId="09071477" w:rsidR="00797B3A" w:rsidRPr="00414AD1" w:rsidRDefault="00E44FFB" w:rsidP="00EC77D2">
      <w:pPr>
        <w:pStyle w:val="NormalWeb"/>
        <w:shd w:val="clear" w:color="auto" w:fill="FFFFFF"/>
        <w:spacing w:before="0" w:beforeAutospacing="0" w:after="0" w:afterAutospacing="0"/>
        <w:ind w:firstLine="720"/>
        <w:jc w:val="both"/>
        <w:textAlignment w:val="top"/>
        <w:rPr>
          <w:rFonts w:ascii="Arial" w:hAnsi="Arial" w:cs="Arial"/>
          <w:lang w:val="mn-MN"/>
        </w:rPr>
      </w:pPr>
      <w:r w:rsidRPr="00414AD1">
        <w:rPr>
          <w:rFonts w:ascii="Arial" w:hAnsi="Arial" w:cs="Arial"/>
          <w:lang w:val="mn-MN"/>
        </w:rPr>
        <w:t xml:space="preserve">Мөн </w:t>
      </w:r>
      <w:r w:rsidR="009C2B29" w:rsidRPr="00414AD1">
        <w:rPr>
          <w:rFonts w:ascii="Arial" w:hAnsi="Arial" w:cs="Arial"/>
          <w:lang w:val="mn-MN"/>
        </w:rPr>
        <w:t xml:space="preserve">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4.2.1-д </w:t>
      </w:r>
      <w:r w:rsidRPr="00414AD1">
        <w:rPr>
          <w:rFonts w:ascii="Arial" w:hAnsi="Arial" w:cs="Arial"/>
          <w:lang w:val="mn-MN"/>
        </w:rPr>
        <w:t>“</w:t>
      </w:r>
      <w:r w:rsidR="009C2B29" w:rsidRPr="00414AD1">
        <w:rPr>
          <w:rFonts w:ascii="Arial" w:hAnsi="Arial" w:cs="Arial"/>
          <w:lang w:val="mn-MN"/>
        </w:rPr>
        <w:t>Нэмүү өртөг шингээсэн уул уурхай, стратегийн мега төслүүд, боловсруулах аж үйлдвэр, хөдөө аж ахуй, эрчим хүч, тээвэр, логистик, төрөлжсөн аялал жуулчлал, түүнийг дагасан үйлчилгээ, жижиг, дунд үйлдвэрлэл, мэдлэгжсэн бүтээлч үйлдвэрлэлийг эдийн засгийн тэргүүлэх салбар болгон хөгжүүлнэ.</w:t>
      </w:r>
      <w:r w:rsidRPr="00414AD1">
        <w:rPr>
          <w:rFonts w:ascii="Arial" w:hAnsi="Arial" w:cs="Arial"/>
          <w:lang w:val="mn-MN"/>
        </w:rPr>
        <w:t xml:space="preserve">” гэж, </w:t>
      </w:r>
      <w:r w:rsidR="00797B3A" w:rsidRPr="00414AD1">
        <w:rPr>
          <w:rFonts w:ascii="Arial" w:hAnsi="Arial" w:cs="Arial"/>
          <w:lang w:val="mn-MN"/>
        </w:rPr>
        <w:t xml:space="preserve">Монгол Улсын Их Хурлын 2024 оны 21 дүгээр тогтоолоор баталсан “Монгол Улсын Засгийн газрын 2024-2028 оны үйл ажиллагааны хөтөлбөр”-ийн 3.3.6.1-д “Уул уурхайн салбарын түүхий эдийн боловсруулалтын түвшин болон хүнд үйлдвэрлэлийн хүчин чадлыг өсгөж, экспортын орлогыг нэмэгдүүлнэ.” </w:t>
      </w:r>
      <w:r w:rsidRPr="00414AD1">
        <w:rPr>
          <w:rFonts w:ascii="Arial" w:hAnsi="Arial" w:cs="Arial"/>
          <w:lang w:val="mn-MN"/>
        </w:rPr>
        <w:t>гэж тус тус заасан.</w:t>
      </w:r>
    </w:p>
    <w:p w14:paraId="0374F6EA" w14:textId="77777777" w:rsidR="00E44FFB" w:rsidRPr="00414AD1" w:rsidRDefault="00E44FFB" w:rsidP="00EC77D2">
      <w:pPr>
        <w:pStyle w:val="NormalWeb"/>
        <w:shd w:val="clear" w:color="auto" w:fill="FFFFFF"/>
        <w:spacing w:before="0" w:beforeAutospacing="0" w:after="0" w:afterAutospacing="0"/>
        <w:ind w:firstLine="720"/>
        <w:jc w:val="both"/>
        <w:textAlignment w:val="top"/>
        <w:rPr>
          <w:rFonts w:ascii="Arial" w:hAnsi="Arial" w:cs="Arial"/>
          <w:lang w:val="mn-MN"/>
        </w:rPr>
      </w:pPr>
    </w:p>
    <w:p w14:paraId="17FB2C46" w14:textId="77777777" w:rsidR="00797B3A" w:rsidRPr="00414AD1" w:rsidRDefault="00797B3A" w:rsidP="00EC77D2">
      <w:pPr>
        <w:pStyle w:val="ListParagraph"/>
        <w:numPr>
          <w:ilvl w:val="1"/>
          <w:numId w:val="1"/>
        </w:numPr>
        <w:tabs>
          <w:tab w:val="left" w:pos="2250"/>
        </w:tabs>
        <w:spacing w:after="0" w:line="240" w:lineRule="auto"/>
        <w:contextualSpacing w:val="0"/>
        <w:jc w:val="both"/>
        <w:rPr>
          <w:rFonts w:ascii="Arial" w:hAnsi="Arial" w:cs="Arial"/>
          <w:bCs/>
          <w:sz w:val="24"/>
          <w:szCs w:val="24"/>
        </w:rPr>
      </w:pPr>
      <w:r w:rsidRPr="00414AD1">
        <w:rPr>
          <w:rFonts w:ascii="Arial" w:hAnsi="Arial" w:cs="Arial"/>
          <w:bCs/>
          <w:sz w:val="24"/>
          <w:szCs w:val="24"/>
        </w:rPr>
        <w:t>Практик шаардлага</w:t>
      </w:r>
    </w:p>
    <w:p w14:paraId="638DFDB2" w14:textId="77777777" w:rsidR="006C2259" w:rsidRPr="00414AD1" w:rsidRDefault="006C2259" w:rsidP="00EC77D2">
      <w:pPr>
        <w:pStyle w:val="NormalWeb"/>
        <w:shd w:val="clear" w:color="auto" w:fill="FFFFFF"/>
        <w:spacing w:before="0" w:beforeAutospacing="0" w:after="0" w:afterAutospacing="0"/>
        <w:jc w:val="both"/>
        <w:textAlignment w:val="top"/>
        <w:rPr>
          <w:rFonts w:ascii="Arial" w:hAnsi="Arial" w:cs="Arial"/>
          <w:lang w:val="mn-MN"/>
        </w:rPr>
      </w:pPr>
    </w:p>
    <w:p w14:paraId="594A7E30" w14:textId="77777777" w:rsidR="006C2259" w:rsidRPr="00414AD1" w:rsidRDefault="006C2259" w:rsidP="00EC77D2">
      <w:pPr>
        <w:spacing w:after="0" w:line="240" w:lineRule="auto"/>
        <w:ind w:firstLine="720"/>
        <w:jc w:val="both"/>
        <w:rPr>
          <w:rFonts w:ascii="Arial" w:hAnsi="Arial" w:cs="Arial"/>
          <w:sz w:val="24"/>
          <w:szCs w:val="24"/>
        </w:rPr>
      </w:pPr>
      <w:r w:rsidRPr="00414AD1">
        <w:rPr>
          <w:rFonts w:ascii="Arial" w:hAnsi="Arial" w:cs="Arial"/>
          <w:sz w:val="24"/>
          <w:szCs w:val="24"/>
        </w:rPr>
        <w:t>Уул уурхайн салбар 2024 оны жилийн эцсийн байдлаар дотоодын нийт бүтээгдэхүүний 26 хувь, аж үйлдвэрийн салбарын 72 хувь, гадаадын шууд хөрөнгө оруулалтын 81 хувь, экспортын орлогын 94 хувь, төсвийн орлогын 34 хувийг тус тус бүрдүүлсэн.</w:t>
      </w:r>
    </w:p>
    <w:p w14:paraId="19D7E031" w14:textId="77777777" w:rsidR="006C2259" w:rsidRPr="00414AD1" w:rsidRDefault="006C2259" w:rsidP="00EC77D2">
      <w:pPr>
        <w:spacing w:after="0" w:line="240" w:lineRule="auto"/>
        <w:ind w:firstLine="720"/>
        <w:jc w:val="both"/>
        <w:rPr>
          <w:rFonts w:ascii="Arial" w:hAnsi="Arial" w:cs="Arial"/>
          <w:sz w:val="24"/>
          <w:szCs w:val="24"/>
        </w:rPr>
      </w:pPr>
    </w:p>
    <w:p w14:paraId="357E98DD" w14:textId="63C0CB5E" w:rsidR="006C2259" w:rsidRDefault="006C2259" w:rsidP="00D6765F">
      <w:pPr>
        <w:spacing w:after="0" w:line="240" w:lineRule="auto"/>
        <w:ind w:firstLine="720"/>
        <w:jc w:val="both"/>
        <w:rPr>
          <w:rFonts w:ascii="Arial" w:hAnsi="Arial" w:cs="Arial"/>
          <w:sz w:val="24"/>
          <w:szCs w:val="24"/>
        </w:rPr>
      </w:pPr>
      <w:r w:rsidRPr="00414AD1">
        <w:rPr>
          <w:rFonts w:ascii="Arial" w:hAnsi="Arial" w:cs="Arial"/>
          <w:sz w:val="24"/>
          <w:szCs w:val="24"/>
        </w:rPr>
        <w:t>Гадаад худалдааны нийт бараа эргэлт 2025 оны эхний 2 сарын гүйцэтгэлээр 3,715.8 сая ам.долларт хүрч өнгөрсөн оны мөн үеэс 120.4 (3.1%) сая ам.доллароор буурсан байна. Экспорт</w:t>
      </w:r>
      <w:r w:rsidR="00DD0689" w:rsidRPr="00414AD1">
        <w:rPr>
          <w:rFonts w:ascii="Arial" w:hAnsi="Arial" w:cs="Arial"/>
          <w:sz w:val="24"/>
          <w:szCs w:val="24"/>
        </w:rPr>
        <w:t>,</w:t>
      </w:r>
      <w:r w:rsidRPr="00414AD1">
        <w:rPr>
          <w:rFonts w:ascii="Arial" w:hAnsi="Arial" w:cs="Arial"/>
          <w:sz w:val="24"/>
          <w:szCs w:val="24"/>
        </w:rPr>
        <w:t xml:space="preserve"> импортоос давамгайлж 294.0 сая ам.доллароор өссөн </w:t>
      </w:r>
      <w:r w:rsidRPr="00414AD1">
        <w:rPr>
          <w:rFonts w:ascii="Arial" w:hAnsi="Arial" w:cs="Arial"/>
          <w:sz w:val="24"/>
          <w:szCs w:val="24"/>
        </w:rPr>
        <w:lastRenderedPageBreak/>
        <w:t xml:space="preserve">үзүүлэлттэй гарсан боловч экспортын орлого өмнөх оны мөн үеэс 235.4 (10.5%) сая ам.доллароор буурч 2,004.9 сая ам.долларын гүйцэтгэлтэй байна. </w:t>
      </w:r>
    </w:p>
    <w:p w14:paraId="6AA995E5" w14:textId="77777777" w:rsidR="003D4224" w:rsidRPr="00414AD1" w:rsidRDefault="003D4224" w:rsidP="00D6765F">
      <w:pPr>
        <w:spacing w:after="0" w:line="240" w:lineRule="auto"/>
        <w:ind w:firstLine="720"/>
        <w:jc w:val="both"/>
        <w:rPr>
          <w:rFonts w:ascii="Arial" w:hAnsi="Arial" w:cs="Arial"/>
          <w:sz w:val="24"/>
          <w:szCs w:val="24"/>
        </w:rPr>
      </w:pPr>
    </w:p>
    <w:p w14:paraId="54BB2256" w14:textId="2B309C6F" w:rsidR="006C2259" w:rsidRPr="00414AD1" w:rsidRDefault="006C2259" w:rsidP="00EC77D2">
      <w:pPr>
        <w:spacing w:after="0" w:line="240" w:lineRule="auto"/>
        <w:ind w:firstLine="720"/>
        <w:jc w:val="both"/>
        <w:rPr>
          <w:rFonts w:ascii="Arial" w:hAnsi="Arial" w:cs="Arial"/>
          <w:sz w:val="24"/>
          <w:szCs w:val="24"/>
        </w:rPr>
      </w:pPr>
      <w:r w:rsidRPr="00414AD1">
        <w:rPr>
          <w:rFonts w:ascii="Arial" w:hAnsi="Arial" w:cs="Arial"/>
          <w:sz w:val="24"/>
          <w:szCs w:val="24"/>
        </w:rPr>
        <w:t>Одоогийн байдлаар уул уурхайн бүтээгдэхүүнийг спот, форвард гэрээний дагуу биржээр дамжуулан арилжиж байгаа бөгөөд 2023 оны 01 дүгээр сарын 12-ны өдрөөс 2025 оны 03 дугаар сарын 14-ний өдрийг хүртэл 43.0 сая тонн уул уурхайн бүтээгдэхүүнийг нийт 17.07 их наяд төгрөгөөр арилжаалаад байна. “Монголын хөрөнгийн бирж” ХК-д бүртгэлтэй уул уурхайн бүтээгдэхүүний худалдагч 21 компани, 471 гэрээ байгуулсан худалдан авагчид бүртгэлтэй байна. Уул уурхайн бүтээгдэхүүний биржийн арилжаагаар хамгийн их бүтээгдэхүүн арилжсан сар нь 2024 оны 04 дүгээр сард бөгөөд нийт 55 удаагийн арилжаагаар 4.2 сая тонн уул уурхайн бүтээгдэхүүнийг 951.5 тэрбум төгрөгөөр арилжаалсан</w:t>
      </w:r>
      <w:r w:rsidR="00DD0689" w:rsidRPr="00414AD1">
        <w:rPr>
          <w:rFonts w:ascii="Arial" w:hAnsi="Arial" w:cs="Arial"/>
          <w:sz w:val="24"/>
          <w:szCs w:val="24"/>
        </w:rPr>
        <w:t xml:space="preserve"> </w:t>
      </w:r>
      <w:r w:rsidRPr="00414AD1">
        <w:rPr>
          <w:rFonts w:ascii="Arial" w:hAnsi="Arial" w:cs="Arial"/>
          <w:sz w:val="24"/>
          <w:szCs w:val="24"/>
        </w:rPr>
        <w:t xml:space="preserve">байна. </w:t>
      </w:r>
    </w:p>
    <w:p w14:paraId="2A212518" w14:textId="77777777" w:rsidR="006C2259" w:rsidRPr="00414AD1" w:rsidRDefault="006C2259" w:rsidP="00EC77D2">
      <w:pPr>
        <w:spacing w:after="0" w:line="240" w:lineRule="auto"/>
        <w:ind w:firstLine="720"/>
        <w:jc w:val="both"/>
        <w:rPr>
          <w:rFonts w:ascii="Arial" w:hAnsi="Arial" w:cs="Arial"/>
          <w:sz w:val="24"/>
          <w:szCs w:val="24"/>
        </w:rPr>
      </w:pPr>
    </w:p>
    <w:p w14:paraId="06F486EC" w14:textId="5554A0EA" w:rsidR="006C2259" w:rsidRPr="00414AD1" w:rsidRDefault="006C2259" w:rsidP="00EC77D2">
      <w:pPr>
        <w:spacing w:after="0" w:line="240" w:lineRule="auto"/>
        <w:jc w:val="both"/>
        <w:rPr>
          <w:rFonts w:ascii="Arial" w:hAnsi="Arial" w:cs="Arial"/>
          <w:sz w:val="24"/>
          <w:szCs w:val="24"/>
        </w:rPr>
      </w:pPr>
      <w:r w:rsidRPr="00414AD1">
        <w:rPr>
          <w:rFonts w:ascii="Arial" w:hAnsi="Arial" w:cs="Arial"/>
          <w:sz w:val="24"/>
          <w:szCs w:val="24"/>
        </w:rPr>
        <w:tab/>
        <w:t xml:space="preserve">Уул уурхайн бүтээгдэхүүний биржийн арилжааны дүнгээс үзэхэд тухайн бүтээгдэхүүний эрэлт нэмэгдэж, үнэ өсөх үед арилжаа өссөн бөгөөд 2023 оны 12 дугаар сард нүүрсний үнэ </w:t>
      </w:r>
      <w:r w:rsidR="00773D23" w:rsidRPr="00414AD1">
        <w:rPr>
          <w:rFonts w:ascii="Arial" w:hAnsi="Arial" w:cs="Arial"/>
          <w:sz w:val="24"/>
          <w:szCs w:val="24"/>
        </w:rPr>
        <w:t>816,000 төгрөг</w:t>
      </w:r>
      <w:r w:rsidRPr="00414AD1">
        <w:rPr>
          <w:rFonts w:ascii="Arial" w:hAnsi="Arial" w:cs="Arial"/>
          <w:sz w:val="24"/>
          <w:szCs w:val="24"/>
        </w:rPr>
        <w:t xml:space="preserve"> хүрэх үед биржийн арилжаагаар 1.9 их наяд төгрөгийн нүүрс арилжсан байна.  2025 оны 02 дугаар сарын байдлаар нүүрсний үнэ 3</w:t>
      </w:r>
      <w:r w:rsidR="00773D23" w:rsidRPr="00414AD1">
        <w:rPr>
          <w:rFonts w:ascii="Arial" w:hAnsi="Arial" w:cs="Arial"/>
          <w:sz w:val="24"/>
          <w:szCs w:val="24"/>
        </w:rPr>
        <w:t>0</w:t>
      </w:r>
      <w:r w:rsidRPr="00414AD1">
        <w:rPr>
          <w:rFonts w:ascii="Arial" w:hAnsi="Arial" w:cs="Arial"/>
          <w:sz w:val="24"/>
          <w:szCs w:val="24"/>
        </w:rPr>
        <w:t>%-</w:t>
      </w:r>
      <w:r w:rsidR="00773D23" w:rsidRPr="00414AD1">
        <w:rPr>
          <w:rFonts w:ascii="Arial" w:hAnsi="Arial" w:cs="Arial"/>
          <w:sz w:val="24"/>
          <w:szCs w:val="24"/>
        </w:rPr>
        <w:t>и</w:t>
      </w:r>
      <w:r w:rsidRPr="00414AD1">
        <w:rPr>
          <w:rFonts w:ascii="Arial" w:hAnsi="Arial" w:cs="Arial"/>
          <w:sz w:val="24"/>
          <w:szCs w:val="24"/>
        </w:rPr>
        <w:t xml:space="preserve">ар буурч </w:t>
      </w:r>
      <w:r w:rsidR="00773D23" w:rsidRPr="00414AD1">
        <w:rPr>
          <w:rFonts w:ascii="Arial" w:hAnsi="Arial" w:cs="Arial"/>
          <w:sz w:val="24"/>
          <w:szCs w:val="24"/>
        </w:rPr>
        <w:t>568,800</w:t>
      </w:r>
      <w:r w:rsidRPr="00414AD1">
        <w:rPr>
          <w:rFonts w:ascii="Arial" w:hAnsi="Arial" w:cs="Arial"/>
          <w:sz w:val="24"/>
          <w:szCs w:val="24"/>
        </w:rPr>
        <w:t xml:space="preserve"> </w:t>
      </w:r>
      <w:r w:rsidR="00773D23" w:rsidRPr="00414AD1">
        <w:rPr>
          <w:rFonts w:ascii="Arial" w:hAnsi="Arial" w:cs="Arial"/>
          <w:sz w:val="24"/>
          <w:szCs w:val="24"/>
        </w:rPr>
        <w:t xml:space="preserve">төгрөг </w:t>
      </w:r>
      <w:r w:rsidRPr="00414AD1">
        <w:rPr>
          <w:rFonts w:ascii="Arial" w:hAnsi="Arial" w:cs="Arial"/>
          <w:sz w:val="24"/>
          <w:szCs w:val="24"/>
        </w:rPr>
        <w:t xml:space="preserve">болоход биржийн арилжааны тоо өмнөх оны мөн үеэс 9 дахин буурсан байна. Уул уурхайн бүтээгдэхүүний биржээр 2024 оны 1 болон 2 дугаар сард нийт 3.9 сая тонн нүүрсийг 1.8 их наяд төгрөгөөр арилжаалж байсан ба тухайн хугацаанд нэг арилжаанд дунджаар 6 худалдан авагчид оролцдог байсан бол 2025 оны 1, 2 дугаар саруудад нийт 428.8 мянган тонн нүүрсийг 122.9 тэрбум төгрөгөөр арилжаалаад байгаа ба нэг арилжаанд дунджаар 1-2 худалдан авагчид оролцож байгаа нь эрэлт огцом буурсан байгааг илтгэж байна. </w:t>
      </w:r>
    </w:p>
    <w:p w14:paraId="7D067204" w14:textId="68F31498" w:rsidR="00526F9A" w:rsidRPr="00414AD1" w:rsidRDefault="00592E64" w:rsidP="00EC77D2">
      <w:pPr>
        <w:pStyle w:val="NormalWeb"/>
        <w:shd w:val="clear" w:color="auto" w:fill="FFFFFF"/>
        <w:ind w:firstLine="720"/>
        <w:jc w:val="both"/>
        <w:textAlignment w:val="top"/>
        <w:rPr>
          <w:rFonts w:ascii="Arial" w:hAnsi="Arial" w:cs="Arial"/>
          <w:lang w:val="mn-MN"/>
        </w:rPr>
      </w:pPr>
      <w:r w:rsidRPr="00414AD1">
        <w:rPr>
          <w:rFonts w:ascii="Arial" w:hAnsi="Arial" w:cs="Arial"/>
          <w:lang w:val="mn-MN"/>
        </w:rPr>
        <w:t xml:space="preserve">Монгол Улсын экспортын гол нэрийн бүтээгдэхүүний эрэлт дэлхийн зах зээлд буурах хандлагатай байгаа нь өнөөгийн нөхцөл байдалд нийцүүлсэн хууль, эрх зүйн уян хатан зохицуулалтыг тусгах шаардлага үүсээд байна. </w:t>
      </w:r>
    </w:p>
    <w:p w14:paraId="0912AFDB" w14:textId="6D6BE85C" w:rsidR="005701CC" w:rsidRPr="00414AD1" w:rsidRDefault="007177E4" w:rsidP="00B54536">
      <w:pPr>
        <w:pStyle w:val="NormalWeb"/>
        <w:shd w:val="clear" w:color="auto" w:fill="FFFFFF"/>
        <w:spacing w:before="0" w:beforeAutospacing="0" w:after="0" w:afterAutospacing="0"/>
        <w:ind w:firstLine="720"/>
        <w:jc w:val="both"/>
        <w:textAlignment w:val="top"/>
        <w:rPr>
          <w:rFonts w:ascii="Arial" w:hAnsi="Arial" w:cs="Arial"/>
          <w:lang w:val="mn-MN"/>
        </w:rPr>
      </w:pPr>
      <w:r w:rsidRPr="00414AD1">
        <w:rPr>
          <w:rFonts w:ascii="Arial" w:eastAsia="Calibri" w:hAnsi="Arial" w:cs="Arial"/>
          <w:lang w:val="mn-MN"/>
        </w:rPr>
        <w:t xml:space="preserve">Түүнчлэн, </w:t>
      </w:r>
      <w:r w:rsidR="005701CC" w:rsidRPr="00414AD1">
        <w:rPr>
          <w:rFonts w:ascii="Arial" w:eastAsia="Calibri" w:hAnsi="Arial" w:cs="Arial"/>
          <w:lang w:val="mn-MN"/>
        </w:rPr>
        <w:t>Улсын Их Хурлын 2024 оны 21 дүгээр тогтоолоор баталсан “Монгол Улсын Засгийн газрын 2024-2028 оны үйл ажиллагааны хөтөлбөр”-т</w:t>
      </w:r>
      <w:r w:rsidR="00FB10BE" w:rsidRPr="00414AD1">
        <w:rPr>
          <w:rFonts w:ascii="Arial" w:hAnsi="Arial" w:cs="Arial"/>
          <w:lang w:val="mn-MN"/>
        </w:rPr>
        <w:t xml:space="preserve"> </w:t>
      </w:r>
      <w:r w:rsidR="004D698C" w:rsidRPr="00414AD1">
        <w:rPr>
          <w:rFonts w:ascii="Arial" w:hAnsi="Arial" w:cs="Arial"/>
          <w:lang w:val="mn-MN"/>
        </w:rPr>
        <w:t xml:space="preserve">тусгасан </w:t>
      </w:r>
      <w:r w:rsidR="005701CC" w:rsidRPr="00414AD1">
        <w:rPr>
          <w:rFonts w:ascii="Arial" w:hAnsi="Arial" w:cs="Arial"/>
          <w:lang w:val="mn-MN"/>
        </w:rPr>
        <w:t xml:space="preserve">“Гашуунсухайт-Ганцмод, Ханги-Мандал, Шивээхүрэн-Сэхээ хилийн боомтуудын хил дамнасан холболтын төмөр зам, нүүрс-хими, кокс химийн цогцолбор, гангийн цогцолбор” зэрэг мега төслүүдийн бүтээн байгуулалтын ажлыг гүйцэтгэхэд Уул уурхайн бүтээгдэхүүний биржийн тухай хуулийн зарим зохицуулалт хүндрэл үүсгэж байна. </w:t>
      </w:r>
    </w:p>
    <w:p w14:paraId="35B89F86" w14:textId="77777777" w:rsidR="005701CC" w:rsidRPr="00414AD1" w:rsidRDefault="005701CC" w:rsidP="00B54536">
      <w:pPr>
        <w:pStyle w:val="NormalWeb"/>
        <w:shd w:val="clear" w:color="auto" w:fill="FFFFFF"/>
        <w:spacing w:before="0" w:beforeAutospacing="0" w:after="0" w:afterAutospacing="0"/>
        <w:ind w:firstLine="720"/>
        <w:jc w:val="both"/>
        <w:textAlignment w:val="top"/>
        <w:rPr>
          <w:rFonts w:ascii="Arial" w:hAnsi="Arial" w:cs="Arial"/>
          <w:lang w:val="mn-MN"/>
        </w:rPr>
      </w:pPr>
    </w:p>
    <w:p w14:paraId="4611EA96" w14:textId="754987CE" w:rsidR="00526F9A" w:rsidRPr="00414AD1" w:rsidRDefault="005701CC" w:rsidP="00B54536">
      <w:pPr>
        <w:pStyle w:val="NormalWeb"/>
        <w:shd w:val="clear" w:color="auto" w:fill="FFFFFF"/>
        <w:spacing w:before="0" w:beforeAutospacing="0" w:after="0" w:afterAutospacing="0"/>
        <w:ind w:firstLine="720"/>
        <w:jc w:val="both"/>
        <w:textAlignment w:val="top"/>
        <w:rPr>
          <w:rFonts w:ascii="Arial" w:hAnsi="Arial" w:cs="Arial"/>
          <w:noProof/>
          <w:lang w:val="mn-MN"/>
        </w:rPr>
      </w:pPr>
      <w:r w:rsidRPr="00414AD1">
        <w:rPr>
          <w:rFonts w:ascii="Arial" w:hAnsi="Arial" w:cs="Arial"/>
          <w:lang w:val="mn-MN"/>
        </w:rPr>
        <w:t xml:space="preserve">Тодруулбал, </w:t>
      </w:r>
      <w:r w:rsidRPr="00414AD1">
        <w:rPr>
          <w:rFonts w:ascii="Arial" w:hAnsi="Arial" w:cs="Arial"/>
          <w:noProof/>
          <w:lang w:val="mn-MN"/>
        </w:rPr>
        <w:t>т</w:t>
      </w:r>
      <w:r w:rsidR="00526F9A" w:rsidRPr="00414AD1">
        <w:rPr>
          <w:rFonts w:ascii="Arial" w:hAnsi="Arial" w:cs="Arial"/>
          <w:noProof/>
          <w:lang w:val="mn-MN"/>
        </w:rPr>
        <w:t xml:space="preserve">ус хуулийн үйлчлэх хүрээ нь </w:t>
      </w:r>
      <w:r w:rsidR="00526F9A" w:rsidRPr="00414AD1">
        <w:rPr>
          <w:rFonts w:ascii="Arial" w:hAnsi="Arial" w:cs="Arial"/>
          <w:noProof/>
          <w:shd w:val="clear" w:color="auto" w:fill="FFFFFF"/>
          <w:lang w:val="mn-MN"/>
        </w:rPr>
        <w:t>уул уурхайн бүтээгдэхүүнийг экспортлоход буюу гадаадын зах зээл</w:t>
      </w:r>
      <w:r w:rsidR="00AA63C7" w:rsidRPr="00414AD1">
        <w:rPr>
          <w:rFonts w:ascii="Arial" w:hAnsi="Arial" w:cs="Arial"/>
          <w:noProof/>
          <w:shd w:val="clear" w:color="auto" w:fill="FFFFFF"/>
          <w:lang w:val="mn-MN"/>
        </w:rPr>
        <w:t xml:space="preserve"> </w:t>
      </w:r>
      <w:r w:rsidR="00526F9A" w:rsidRPr="00414AD1">
        <w:rPr>
          <w:rFonts w:ascii="Arial" w:hAnsi="Arial" w:cs="Arial"/>
          <w:noProof/>
          <w:shd w:val="clear" w:color="auto" w:fill="FFFFFF"/>
          <w:lang w:val="mn-MN"/>
        </w:rPr>
        <w:t>рүү нийлүүлэхэд биржээр дамжуулан худалдан борлуулах, түүнтэй холбоотой гэрээ, хэлцэл байгуулах харилцааг зохицуулахаар заасан</w:t>
      </w:r>
      <w:r w:rsidR="00700469" w:rsidRPr="00414AD1">
        <w:rPr>
          <w:rFonts w:ascii="Arial" w:hAnsi="Arial" w:cs="Arial"/>
          <w:noProof/>
          <w:shd w:val="clear" w:color="auto" w:fill="FFFFFF"/>
          <w:lang w:val="mn-MN"/>
        </w:rPr>
        <w:t xml:space="preserve"> нь</w:t>
      </w:r>
      <w:r w:rsidR="00526F9A" w:rsidRPr="00414AD1">
        <w:rPr>
          <w:rFonts w:ascii="Arial" w:hAnsi="Arial" w:cs="Arial"/>
          <w:noProof/>
          <w:shd w:val="clear" w:color="auto" w:fill="FFFFFF"/>
          <w:lang w:val="mn-MN"/>
        </w:rPr>
        <w:t xml:space="preserve"> </w:t>
      </w:r>
      <w:r w:rsidR="00526F9A" w:rsidRPr="00414AD1">
        <w:rPr>
          <w:rFonts w:ascii="Arial" w:hAnsi="Arial" w:cs="Arial"/>
          <w:noProof/>
          <w:lang w:val="mn-MN"/>
        </w:rPr>
        <w:t>дотоодын баяжуулах, боловсруулах үйлдвэрт бүтээгдэхүүн нийлүүлэх эрх зүйн орч</w:t>
      </w:r>
      <w:r w:rsidR="00AA63C7" w:rsidRPr="00414AD1">
        <w:rPr>
          <w:rFonts w:ascii="Arial" w:hAnsi="Arial" w:cs="Arial"/>
          <w:noProof/>
          <w:lang w:val="mn-MN"/>
        </w:rPr>
        <w:t>ныг</w:t>
      </w:r>
      <w:r w:rsidR="00700469" w:rsidRPr="00414AD1">
        <w:rPr>
          <w:rFonts w:ascii="Arial" w:hAnsi="Arial" w:cs="Arial"/>
          <w:noProof/>
          <w:lang w:val="mn-MN"/>
        </w:rPr>
        <w:t xml:space="preserve"> орхигдуулсан байна.</w:t>
      </w:r>
      <w:r w:rsidR="00526F9A" w:rsidRPr="00414AD1">
        <w:rPr>
          <w:rFonts w:ascii="Arial" w:hAnsi="Arial" w:cs="Arial"/>
          <w:noProof/>
          <w:lang w:val="mn-MN"/>
        </w:rPr>
        <w:t xml:space="preserve"> </w:t>
      </w:r>
      <w:r w:rsidR="00700469" w:rsidRPr="00414AD1">
        <w:rPr>
          <w:rFonts w:ascii="Arial" w:hAnsi="Arial" w:cs="Arial"/>
          <w:noProof/>
          <w:lang w:val="mn-MN"/>
        </w:rPr>
        <w:t xml:space="preserve">Тодруулбал, дотоодын баяжуулах, боловсруулах үйлдвэрт бүтээгдэхүүн нийлүүлэх эрх зүйн орчин тодорхой бус байгаагаас үүдэн ашиглалтын тусгай зөвшөөрөлгүй баяжуулах, боловсруулах үйлдвэрүүд түүхий эдийн хомсдолд орж, үйл ажиллагаа нь зогсонги байдалд </w:t>
      </w:r>
      <w:r w:rsidR="00A43AAF" w:rsidRPr="00414AD1">
        <w:rPr>
          <w:rFonts w:ascii="Arial" w:hAnsi="Arial" w:cs="Arial"/>
          <w:noProof/>
          <w:lang w:val="mn-MN"/>
        </w:rPr>
        <w:t>байна</w:t>
      </w:r>
      <w:r w:rsidR="00700469" w:rsidRPr="00414AD1">
        <w:rPr>
          <w:rFonts w:ascii="Arial" w:hAnsi="Arial" w:cs="Arial"/>
          <w:noProof/>
          <w:lang w:val="mn-MN"/>
        </w:rPr>
        <w:t>.</w:t>
      </w:r>
    </w:p>
    <w:p w14:paraId="496FC510" w14:textId="77777777" w:rsidR="00927625" w:rsidRPr="00414AD1" w:rsidRDefault="00927625" w:rsidP="00B54536">
      <w:pPr>
        <w:pStyle w:val="NormalWeb"/>
        <w:shd w:val="clear" w:color="auto" w:fill="FFFFFF"/>
        <w:spacing w:before="0" w:beforeAutospacing="0" w:after="0" w:afterAutospacing="0"/>
        <w:ind w:firstLine="720"/>
        <w:jc w:val="both"/>
        <w:textAlignment w:val="top"/>
        <w:rPr>
          <w:rFonts w:ascii="Arial" w:hAnsi="Arial" w:cs="Arial"/>
          <w:noProof/>
          <w:lang w:val="mn-MN"/>
        </w:rPr>
      </w:pPr>
    </w:p>
    <w:p w14:paraId="5AC96D83" w14:textId="4F689578" w:rsidR="00927625" w:rsidRPr="00414AD1" w:rsidRDefault="00927625" w:rsidP="00B54536">
      <w:pPr>
        <w:pStyle w:val="NormalWeb"/>
        <w:shd w:val="clear" w:color="auto" w:fill="FFFFFF"/>
        <w:spacing w:before="0" w:beforeAutospacing="0" w:after="0" w:afterAutospacing="0"/>
        <w:ind w:firstLine="720"/>
        <w:jc w:val="both"/>
        <w:textAlignment w:val="top"/>
        <w:rPr>
          <w:rFonts w:ascii="Arial" w:hAnsi="Arial" w:cs="Arial"/>
          <w:lang w:val="mn-MN"/>
        </w:rPr>
      </w:pPr>
      <w:r w:rsidRPr="00414AD1">
        <w:rPr>
          <w:rFonts w:ascii="Arial" w:hAnsi="Arial" w:cs="Arial"/>
          <w:noProof/>
          <w:lang w:val="mn-MN"/>
        </w:rPr>
        <w:t xml:space="preserve">Цөмийн зэвсгийг үл дэлгэрүүлэх баталгааны хэлэлцээрийн дагуу Монгол </w:t>
      </w:r>
      <w:r w:rsidR="00AC53F8" w:rsidRPr="00414AD1">
        <w:rPr>
          <w:rFonts w:ascii="Arial" w:hAnsi="Arial" w:cs="Arial"/>
          <w:noProof/>
          <w:lang w:val="mn-MN"/>
        </w:rPr>
        <w:t>У</w:t>
      </w:r>
      <w:r w:rsidRPr="00414AD1">
        <w:rPr>
          <w:rFonts w:ascii="Arial" w:hAnsi="Arial" w:cs="Arial"/>
          <w:noProof/>
          <w:lang w:val="mn-MN"/>
        </w:rPr>
        <w:t xml:space="preserve">лс цацраг идэвхт ашигт малтмалын борлуулалтын мэдээ, тайланг Олон Улсын </w:t>
      </w:r>
      <w:r w:rsidR="00AC53F8" w:rsidRPr="00414AD1">
        <w:rPr>
          <w:rFonts w:ascii="Arial" w:hAnsi="Arial" w:cs="Arial"/>
          <w:noProof/>
          <w:lang w:val="mn-MN"/>
        </w:rPr>
        <w:t>А</w:t>
      </w:r>
      <w:r w:rsidRPr="00414AD1">
        <w:rPr>
          <w:rFonts w:ascii="Arial" w:hAnsi="Arial" w:cs="Arial"/>
          <w:noProof/>
          <w:lang w:val="mn-MN"/>
        </w:rPr>
        <w:t xml:space="preserve">томын Энергийн </w:t>
      </w:r>
      <w:r w:rsidR="00AC53F8" w:rsidRPr="00414AD1">
        <w:rPr>
          <w:rFonts w:ascii="Arial" w:hAnsi="Arial" w:cs="Arial"/>
          <w:noProof/>
          <w:lang w:val="mn-MN"/>
        </w:rPr>
        <w:t>А</w:t>
      </w:r>
      <w:r w:rsidRPr="00414AD1">
        <w:rPr>
          <w:rFonts w:ascii="Arial" w:hAnsi="Arial" w:cs="Arial"/>
          <w:noProof/>
          <w:lang w:val="mn-MN"/>
        </w:rPr>
        <w:t xml:space="preserve">гентлагт хүргүүлэх үүрэг хүлээсэн бөгөөд цаашид биржээр арилжаалсан тохиолдолд холбогдох мэдээллийг тус агентлагт хүргүүлж байх хуулийн зохицуулалтыг тусгах шаардлагатай байна. </w:t>
      </w:r>
    </w:p>
    <w:p w14:paraId="2C4A16CC" w14:textId="77777777" w:rsidR="00A94E28" w:rsidRPr="00414AD1" w:rsidRDefault="00A94E28" w:rsidP="00BD0672">
      <w:pPr>
        <w:pStyle w:val="NormalWeb"/>
        <w:shd w:val="clear" w:color="auto" w:fill="FFFFFF"/>
        <w:spacing w:before="0" w:beforeAutospacing="0" w:after="0" w:afterAutospacing="0"/>
        <w:jc w:val="both"/>
        <w:textAlignment w:val="top"/>
        <w:rPr>
          <w:rFonts w:ascii="Arial" w:hAnsi="Arial" w:cs="Arial"/>
          <w:lang w:val="mn-MN"/>
        </w:rPr>
      </w:pPr>
    </w:p>
    <w:p w14:paraId="1A43F6A6" w14:textId="54892480" w:rsidR="006E5CBD" w:rsidRPr="00414AD1" w:rsidRDefault="00D37CFD" w:rsidP="00B54536">
      <w:pPr>
        <w:pStyle w:val="NormalWeb"/>
        <w:shd w:val="clear" w:color="auto" w:fill="FFFFFF"/>
        <w:spacing w:before="0" w:beforeAutospacing="0" w:after="0" w:afterAutospacing="0"/>
        <w:ind w:firstLine="720"/>
        <w:jc w:val="both"/>
        <w:textAlignment w:val="top"/>
        <w:rPr>
          <w:rFonts w:ascii="Arial" w:eastAsia="Calibri" w:hAnsi="Arial" w:cs="Arial"/>
          <w:noProof/>
          <w:lang w:val="mn-MN"/>
        </w:rPr>
      </w:pPr>
      <w:r w:rsidRPr="00414AD1">
        <w:rPr>
          <w:rFonts w:ascii="Arial" w:hAnsi="Arial" w:cs="Arial"/>
          <w:lang w:val="mn-MN"/>
        </w:rPr>
        <w:lastRenderedPageBreak/>
        <w:t xml:space="preserve">Уул уурхайн бүтээгдэхүүний биржийн тухай хуульд төрийн болон орон нутгийн өмчит, өмчийн оролцоотой хуулийн этгээд бүтээгдэхүүнээ заавал биржээр арилжаалах, мөн биржийн хүргэлтийг хил нөхцөлөөр, үнийг хил залгаа улсын хилийн боомтын үнэ байхаар заасан нь аж ахуйн нэгжийн орлогод хязгаарлалт тогтоох нөхцөл болж байна. Өөрөөр хэлбэл, бүтээгдэхүүний зах зээлийн эрэлт буурч, үнэ унах үед эдгээр аж ахуйн нэгжүүдийн борлуулалтын орлогод сөргөөр нөлөөлж, улмаар Үндэсний баялгийн санг арвижуулахад бэрхшээл учруулж байна. </w:t>
      </w:r>
      <w:r w:rsidR="006E5CBD" w:rsidRPr="00414AD1">
        <w:rPr>
          <w:rFonts w:ascii="Arial" w:hAnsi="Arial" w:cs="Arial"/>
          <w:lang w:val="mn-MN"/>
        </w:rPr>
        <w:t xml:space="preserve">Тухайлбал, </w:t>
      </w:r>
      <w:r w:rsidR="006E5CBD" w:rsidRPr="00414AD1">
        <w:rPr>
          <w:rFonts w:ascii="Arial" w:hAnsi="Arial" w:cs="Arial"/>
          <w:noProof/>
          <w:lang w:val="mn-MN"/>
        </w:rPr>
        <w:t xml:space="preserve">Ашигт малтмал, газрын тосны газрын статистик мэдээлэлд Монгол Улс дотооддоо хайлуур жонш, нүүрс, төмрийн хүдэр баяжуулах нийт 47 үйлдвэр ажиллаж байгаа хэдий ч түүхий эдийн хомсдолд орж, үйл ажиллагаа нь зогсонги байдалд байна гэжээ. </w:t>
      </w:r>
    </w:p>
    <w:p w14:paraId="5C90FD91" w14:textId="77777777" w:rsidR="00797B3A" w:rsidRPr="00414AD1" w:rsidRDefault="00797B3A" w:rsidP="00B54536">
      <w:pPr>
        <w:spacing w:after="0" w:line="240" w:lineRule="auto"/>
        <w:jc w:val="both"/>
        <w:rPr>
          <w:rFonts w:ascii="Arial" w:hAnsi="Arial" w:cs="Arial"/>
          <w:sz w:val="24"/>
          <w:szCs w:val="24"/>
        </w:rPr>
      </w:pPr>
    </w:p>
    <w:p w14:paraId="415C90D9" w14:textId="32459FA6" w:rsidR="00797B3A" w:rsidRPr="00414AD1" w:rsidRDefault="00797B3A" w:rsidP="00B54536">
      <w:pPr>
        <w:spacing w:after="0" w:line="240" w:lineRule="auto"/>
        <w:jc w:val="both"/>
        <w:rPr>
          <w:rFonts w:ascii="Arial" w:hAnsi="Arial" w:cs="Arial"/>
          <w:sz w:val="24"/>
          <w:szCs w:val="24"/>
        </w:rPr>
      </w:pPr>
      <w:r w:rsidRPr="00414AD1">
        <w:rPr>
          <w:rFonts w:ascii="Arial" w:hAnsi="Arial" w:cs="Arial"/>
          <w:sz w:val="24"/>
          <w:szCs w:val="24"/>
        </w:rPr>
        <w:t xml:space="preserve"> </w:t>
      </w:r>
      <w:r w:rsidRPr="00414AD1">
        <w:rPr>
          <w:rFonts w:ascii="Arial" w:hAnsi="Arial" w:cs="Arial"/>
          <w:sz w:val="24"/>
          <w:szCs w:val="24"/>
        </w:rPr>
        <w:tab/>
        <w:t xml:space="preserve">Түүнчлэн, </w:t>
      </w:r>
      <w:r w:rsidR="00486946" w:rsidRPr="00414AD1">
        <w:rPr>
          <w:rFonts w:ascii="Arial" w:hAnsi="Arial" w:cs="Arial"/>
          <w:sz w:val="24"/>
          <w:szCs w:val="24"/>
        </w:rPr>
        <w:t>тус хуулийн</w:t>
      </w:r>
      <w:r w:rsidRPr="00414AD1">
        <w:rPr>
          <w:rFonts w:ascii="Arial" w:hAnsi="Arial" w:cs="Arial"/>
          <w:sz w:val="24"/>
          <w:szCs w:val="24"/>
        </w:rPr>
        <w:t xml:space="preserve"> </w:t>
      </w:r>
      <w:r w:rsidR="003D4059" w:rsidRPr="00414AD1">
        <w:rPr>
          <w:rFonts w:ascii="Arial" w:hAnsi="Arial" w:cs="Arial"/>
          <w:sz w:val="24"/>
          <w:szCs w:val="24"/>
        </w:rPr>
        <w:t xml:space="preserve">зарим </w:t>
      </w:r>
      <w:r w:rsidRPr="00414AD1">
        <w:rPr>
          <w:rFonts w:ascii="Arial" w:hAnsi="Arial" w:cs="Arial"/>
          <w:sz w:val="24"/>
          <w:szCs w:val="24"/>
        </w:rPr>
        <w:t>зохицуулалт</w:t>
      </w:r>
      <w:r w:rsidR="003D4059" w:rsidRPr="00414AD1">
        <w:rPr>
          <w:rFonts w:ascii="Arial" w:hAnsi="Arial" w:cs="Arial"/>
          <w:sz w:val="24"/>
          <w:szCs w:val="24"/>
        </w:rPr>
        <w:t>ын</w:t>
      </w:r>
      <w:r w:rsidRPr="00414AD1">
        <w:rPr>
          <w:rFonts w:ascii="Arial" w:hAnsi="Arial" w:cs="Arial"/>
          <w:sz w:val="24"/>
          <w:szCs w:val="24"/>
        </w:rPr>
        <w:t xml:space="preserve"> улмаас уул уурхайн бүтээгдэхүүний биржийн арилжаанд дараах хүндрэлүүд үүс</w:t>
      </w:r>
      <w:r w:rsidR="00486946" w:rsidRPr="00414AD1">
        <w:rPr>
          <w:rFonts w:ascii="Arial" w:hAnsi="Arial" w:cs="Arial"/>
          <w:sz w:val="24"/>
          <w:szCs w:val="24"/>
        </w:rPr>
        <w:t xml:space="preserve">эж </w:t>
      </w:r>
      <w:r w:rsidRPr="00414AD1">
        <w:rPr>
          <w:rFonts w:ascii="Arial" w:hAnsi="Arial" w:cs="Arial"/>
          <w:sz w:val="24"/>
          <w:szCs w:val="24"/>
        </w:rPr>
        <w:t>байна. Үүнд:</w:t>
      </w:r>
    </w:p>
    <w:p w14:paraId="172DA143" w14:textId="77777777" w:rsidR="00797B3A" w:rsidRPr="00414AD1" w:rsidRDefault="00797B3A" w:rsidP="00B54536">
      <w:pPr>
        <w:spacing w:after="0" w:line="240" w:lineRule="auto"/>
        <w:ind w:firstLine="720"/>
        <w:jc w:val="both"/>
        <w:rPr>
          <w:rFonts w:ascii="Arial" w:hAnsi="Arial" w:cs="Arial"/>
          <w:sz w:val="24"/>
          <w:szCs w:val="24"/>
        </w:rPr>
      </w:pPr>
    </w:p>
    <w:p w14:paraId="4C90454E" w14:textId="77B37394" w:rsidR="00797B3A" w:rsidRPr="00414AD1" w:rsidRDefault="00797B3A" w:rsidP="00B54536">
      <w:pPr>
        <w:spacing w:after="0" w:line="240" w:lineRule="auto"/>
        <w:ind w:firstLine="720"/>
        <w:jc w:val="both"/>
        <w:rPr>
          <w:rFonts w:ascii="Arial" w:hAnsi="Arial" w:cs="Arial"/>
          <w:sz w:val="24"/>
          <w:szCs w:val="24"/>
        </w:rPr>
      </w:pPr>
      <w:r w:rsidRPr="00414AD1">
        <w:rPr>
          <w:rFonts w:ascii="Arial" w:hAnsi="Arial" w:cs="Arial"/>
          <w:sz w:val="24"/>
          <w:szCs w:val="24"/>
        </w:rPr>
        <w:t>-</w:t>
      </w:r>
      <w:r w:rsidR="00B236FB" w:rsidRPr="00414AD1">
        <w:rPr>
          <w:rFonts w:ascii="Arial" w:hAnsi="Arial" w:cs="Arial"/>
          <w:sz w:val="24"/>
          <w:szCs w:val="24"/>
        </w:rPr>
        <w:t xml:space="preserve"> </w:t>
      </w:r>
      <w:r w:rsidRPr="00414AD1">
        <w:rPr>
          <w:rFonts w:ascii="Arial" w:hAnsi="Arial" w:cs="Arial"/>
          <w:sz w:val="24"/>
          <w:szCs w:val="24"/>
        </w:rPr>
        <w:t>Дотоодын баяжуулах, боловсруулах үйлдвэрүүдэд бүтээгдэхүүн борлуулах боломжгүй болсон;</w:t>
      </w:r>
    </w:p>
    <w:p w14:paraId="55BFA37E" w14:textId="77777777" w:rsidR="00797B3A" w:rsidRPr="00414AD1" w:rsidRDefault="00797B3A" w:rsidP="00B54536">
      <w:pPr>
        <w:spacing w:after="0" w:line="240" w:lineRule="auto"/>
        <w:ind w:firstLine="720"/>
        <w:jc w:val="both"/>
        <w:rPr>
          <w:rFonts w:ascii="Arial" w:hAnsi="Arial" w:cs="Arial"/>
          <w:sz w:val="24"/>
          <w:szCs w:val="24"/>
        </w:rPr>
      </w:pPr>
    </w:p>
    <w:p w14:paraId="33EFF0AA" w14:textId="77DF5716" w:rsidR="00797B3A" w:rsidRPr="00414AD1" w:rsidRDefault="00797B3A" w:rsidP="00B54536">
      <w:pPr>
        <w:spacing w:after="0" w:line="240" w:lineRule="auto"/>
        <w:ind w:firstLine="720"/>
        <w:jc w:val="both"/>
        <w:rPr>
          <w:rFonts w:ascii="Arial" w:hAnsi="Arial" w:cs="Arial"/>
          <w:sz w:val="24"/>
          <w:szCs w:val="24"/>
        </w:rPr>
      </w:pPr>
      <w:r w:rsidRPr="00414AD1">
        <w:rPr>
          <w:rFonts w:ascii="Arial" w:hAnsi="Arial" w:cs="Arial"/>
          <w:sz w:val="24"/>
          <w:szCs w:val="24"/>
        </w:rPr>
        <w:t>-</w:t>
      </w:r>
      <w:r w:rsidR="00B236FB" w:rsidRPr="00414AD1">
        <w:rPr>
          <w:rFonts w:ascii="Arial" w:hAnsi="Arial" w:cs="Arial"/>
          <w:sz w:val="24"/>
          <w:szCs w:val="24"/>
        </w:rPr>
        <w:t xml:space="preserve"> </w:t>
      </w:r>
      <w:r w:rsidRPr="00414AD1">
        <w:rPr>
          <w:rFonts w:ascii="Arial" w:hAnsi="Arial" w:cs="Arial"/>
          <w:sz w:val="24"/>
          <w:szCs w:val="24"/>
        </w:rPr>
        <w:t>Биржээр арилжаалах бүтээгдэхүүний үнийг дуудлага худалдааны үнээр хатуу тогтоосны улмаас зарим гэрээний нийлүүлэлт хий</w:t>
      </w:r>
      <w:r w:rsidR="00486946" w:rsidRPr="00414AD1">
        <w:rPr>
          <w:rFonts w:ascii="Arial" w:hAnsi="Arial" w:cs="Arial"/>
          <w:sz w:val="24"/>
          <w:szCs w:val="24"/>
        </w:rPr>
        <w:t>х</w:t>
      </w:r>
      <w:r w:rsidRPr="00414AD1">
        <w:rPr>
          <w:rFonts w:ascii="Arial" w:hAnsi="Arial" w:cs="Arial"/>
          <w:sz w:val="24"/>
          <w:szCs w:val="24"/>
        </w:rPr>
        <w:t xml:space="preserve"> боломжгүй болж, алдагдал хүлээх болсон;</w:t>
      </w:r>
    </w:p>
    <w:p w14:paraId="16F08613" w14:textId="77777777" w:rsidR="00797B3A" w:rsidRPr="00414AD1" w:rsidRDefault="00797B3A" w:rsidP="00B54536">
      <w:pPr>
        <w:spacing w:after="0" w:line="240" w:lineRule="auto"/>
        <w:ind w:firstLine="720"/>
        <w:jc w:val="both"/>
        <w:rPr>
          <w:rFonts w:ascii="Arial" w:hAnsi="Arial" w:cs="Arial"/>
          <w:sz w:val="24"/>
          <w:szCs w:val="24"/>
        </w:rPr>
      </w:pPr>
    </w:p>
    <w:p w14:paraId="245431FD" w14:textId="2B81BDCD" w:rsidR="00797B3A" w:rsidRPr="00414AD1" w:rsidRDefault="00797B3A" w:rsidP="00B54536">
      <w:pPr>
        <w:spacing w:after="0" w:line="240" w:lineRule="auto"/>
        <w:ind w:firstLine="720"/>
        <w:jc w:val="both"/>
        <w:rPr>
          <w:rFonts w:ascii="Arial" w:hAnsi="Arial" w:cs="Arial"/>
          <w:sz w:val="24"/>
          <w:szCs w:val="24"/>
        </w:rPr>
      </w:pPr>
      <w:r w:rsidRPr="00414AD1">
        <w:rPr>
          <w:rFonts w:ascii="Arial" w:hAnsi="Arial" w:cs="Arial"/>
          <w:sz w:val="24"/>
          <w:szCs w:val="24"/>
        </w:rPr>
        <w:t>-</w:t>
      </w:r>
      <w:r w:rsidR="00B236FB" w:rsidRPr="00414AD1">
        <w:rPr>
          <w:rFonts w:ascii="Arial" w:hAnsi="Arial" w:cs="Arial"/>
          <w:sz w:val="24"/>
          <w:szCs w:val="24"/>
        </w:rPr>
        <w:t xml:space="preserve"> </w:t>
      </w:r>
      <w:r w:rsidRPr="00414AD1">
        <w:rPr>
          <w:rFonts w:ascii="Arial" w:hAnsi="Arial" w:cs="Arial"/>
          <w:sz w:val="24"/>
          <w:szCs w:val="24"/>
        </w:rPr>
        <w:t>Эрчим хүчний системд нүүрс нийлүүлэгч уурхайнуудын экспорт зогсож, алдагдал нь нэмэгдсэн;</w:t>
      </w:r>
    </w:p>
    <w:p w14:paraId="4D0E7B65" w14:textId="77777777" w:rsidR="00797B3A" w:rsidRPr="00414AD1" w:rsidRDefault="00797B3A" w:rsidP="00B54536">
      <w:pPr>
        <w:spacing w:after="0" w:line="240" w:lineRule="auto"/>
        <w:ind w:firstLine="720"/>
        <w:jc w:val="both"/>
        <w:rPr>
          <w:rFonts w:ascii="Arial" w:hAnsi="Arial" w:cs="Arial"/>
          <w:sz w:val="24"/>
          <w:szCs w:val="24"/>
        </w:rPr>
      </w:pPr>
    </w:p>
    <w:p w14:paraId="3FA0AC48" w14:textId="606DB183" w:rsidR="00797B3A" w:rsidRPr="00414AD1" w:rsidRDefault="00797B3A" w:rsidP="00B54536">
      <w:pPr>
        <w:spacing w:after="0" w:line="240" w:lineRule="auto"/>
        <w:ind w:firstLine="720"/>
        <w:jc w:val="both"/>
        <w:rPr>
          <w:rFonts w:ascii="Arial" w:hAnsi="Arial" w:cs="Arial"/>
          <w:sz w:val="24"/>
          <w:szCs w:val="24"/>
        </w:rPr>
      </w:pPr>
      <w:r w:rsidRPr="00414AD1">
        <w:rPr>
          <w:rFonts w:ascii="Arial" w:hAnsi="Arial" w:cs="Arial"/>
          <w:sz w:val="24"/>
          <w:szCs w:val="24"/>
        </w:rPr>
        <w:t>-</w:t>
      </w:r>
      <w:r w:rsidR="00B236FB" w:rsidRPr="00414AD1">
        <w:rPr>
          <w:rFonts w:ascii="Arial" w:hAnsi="Arial" w:cs="Arial"/>
          <w:sz w:val="24"/>
          <w:szCs w:val="24"/>
        </w:rPr>
        <w:t xml:space="preserve"> </w:t>
      </w:r>
      <w:r w:rsidRPr="00414AD1">
        <w:rPr>
          <w:rFonts w:ascii="Arial" w:hAnsi="Arial" w:cs="Arial"/>
          <w:sz w:val="24"/>
          <w:szCs w:val="24"/>
        </w:rPr>
        <w:t>Биржийн арилжааг хил нөхцөлөөр гүйцэтгэж байгаатай холбоотойгоор нийлүүлэлт хангалтгүй хийгдэж, худалдан авагчийн итгэлийг алдаж, гэрээний үүрэг зөрчигдөх болсон;</w:t>
      </w:r>
    </w:p>
    <w:p w14:paraId="11FE10CA" w14:textId="77777777" w:rsidR="00797B3A" w:rsidRPr="00414AD1" w:rsidRDefault="00797B3A" w:rsidP="00EC77D2">
      <w:pPr>
        <w:spacing w:after="0" w:line="240" w:lineRule="auto"/>
        <w:jc w:val="both"/>
        <w:rPr>
          <w:rFonts w:ascii="Arial" w:hAnsi="Arial" w:cs="Arial"/>
          <w:sz w:val="24"/>
          <w:szCs w:val="24"/>
        </w:rPr>
      </w:pPr>
    </w:p>
    <w:p w14:paraId="5AD6C58F" w14:textId="607A5944" w:rsidR="00797B3A" w:rsidRPr="00414AD1" w:rsidRDefault="00797B3A" w:rsidP="00B54536">
      <w:pPr>
        <w:spacing w:after="0" w:line="240" w:lineRule="auto"/>
        <w:ind w:firstLine="720"/>
        <w:jc w:val="both"/>
        <w:rPr>
          <w:rFonts w:ascii="Arial" w:hAnsi="Arial" w:cs="Arial"/>
          <w:sz w:val="24"/>
          <w:szCs w:val="24"/>
        </w:rPr>
      </w:pPr>
      <w:r w:rsidRPr="00414AD1">
        <w:rPr>
          <w:rFonts w:ascii="Arial" w:hAnsi="Arial" w:cs="Arial"/>
          <w:sz w:val="24"/>
          <w:szCs w:val="24"/>
        </w:rPr>
        <w:t>-</w:t>
      </w:r>
      <w:r w:rsidR="00B236FB" w:rsidRPr="00414AD1">
        <w:rPr>
          <w:rFonts w:ascii="Arial" w:hAnsi="Arial" w:cs="Arial"/>
          <w:sz w:val="24"/>
          <w:szCs w:val="24"/>
        </w:rPr>
        <w:t xml:space="preserve"> </w:t>
      </w:r>
      <w:r w:rsidRPr="00414AD1">
        <w:rPr>
          <w:rFonts w:ascii="Arial" w:hAnsi="Arial" w:cs="Arial"/>
          <w:sz w:val="24"/>
          <w:szCs w:val="24"/>
        </w:rPr>
        <w:t>Уул уурхайн бүтээгдэхүүнийг</w:t>
      </w:r>
      <w:r w:rsidR="00DD0689" w:rsidRPr="00414AD1">
        <w:rPr>
          <w:rFonts w:ascii="Arial" w:hAnsi="Arial" w:cs="Arial"/>
          <w:sz w:val="24"/>
          <w:szCs w:val="24"/>
        </w:rPr>
        <w:t xml:space="preserve"> </w:t>
      </w:r>
      <w:r w:rsidRPr="00414AD1">
        <w:rPr>
          <w:rFonts w:ascii="Arial" w:hAnsi="Arial" w:cs="Arial"/>
          <w:sz w:val="24"/>
          <w:szCs w:val="24"/>
        </w:rPr>
        <w:t>урт хугацаанд борлуулах боломжгүй болж, төрийн болон орон нутгийн өмчийн оролцоотой аж ахуйн нэгжүүдийн зах зээлийн үнэлгээ буурах болсон.</w:t>
      </w:r>
    </w:p>
    <w:p w14:paraId="35813F0D" w14:textId="77777777" w:rsidR="00797B3A" w:rsidRPr="00414AD1" w:rsidRDefault="00797B3A" w:rsidP="00B54536">
      <w:pPr>
        <w:spacing w:after="0" w:line="240" w:lineRule="auto"/>
        <w:jc w:val="both"/>
        <w:rPr>
          <w:rFonts w:ascii="Arial" w:hAnsi="Arial" w:cs="Arial"/>
          <w:sz w:val="24"/>
          <w:szCs w:val="24"/>
        </w:rPr>
      </w:pPr>
    </w:p>
    <w:p w14:paraId="3A5CAA05" w14:textId="4A82A550" w:rsidR="00797B3A" w:rsidRPr="00414AD1" w:rsidRDefault="00797B3A" w:rsidP="00B54536">
      <w:pPr>
        <w:pBdr>
          <w:top w:val="nil"/>
          <w:left w:val="nil"/>
          <w:bottom w:val="nil"/>
          <w:right w:val="nil"/>
          <w:between w:val="nil"/>
        </w:pBdr>
        <w:tabs>
          <w:tab w:val="left" w:pos="709"/>
        </w:tabs>
        <w:spacing w:after="0" w:line="240" w:lineRule="auto"/>
        <w:jc w:val="both"/>
        <w:rPr>
          <w:rFonts w:ascii="Arial" w:hAnsi="Arial" w:cs="Arial"/>
          <w:sz w:val="24"/>
          <w:szCs w:val="24"/>
        </w:rPr>
      </w:pPr>
      <w:r w:rsidRPr="00414AD1">
        <w:rPr>
          <w:rFonts w:ascii="Arial" w:hAnsi="Arial" w:cs="Arial"/>
          <w:sz w:val="24"/>
          <w:szCs w:val="24"/>
        </w:rPr>
        <w:tab/>
        <w:t>Иймд</w:t>
      </w:r>
      <w:r w:rsidR="003D5CC2" w:rsidRPr="00414AD1">
        <w:rPr>
          <w:rFonts w:ascii="Arial" w:hAnsi="Arial" w:cs="Arial"/>
          <w:sz w:val="24"/>
          <w:szCs w:val="24"/>
        </w:rPr>
        <w:t>, м</w:t>
      </w:r>
      <w:r w:rsidRPr="00414AD1">
        <w:rPr>
          <w:rFonts w:ascii="Arial" w:hAnsi="Arial" w:cs="Arial"/>
          <w:sz w:val="24"/>
          <w:szCs w:val="24"/>
        </w:rPr>
        <w:t>анай улсын уул уурхайн бүтээгдэхүүний олборлолт, борлуулалтын бодит нөхцөл байдал болон дэлхий нийтийн чиг хандлага, бусад улсын</w:t>
      </w:r>
      <w:r w:rsidR="003D5CC2" w:rsidRPr="00414AD1">
        <w:rPr>
          <w:rFonts w:ascii="Arial" w:hAnsi="Arial" w:cs="Arial"/>
          <w:sz w:val="24"/>
          <w:szCs w:val="24"/>
        </w:rPr>
        <w:t xml:space="preserve"> </w:t>
      </w:r>
      <w:r w:rsidRPr="00414AD1">
        <w:rPr>
          <w:rFonts w:ascii="Arial" w:hAnsi="Arial" w:cs="Arial"/>
          <w:sz w:val="24"/>
          <w:szCs w:val="24"/>
        </w:rPr>
        <w:t>сайн туршлагыг харгалзан</w:t>
      </w:r>
      <w:r w:rsidR="003D5CC2" w:rsidRPr="00414AD1">
        <w:rPr>
          <w:rFonts w:ascii="Arial" w:hAnsi="Arial" w:cs="Arial"/>
          <w:sz w:val="24"/>
          <w:szCs w:val="24"/>
        </w:rPr>
        <w:t>,</w:t>
      </w:r>
      <w:r w:rsidRPr="00414AD1">
        <w:rPr>
          <w:rFonts w:ascii="Arial" w:hAnsi="Arial" w:cs="Arial"/>
          <w:sz w:val="24"/>
          <w:szCs w:val="24"/>
        </w:rPr>
        <w:t xml:space="preserve"> уул уурхайн бүтээгдэхүүний биржийн чадавх</w:t>
      </w:r>
      <w:r w:rsidR="00B541FB" w:rsidRPr="00414AD1">
        <w:rPr>
          <w:rFonts w:ascii="Arial" w:hAnsi="Arial" w:cs="Arial"/>
          <w:sz w:val="24"/>
          <w:szCs w:val="24"/>
        </w:rPr>
        <w:t>ы</w:t>
      </w:r>
      <w:r w:rsidRPr="00414AD1">
        <w:rPr>
          <w:rFonts w:ascii="Arial" w:hAnsi="Arial" w:cs="Arial"/>
          <w:sz w:val="24"/>
          <w:szCs w:val="24"/>
        </w:rPr>
        <w:t>г сайжруулж, арилжааг нэмэгдүүлэх</w:t>
      </w:r>
      <w:r w:rsidR="00F52DDA" w:rsidRPr="00414AD1">
        <w:rPr>
          <w:rFonts w:ascii="Arial" w:hAnsi="Arial" w:cs="Arial"/>
          <w:sz w:val="24"/>
          <w:szCs w:val="24"/>
        </w:rPr>
        <w:t xml:space="preserve"> </w:t>
      </w:r>
      <w:r w:rsidR="00351A33" w:rsidRPr="00414AD1">
        <w:rPr>
          <w:rFonts w:ascii="Arial" w:hAnsi="Arial" w:cs="Arial"/>
          <w:sz w:val="24"/>
          <w:szCs w:val="24"/>
        </w:rPr>
        <w:t xml:space="preserve">зорилгоор </w:t>
      </w:r>
      <w:r w:rsidRPr="00414AD1">
        <w:rPr>
          <w:rFonts w:ascii="Arial" w:hAnsi="Arial" w:cs="Arial"/>
          <w:sz w:val="24"/>
          <w:szCs w:val="24"/>
        </w:rPr>
        <w:t xml:space="preserve">Уул уурхайн бүтээгдэхүүний биржийн тухай хуульд зохих нэмэлт, өөрчлөлт оруулах шаардлага үүсээд байна.  </w:t>
      </w:r>
    </w:p>
    <w:p w14:paraId="0FF3428F" w14:textId="77777777" w:rsidR="00797B3A" w:rsidRPr="00414AD1" w:rsidRDefault="00797B3A" w:rsidP="00B54536">
      <w:pPr>
        <w:pBdr>
          <w:top w:val="nil"/>
          <w:left w:val="nil"/>
          <w:bottom w:val="nil"/>
          <w:right w:val="nil"/>
          <w:between w:val="nil"/>
        </w:pBdr>
        <w:tabs>
          <w:tab w:val="left" w:pos="709"/>
        </w:tabs>
        <w:spacing w:after="0" w:line="240" w:lineRule="auto"/>
        <w:jc w:val="both"/>
        <w:rPr>
          <w:rFonts w:ascii="Arial" w:hAnsi="Arial" w:cs="Arial"/>
          <w:sz w:val="24"/>
          <w:szCs w:val="24"/>
        </w:rPr>
      </w:pPr>
    </w:p>
    <w:p w14:paraId="024D1908" w14:textId="77777777" w:rsidR="00797B3A" w:rsidRPr="00414AD1" w:rsidRDefault="00797B3A" w:rsidP="00B54536">
      <w:pPr>
        <w:pStyle w:val="NormalWeb"/>
        <w:shd w:val="clear" w:color="auto" w:fill="FFFFFF"/>
        <w:spacing w:before="0" w:beforeAutospacing="0" w:after="0" w:afterAutospacing="0"/>
        <w:ind w:firstLine="720"/>
        <w:jc w:val="both"/>
        <w:textAlignment w:val="top"/>
        <w:rPr>
          <w:rFonts w:ascii="Arial" w:eastAsia="Arial" w:hAnsi="Arial" w:cs="Arial"/>
          <w:b/>
          <w:lang w:val="mn-MN"/>
        </w:rPr>
      </w:pPr>
      <w:r w:rsidRPr="00414AD1">
        <w:rPr>
          <w:rFonts w:ascii="Arial" w:eastAsia="Arial" w:hAnsi="Arial" w:cs="Arial"/>
          <w:b/>
          <w:lang w:val="mn-MN"/>
        </w:rPr>
        <w:t>Хоёр.Хуулийн төслийн ерөнхий бүтэц, зохицуулах харилцаа, хамрах хүрээний талаар</w:t>
      </w:r>
    </w:p>
    <w:p w14:paraId="20E3DE5F" w14:textId="77777777" w:rsidR="00B55BA0" w:rsidRPr="00414AD1" w:rsidRDefault="00B55BA0" w:rsidP="00B54536">
      <w:pPr>
        <w:spacing w:after="0" w:line="240" w:lineRule="auto"/>
        <w:jc w:val="both"/>
        <w:rPr>
          <w:rFonts w:ascii="Arial" w:hAnsi="Arial" w:cs="Arial"/>
          <w:sz w:val="24"/>
          <w:szCs w:val="24"/>
        </w:rPr>
      </w:pPr>
    </w:p>
    <w:p w14:paraId="24F4092F" w14:textId="783687E0" w:rsidR="00B55BA0" w:rsidRPr="00414AD1" w:rsidRDefault="00B55BA0" w:rsidP="00B54536">
      <w:pPr>
        <w:pStyle w:val="BodyText"/>
        <w:ind w:left="0" w:firstLine="709"/>
        <w:contextualSpacing/>
        <w:rPr>
          <w:rFonts w:ascii="Arial" w:hAnsi="Arial" w:cs="Arial"/>
          <w:noProof/>
          <w:spacing w:val="-4"/>
          <w:sz w:val="24"/>
          <w:szCs w:val="24"/>
          <w:lang w:val="mn-MN"/>
        </w:rPr>
      </w:pPr>
      <w:r w:rsidRPr="00414AD1">
        <w:rPr>
          <w:rFonts w:ascii="Arial" w:hAnsi="Arial" w:cs="Arial"/>
          <w:noProof/>
          <w:sz w:val="24"/>
          <w:szCs w:val="24"/>
          <w:lang w:val="mn-MN"/>
        </w:rPr>
        <w:t>Хуулийн</w:t>
      </w:r>
      <w:r w:rsidRPr="00414AD1">
        <w:rPr>
          <w:rFonts w:ascii="Arial" w:hAnsi="Arial" w:cs="Arial"/>
          <w:noProof/>
          <w:spacing w:val="-3"/>
          <w:sz w:val="24"/>
          <w:szCs w:val="24"/>
          <w:lang w:val="mn-MN"/>
        </w:rPr>
        <w:t xml:space="preserve"> </w:t>
      </w:r>
      <w:r w:rsidRPr="00414AD1">
        <w:rPr>
          <w:rFonts w:ascii="Arial" w:hAnsi="Arial" w:cs="Arial"/>
          <w:noProof/>
          <w:sz w:val="24"/>
          <w:szCs w:val="24"/>
          <w:lang w:val="mn-MN"/>
        </w:rPr>
        <w:t>төсөл</w:t>
      </w:r>
      <w:r w:rsidRPr="00414AD1">
        <w:rPr>
          <w:rFonts w:ascii="Arial" w:hAnsi="Arial" w:cs="Arial"/>
          <w:noProof/>
          <w:spacing w:val="-4"/>
          <w:sz w:val="24"/>
          <w:szCs w:val="24"/>
          <w:lang w:val="mn-MN"/>
        </w:rPr>
        <w:t>д дараах асуудлыг тусгана</w:t>
      </w:r>
      <w:r w:rsidR="00DD0689" w:rsidRPr="00414AD1">
        <w:rPr>
          <w:rFonts w:ascii="Arial" w:hAnsi="Arial" w:cs="Arial"/>
          <w:noProof/>
          <w:spacing w:val="-4"/>
          <w:sz w:val="24"/>
          <w:szCs w:val="24"/>
          <w:lang w:val="mn-MN"/>
        </w:rPr>
        <w:t>. Үүнд:</w:t>
      </w:r>
    </w:p>
    <w:p w14:paraId="6C68FD3E" w14:textId="77777777" w:rsidR="00797B3A" w:rsidRPr="00414AD1" w:rsidRDefault="00797B3A" w:rsidP="00B54536">
      <w:pPr>
        <w:spacing w:after="0" w:line="240" w:lineRule="auto"/>
        <w:ind w:firstLine="720"/>
        <w:jc w:val="both"/>
        <w:rPr>
          <w:rFonts w:ascii="Arial" w:hAnsi="Arial" w:cs="Arial"/>
          <w:sz w:val="24"/>
          <w:szCs w:val="24"/>
        </w:rPr>
      </w:pPr>
    </w:p>
    <w:p w14:paraId="3853AB60" w14:textId="4F538D73" w:rsidR="00B55BA0" w:rsidRPr="00414AD1" w:rsidRDefault="00DF7F53" w:rsidP="00B54536">
      <w:pPr>
        <w:spacing w:after="0" w:line="240" w:lineRule="auto"/>
        <w:ind w:firstLine="714"/>
        <w:jc w:val="both"/>
        <w:rPr>
          <w:rFonts w:ascii="Arial" w:eastAsia="Arial" w:hAnsi="Arial" w:cs="Arial"/>
          <w:sz w:val="24"/>
          <w:szCs w:val="24"/>
        </w:rPr>
      </w:pPr>
      <w:r w:rsidRPr="00414AD1">
        <w:rPr>
          <w:rFonts w:ascii="Arial" w:hAnsi="Arial" w:cs="Arial"/>
          <w:sz w:val="24"/>
          <w:szCs w:val="24"/>
        </w:rPr>
        <w:t>-</w:t>
      </w:r>
      <w:r w:rsidR="00B236FB" w:rsidRPr="00414AD1">
        <w:rPr>
          <w:rFonts w:ascii="Arial" w:hAnsi="Arial" w:cs="Arial"/>
          <w:sz w:val="24"/>
          <w:szCs w:val="24"/>
        </w:rPr>
        <w:t xml:space="preserve"> </w:t>
      </w:r>
      <w:r w:rsidR="00797B3A" w:rsidRPr="00414AD1">
        <w:rPr>
          <w:rFonts w:ascii="Arial" w:hAnsi="Arial" w:cs="Arial"/>
          <w:sz w:val="24"/>
          <w:szCs w:val="24"/>
        </w:rPr>
        <w:t xml:space="preserve">Уул уурхайн бүтээгдэхүүний биржийн тухай хуулийн </w:t>
      </w:r>
      <w:r w:rsidRPr="00414AD1">
        <w:rPr>
          <w:rFonts w:ascii="Arial" w:hAnsi="Arial" w:cs="Arial"/>
          <w:sz w:val="24"/>
          <w:szCs w:val="24"/>
        </w:rPr>
        <w:t>үйлчлэх хүрээнд өөрчлөлт оруулж,</w:t>
      </w:r>
      <w:r w:rsidR="00797B3A" w:rsidRPr="00414AD1">
        <w:rPr>
          <w:rFonts w:ascii="Arial" w:hAnsi="Arial" w:cs="Arial"/>
          <w:sz w:val="24"/>
          <w:szCs w:val="24"/>
        </w:rPr>
        <w:t xml:space="preserve"> </w:t>
      </w:r>
      <w:r w:rsidR="00797B3A" w:rsidRPr="00414AD1">
        <w:rPr>
          <w:rFonts w:ascii="Arial" w:eastAsia="Arial" w:hAnsi="Arial" w:cs="Arial"/>
          <w:sz w:val="24"/>
          <w:szCs w:val="24"/>
        </w:rPr>
        <w:t xml:space="preserve">уул уурхайн бүтээгдэхүүнийг </w:t>
      </w:r>
      <w:r w:rsidRPr="00414AD1">
        <w:rPr>
          <w:rFonts w:ascii="Arial" w:hAnsi="Arial" w:cs="Arial"/>
          <w:sz w:val="24"/>
          <w:szCs w:val="24"/>
          <w:shd w:val="clear" w:color="auto" w:fill="FFFFFF"/>
        </w:rPr>
        <w:t xml:space="preserve">гадаад болон дотоодын зах зээлд </w:t>
      </w:r>
      <w:r w:rsidR="00797B3A" w:rsidRPr="00414AD1">
        <w:rPr>
          <w:rFonts w:ascii="Arial" w:eastAsia="Arial" w:hAnsi="Arial" w:cs="Arial"/>
          <w:sz w:val="24"/>
          <w:szCs w:val="24"/>
        </w:rPr>
        <w:t>биржээр дамжуулан арилжих</w:t>
      </w:r>
      <w:r w:rsidRPr="00414AD1">
        <w:rPr>
          <w:rFonts w:ascii="Arial" w:eastAsia="Arial" w:hAnsi="Arial" w:cs="Arial"/>
          <w:sz w:val="24"/>
          <w:szCs w:val="24"/>
        </w:rPr>
        <w:t xml:space="preserve"> зохицуулал</w:t>
      </w:r>
      <w:r w:rsidR="00B55BA0" w:rsidRPr="00414AD1">
        <w:rPr>
          <w:rFonts w:ascii="Arial" w:eastAsia="Arial" w:hAnsi="Arial" w:cs="Arial"/>
          <w:sz w:val="24"/>
          <w:szCs w:val="24"/>
        </w:rPr>
        <w:t>тыг тусга</w:t>
      </w:r>
      <w:r w:rsidR="00DD0689" w:rsidRPr="00414AD1">
        <w:rPr>
          <w:rFonts w:ascii="Arial" w:eastAsia="Arial" w:hAnsi="Arial" w:cs="Arial"/>
          <w:sz w:val="24"/>
          <w:szCs w:val="24"/>
        </w:rPr>
        <w:t>х</w:t>
      </w:r>
      <w:r w:rsidR="00B55BA0" w:rsidRPr="00414AD1">
        <w:rPr>
          <w:rFonts w:ascii="Arial" w:eastAsia="Arial" w:hAnsi="Arial" w:cs="Arial"/>
          <w:sz w:val="24"/>
          <w:szCs w:val="24"/>
        </w:rPr>
        <w:t>;</w:t>
      </w:r>
      <w:r w:rsidRPr="00414AD1">
        <w:rPr>
          <w:rFonts w:ascii="Arial" w:eastAsia="Arial" w:hAnsi="Arial" w:cs="Arial"/>
          <w:sz w:val="24"/>
          <w:szCs w:val="24"/>
        </w:rPr>
        <w:t xml:space="preserve"> </w:t>
      </w:r>
    </w:p>
    <w:p w14:paraId="1286716C" w14:textId="77777777" w:rsidR="00B55BA0" w:rsidRPr="00414AD1" w:rsidRDefault="00B55BA0" w:rsidP="00B54536">
      <w:pPr>
        <w:spacing w:after="0" w:line="240" w:lineRule="auto"/>
        <w:ind w:firstLine="714"/>
        <w:jc w:val="both"/>
        <w:rPr>
          <w:rFonts w:ascii="Arial" w:eastAsia="Arial" w:hAnsi="Arial" w:cs="Arial"/>
          <w:sz w:val="24"/>
          <w:szCs w:val="24"/>
        </w:rPr>
      </w:pPr>
    </w:p>
    <w:p w14:paraId="12C81A2E" w14:textId="4C9F9E84" w:rsidR="00797B3A" w:rsidRPr="00414AD1" w:rsidRDefault="00B55BA0" w:rsidP="00B54536">
      <w:pPr>
        <w:spacing w:after="0" w:line="240" w:lineRule="auto"/>
        <w:ind w:firstLine="714"/>
        <w:jc w:val="both"/>
        <w:rPr>
          <w:rFonts w:ascii="Arial" w:eastAsia="Arial" w:hAnsi="Arial" w:cs="Arial"/>
          <w:bCs/>
          <w:sz w:val="24"/>
          <w:szCs w:val="24"/>
        </w:rPr>
      </w:pPr>
      <w:r w:rsidRPr="00414AD1">
        <w:rPr>
          <w:rFonts w:ascii="Arial" w:eastAsia="Arial" w:hAnsi="Arial" w:cs="Arial"/>
          <w:sz w:val="24"/>
          <w:szCs w:val="24"/>
        </w:rPr>
        <w:t>-</w:t>
      </w:r>
      <w:r w:rsidR="00B236FB" w:rsidRPr="00414AD1">
        <w:rPr>
          <w:rFonts w:ascii="Arial" w:eastAsia="Arial" w:hAnsi="Arial" w:cs="Arial"/>
          <w:sz w:val="24"/>
          <w:szCs w:val="24"/>
        </w:rPr>
        <w:t xml:space="preserve"> </w:t>
      </w:r>
      <w:r w:rsidRPr="00414AD1">
        <w:rPr>
          <w:rFonts w:ascii="Arial" w:eastAsia="Arial" w:hAnsi="Arial" w:cs="Arial"/>
          <w:sz w:val="24"/>
          <w:szCs w:val="24"/>
        </w:rPr>
        <w:t>Б</w:t>
      </w:r>
      <w:r w:rsidR="00797B3A" w:rsidRPr="00414AD1">
        <w:rPr>
          <w:rFonts w:ascii="Arial" w:eastAsia="Arial" w:hAnsi="Arial" w:cs="Arial"/>
          <w:bCs/>
          <w:sz w:val="24"/>
          <w:szCs w:val="24"/>
        </w:rPr>
        <w:t xml:space="preserve">иржээр </w:t>
      </w:r>
      <w:r w:rsidR="00797B3A" w:rsidRPr="00414AD1">
        <w:rPr>
          <w:rFonts w:ascii="Arial" w:eastAsia="Arial" w:hAnsi="Arial" w:cs="Arial"/>
          <w:sz w:val="24"/>
          <w:szCs w:val="24"/>
        </w:rPr>
        <w:t>арилжаалах</w:t>
      </w:r>
      <w:r w:rsidR="00797B3A" w:rsidRPr="00414AD1">
        <w:rPr>
          <w:rFonts w:ascii="Arial" w:eastAsia="Arial" w:hAnsi="Arial" w:cs="Arial"/>
          <w:bCs/>
          <w:sz w:val="24"/>
          <w:szCs w:val="24"/>
        </w:rPr>
        <w:t xml:space="preserve"> бүтээгдэхүүний үнийг зах зээлийн үнийн индексийн хөдөлгөөнд тулгуурлан өөрчлөлт оруулах боломжийг бүрдүүлэхээр тусга</w:t>
      </w:r>
      <w:r w:rsidR="00DD0689" w:rsidRPr="00414AD1">
        <w:rPr>
          <w:rFonts w:ascii="Arial" w:eastAsia="Arial" w:hAnsi="Arial" w:cs="Arial"/>
          <w:bCs/>
          <w:sz w:val="24"/>
          <w:szCs w:val="24"/>
        </w:rPr>
        <w:t>х</w:t>
      </w:r>
      <w:r w:rsidRPr="00414AD1">
        <w:rPr>
          <w:rFonts w:ascii="Arial" w:eastAsia="Arial" w:hAnsi="Arial" w:cs="Arial"/>
          <w:bCs/>
          <w:sz w:val="24"/>
          <w:szCs w:val="24"/>
        </w:rPr>
        <w:t>;</w:t>
      </w:r>
    </w:p>
    <w:p w14:paraId="43C7DD99" w14:textId="77777777" w:rsidR="00B55BA0" w:rsidRPr="00414AD1" w:rsidRDefault="00B55BA0" w:rsidP="00B54536">
      <w:pPr>
        <w:spacing w:after="0" w:line="240" w:lineRule="auto"/>
        <w:jc w:val="both"/>
        <w:rPr>
          <w:rFonts w:ascii="Arial" w:eastAsia="Arial" w:hAnsi="Arial" w:cs="Arial"/>
          <w:sz w:val="24"/>
          <w:szCs w:val="24"/>
        </w:rPr>
      </w:pPr>
    </w:p>
    <w:p w14:paraId="37CD0319" w14:textId="680BBEC6" w:rsidR="007C0361" w:rsidRPr="00414AD1" w:rsidRDefault="00B55BA0" w:rsidP="00B54536">
      <w:pPr>
        <w:spacing w:after="0" w:line="240" w:lineRule="auto"/>
        <w:ind w:firstLine="714"/>
        <w:jc w:val="both"/>
        <w:rPr>
          <w:rFonts w:ascii="Arial" w:eastAsia="Arial" w:hAnsi="Arial" w:cs="Arial"/>
          <w:sz w:val="24"/>
          <w:szCs w:val="24"/>
        </w:rPr>
      </w:pPr>
      <w:r w:rsidRPr="00414AD1">
        <w:rPr>
          <w:rFonts w:ascii="Arial" w:hAnsi="Arial" w:cs="Arial"/>
          <w:sz w:val="24"/>
          <w:szCs w:val="24"/>
        </w:rPr>
        <w:lastRenderedPageBreak/>
        <w:t>-</w:t>
      </w:r>
      <w:r w:rsidR="00B236FB" w:rsidRPr="00414AD1">
        <w:rPr>
          <w:rFonts w:ascii="Arial" w:hAnsi="Arial" w:cs="Arial"/>
          <w:sz w:val="24"/>
          <w:szCs w:val="24"/>
        </w:rPr>
        <w:t xml:space="preserve"> </w:t>
      </w:r>
      <w:r w:rsidR="00DD0689" w:rsidRPr="00414AD1">
        <w:rPr>
          <w:rFonts w:ascii="Arial" w:hAnsi="Arial" w:cs="Arial"/>
          <w:sz w:val="24"/>
          <w:szCs w:val="24"/>
        </w:rPr>
        <w:t>Т</w:t>
      </w:r>
      <w:r w:rsidR="00797B3A" w:rsidRPr="00414AD1">
        <w:rPr>
          <w:rFonts w:ascii="Arial" w:eastAsia="Arial" w:hAnsi="Arial" w:cs="Arial"/>
          <w:sz w:val="24"/>
          <w:szCs w:val="24"/>
        </w:rPr>
        <w:t xml:space="preserve">өрийн өмчит болон төрийн өмчийн оролцоотой хуулийн этгээдийн тогтвортой үйл ажиллагаа явуулах боломжийг олгох зорилгоор харилцан ашигтай бүтээгдэхүүн худалдах гэрээг байгуулах </w:t>
      </w:r>
      <w:r w:rsidR="007C0361" w:rsidRPr="00414AD1">
        <w:rPr>
          <w:rFonts w:ascii="Arial" w:eastAsia="Arial" w:hAnsi="Arial" w:cs="Arial"/>
          <w:sz w:val="24"/>
          <w:szCs w:val="24"/>
        </w:rPr>
        <w:t>зохицуулалтыг тусга</w:t>
      </w:r>
      <w:r w:rsidR="00DD0689" w:rsidRPr="00414AD1">
        <w:rPr>
          <w:rFonts w:ascii="Arial" w:eastAsia="Arial" w:hAnsi="Arial" w:cs="Arial"/>
          <w:sz w:val="24"/>
          <w:szCs w:val="24"/>
        </w:rPr>
        <w:t>х</w:t>
      </w:r>
      <w:r w:rsidR="007C0361" w:rsidRPr="00414AD1">
        <w:rPr>
          <w:rFonts w:ascii="Arial" w:eastAsia="Arial" w:hAnsi="Arial" w:cs="Arial"/>
          <w:sz w:val="24"/>
          <w:szCs w:val="24"/>
        </w:rPr>
        <w:t>;</w:t>
      </w:r>
    </w:p>
    <w:p w14:paraId="4B4F8C70" w14:textId="77777777" w:rsidR="007C0361" w:rsidRPr="00414AD1" w:rsidRDefault="007C0361" w:rsidP="00B54536">
      <w:pPr>
        <w:spacing w:after="0" w:line="240" w:lineRule="auto"/>
        <w:ind w:firstLine="714"/>
        <w:jc w:val="both"/>
        <w:rPr>
          <w:rFonts w:ascii="Arial" w:eastAsia="Arial" w:hAnsi="Arial" w:cs="Arial"/>
          <w:sz w:val="24"/>
          <w:szCs w:val="24"/>
        </w:rPr>
      </w:pPr>
    </w:p>
    <w:p w14:paraId="79301F20" w14:textId="7A4546AB" w:rsidR="00797B3A" w:rsidRPr="00414AD1" w:rsidRDefault="007C0361" w:rsidP="00B54536">
      <w:pPr>
        <w:spacing w:after="0" w:line="240" w:lineRule="auto"/>
        <w:ind w:firstLine="714"/>
        <w:jc w:val="both"/>
        <w:rPr>
          <w:rFonts w:ascii="Arial" w:eastAsia="Arial" w:hAnsi="Arial" w:cs="Arial"/>
          <w:sz w:val="24"/>
          <w:szCs w:val="24"/>
        </w:rPr>
      </w:pPr>
      <w:r w:rsidRPr="00414AD1">
        <w:rPr>
          <w:rFonts w:ascii="Arial" w:eastAsia="Arial" w:hAnsi="Arial" w:cs="Arial"/>
          <w:sz w:val="24"/>
          <w:szCs w:val="24"/>
        </w:rPr>
        <w:t>-</w:t>
      </w:r>
      <w:r w:rsidR="00B236FB" w:rsidRPr="00414AD1">
        <w:rPr>
          <w:rFonts w:ascii="Arial" w:eastAsia="Arial" w:hAnsi="Arial" w:cs="Arial"/>
          <w:sz w:val="24"/>
          <w:szCs w:val="24"/>
        </w:rPr>
        <w:t xml:space="preserve"> </w:t>
      </w:r>
      <w:r w:rsidRPr="00414AD1">
        <w:rPr>
          <w:rFonts w:ascii="Arial" w:hAnsi="Arial" w:cs="Arial"/>
          <w:sz w:val="24"/>
          <w:szCs w:val="24"/>
        </w:rPr>
        <w:t>Б</w:t>
      </w:r>
      <w:r w:rsidR="00797B3A" w:rsidRPr="00414AD1">
        <w:rPr>
          <w:rFonts w:ascii="Arial" w:hAnsi="Arial" w:cs="Arial"/>
          <w:sz w:val="24"/>
          <w:szCs w:val="24"/>
        </w:rPr>
        <w:t xml:space="preserve">иржийн арилжааны үнийг </w:t>
      </w:r>
      <w:r w:rsidR="00797B3A" w:rsidRPr="00414AD1">
        <w:rPr>
          <w:rFonts w:ascii="Arial" w:eastAsia="Arial" w:hAnsi="Arial" w:cs="Arial"/>
          <w:sz w:val="24"/>
          <w:szCs w:val="24"/>
        </w:rPr>
        <w:t xml:space="preserve">Олон Улсын худалдааны танхимаас гаргасан худалдааны журамд заасны дагуу зарлах </w:t>
      </w:r>
      <w:r w:rsidR="00BA1E36" w:rsidRPr="00414AD1">
        <w:rPr>
          <w:rFonts w:ascii="Arial" w:eastAsia="Arial" w:hAnsi="Arial" w:cs="Arial"/>
          <w:sz w:val="24"/>
          <w:szCs w:val="24"/>
        </w:rPr>
        <w:t>талаар</w:t>
      </w:r>
      <w:r w:rsidR="00797B3A" w:rsidRPr="00414AD1">
        <w:rPr>
          <w:rFonts w:ascii="Arial" w:eastAsia="Arial" w:hAnsi="Arial" w:cs="Arial"/>
          <w:sz w:val="24"/>
          <w:szCs w:val="24"/>
        </w:rPr>
        <w:t xml:space="preserve"> тусга</w:t>
      </w:r>
      <w:r w:rsidR="00DD0689" w:rsidRPr="00414AD1">
        <w:rPr>
          <w:rFonts w:ascii="Arial" w:eastAsia="Arial" w:hAnsi="Arial" w:cs="Arial"/>
          <w:sz w:val="24"/>
          <w:szCs w:val="24"/>
        </w:rPr>
        <w:t>х</w:t>
      </w:r>
      <w:r w:rsidRPr="00414AD1">
        <w:rPr>
          <w:rFonts w:ascii="Arial" w:eastAsia="Arial" w:hAnsi="Arial" w:cs="Arial"/>
          <w:sz w:val="24"/>
          <w:szCs w:val="24"/>
        </w:rPr>
        <w:t>;</w:t>
      </w:r>
    </w:p>
    <w:p w14:paraId="6A98AFF0" w14:textId="77777777" w:rsidR="00617589" w:rsidRPr="00414AD1" w:rsidRDefault="00617589" w:rsidP="00B54536">
      <w:pPr>
        <w:spacing w:after="0" w:line="240" w:lineRule="auto"/>
        <w:ind w:firstLine="714"/>
        <w:jc w:val="both"/>
        <w:rPr>
          <w:rFonts w:ascii="Arial" w:eastAsia="Arial" w:hAnsi="Arial" w:cs="Arial"/>
          <w:sz w:val="24"/>
          <w:szCs w:val="24"/>
        </w:rPr>
      </w:pPr>
    </w:p>
    <w:p w14:paraId="659F9E2B" w14:textId="3B1AE24C" w:rsidR="00617589" w:rsidRPr="00414AD1" w:rsidRDefault="00617589" w:rsidP="00B54536">
      <w:pPr>
        <w:pStyle w:val="NormalWeb"/>
        <w:shd w:val="clear" w:color="auto" w:fill="FFFFFF"/>
        <w:spacing w:before="0" w:beforeAutospacing="0" w:after="0" w:afterAutospacing="0"/>
        <w:ind w:firstLine="720"/>
        <w:jc w:val="both"/>
        <w:textAlignment w:val="top"/>
        <w:rPr>
          <w:rFonts w:ascii="Arial" w:hAnsi="Arial" w:cs="Arial"/>
          <w:noProof/>
          <w:lang w:val="mn-MN"/>
        </w:rPr>
      </w:pPr>
      <w:r w:rsidRPr="00414AD1">
        <w:rPr>
          <w:rFonts w:ascii="Arial" w:eastAsia="Arial" w:hAnsi="Arial" w:cs="Arial"/>
          <w:lang w:val="mn-MN"/>
        </w:rPr>
        <w:t>-</w:t>
      </w:r>
      <w:r w:rsidR="00B236FB" w:rsidRPr="00414AD1">
        <w:rPr>
          <w:rFonts w:ascii="Arial" w:eastAsia="Arial" w:hAnsi="Arial" w:cs="Arial"/>
          <w:lang w:val="mn-MN"/>
        </w:rPr>
        <w:t xml:space="preserve"> </w:t>
      </w:r>
      <w:r w:rsidRPr="00414AD1">
        <w:rPr>
          <w:rFonts w:ascii="Arial" w:hAnsi="Arial" w:cs="Arial"/>
          <w:noProof/>
          <w:lang w:val="mn-MN"/>
        </w:rPr>
        <w:t>Цацраг идэвхт ашигт малтмалыг биржээр арилжаалсан тохиолдолд борлуулалтын мэдээллийг Оло</w:t>
      </w:r>
      <w:r w:rsidR="008041EC" w:rsidRPr="00414AD1">
        <w:rPr>
          <w:rFonts w:ascii="Arial" w:hAnsi="Arial" w:cs="Arial"/>
          <w:noProof/>
          <w:lang w:val="mn-MN"/>
        </w:rPr>
        <w:t>н</w:t>
      </w:r>
      <w:r w:rsidRPr="00414AD1">
        <w:rPr>
          <w:rFonts w:ascii="Arial" w:hAnsi="Arial" w:cs="Arial"/>
          <w:noProof/>
          <w:lang w:val="mn-MN"/>
        </w:rPr>
        <w:t xml:space="preserve"> Улсын Атомын Энергийн Агентлагт хүргүүлж байх зохицуулалтыг тусга</w:t>
      </w:r>
      <w:r w:rsidR="00DD0689" w:rsidRPr="00414AD1">
        <w:rPr>
          <w:rFonts w:ascii="Arial" w:hAnsi="Arial" w:cs="Arial"/>
          <w:noProof/>
          <w:lang w:val="mn-MN"/>
        </w:rPr>
        <w:t>х</w:t>
      </w:r>
      <w:r w:rsidRPr="00414AD1">
        <w:rPr>
          <w:rFonts w:ascii="Arial" w:hAnsi="Arial" w:cs="Arial"/>
          <w:noProof/>
          <w:lang w:val="mn-MN"/>
        </w:rPr>
        <w:t xml:space="preserve">; </w:t>
      </w:r>
    </w:p>
    <w:p w14:paraId="3EC45A4F" w14:textId="77777777" w:rsidR="007C0361" w:rsidRPr="00414AD1" w:rsidRDefault="007C0361" w:rsidP="00B54536">
      <w:pPr>
        <w:pBdr>
          <w:top w:val="nil"/>
          <w:left w:val="nil"/>
          <w:bottom w:val="nil"/>
          <w:right w:val="nil"/>
          <w:between w:val="nil"/>
        </w:pBdr>
        <w:spacing w:after="0" w:line="240" w:lineRule="auto"/>
        <w:jc w:val="both"/>
        <w:rPr>
          <w:rFonts w:ascii="Arial" w:eastAsia="Arial" w:hAnsi="Arial" w:cs="Arial"/>
          <w:sz w:val="24"/>
          <w:szCs w:val="24"/>
        </w:rPr>
      </w:pPr>
    </w:p>
    <w:p w14:paraId="3BE9E714" w14:textId="7704B258" w:rsidR="00797B3A" w:rsidRPr="00414AD1" w:rsidRDefault="007C0361" w:rsidP="00B54536">
      <w:pPr>
        <w:pBdr>
          <w:top w:val="nil"/>
          <w:left w:val="nil"/>
          <w:bottom w:val="nil"/>
          <w:right w:val="nil"/>
          <w:between w:val="nil"/>
        </w:pBdr>
        <w:spacing w:after="0" w:line="240" w:lineRule="auto"/>
        <w:ind w:firstLine="714"/>
        <w:jc w:val="both"/>
        <w:rPr>
          <w:rFonts w:ascii="Arial" w:eastAsia="Arial" w:hAnsi="Arial" w:cs="Arial"/>
          <w:sz w:val="24"/>
          <w:szCs w:val="24"/>
        </w:rPr>
      </w:pPr>
      <w:r w:rsidRPr="00414AD1">
        <w:rPr>
          <w:rFonts w:ascii="Arial" w:eastAsia="Arial" w:hAnsi="Arial" w:cs="Arial"/>
          <w:sz w:val="24"/>
          <w:szCs w:val="24"/>
        </w:rPr>
        <w:t>-</w:t>
      </w:r>
      <w:r w:rsidR="00B236FB" w:rsidRPr="00414AD1">
        <w:rPr>
          <w:rFonts w:ascii="Arial" w:eastAsia="Arial" w:hAnsi="Arial" w:cs="Arial"/>
          <w:sz w:val="24"/>
          <w:szCs w:val="24"/>
        </w:rPr>
        <w:t xml:space="preserve"> </w:t>
      </w:r>
      <w:r w:rsidR="00797B3A" w:rsidRPr="00414AD1">
        <w:rPr>
          <w:rFonts w:ascii="Arial" w:eastAsia="Arial" w:hAnsi="Arial" w:cs="Arial"/>
          <w:sz w:val="24"/>
          <w:szCs w:val="24"/>
        </w:rPr>
        <w:t>Монгол Улсын Засгийн газар Бүгд Найрамдах Хятад Ард Улсын Засгийн газар хооронд байгуулсан</w:t>
      </w:r>
      <w:r w:rsidRPr="00414AD1">
        <w:rPr>
          <w:rFonts w:ascii="Arial" w:eastAsia="Arial" w:hAnsi="Arial" w:cs="Arial"/>
          <w:sz w:val="24"/>
          <w:szCs w:val="24"/>
        </w:rPr>
        <w:t xml:space="preserve"> </w:t>
      </w:r>
      <w:r w:rsidR="00797B3A" w:rsidRPr="00414AD1">
        <w:rPr>
          <w:rFonts w:ascii="Arial" w:eastAsia="Arial" w:hAnsi="Arial" w:cs="Arial"/>
          <w:sz w:val="24"/>
          <w:szCs w:val="24"/>
        </w:rPr>
        <w:t xml:space="preserve">“Гашуунсухайт-Ганцмод боомтын хил дамнасан төмөр зам, нүүрсний худалдаа, Тавантолгойн нүүрсний уурхайн хүчин чадлын нэмэгдүүлэх хамтын ажиллагааны тухай” хэлэлцээрийн хэрэгжилтийг хангах зорилгоор </w:t>
      </w:r>
      <w:r w:rsidR="00797B3A" w:rsidRPr="00414AD1">
        <w:rPr>
          <w:rFonts w:ascii="Arial" w:hAnsi="Arial" w:cs="Arial"/>
          <w:sz w:val="24"/>
          <w:szCs w:val="24"/>
        </w:rPr>
        <w:t>Уул уурхайн бүтээгдэхүүний биржийн тухай хуулийн 10 дугаар зүйлийн 10.4 дэх хэсгийг хүчингүй болгох</w:t>
      </w:r>
      <w:r w:rsidRPr="00414AD1">
        <w:rPr>
          <w:rFonts w:ascii="Arial" w:hAnsi="Arial" w:cs="Arial"/>
          <w:sz w:val="24"/>
          <w:szCs w:val="24"/>
        </w:rPr>
        <w:t xml:space="preserve"> зохицуулалтыг тусгана.</w:t>
      </w:r>
    </w:p>
    <w:p w14:paraId="1752C42F" w14:textId="77777777" w:rsidR="00797B3A" w:rsidRPr="00414AD1" w:rsidRDefault="00797B3A" w:rsidP="00B54536">
      <w:pPr>
        <w:pBdr>
          <w:top w:val="nil"/>
          <w:left w:val="nil"/>
          <w:bottom w:val="nil"/>
          <w:right w:val="nil"/>
          <w:between w:val="nil"/>
        </w:pBdr>
        <w:spacing w:after="0" w:line="240" w:lineRule="auto"/>
        <w:ind w:firstLine="714"/>
        <w:jc w:val="both"/>
        <w:rPr>
          <w:rFonts w:ascii="Arial" w:eastAsia="Arial" w:hAnsi="Arial" w:cs="Arial"/>
          <w:sz w:val="24"/>
          <w:szCs w:val="24"/>
        </w:rPr>
      </w:pPr>
    </w:p>
    <w:p w14:paraId="5D3CF15A" w14:textId="77777777" w:rsidR="00797B3A" w:rsidRPr="00414AD1" w:rsidRDefault="00797B3A" w:rsidP="00B54536">
      <w:pPr>
        <w:spacing w:after="0" w:line="240" w:lineRule="auto"/>
        <w:ind w:firstLine="720"/>
        <w:jc w:val="both"/>
        <w:rPr>
          <w:rFonts w:ascii="Arial" w:hAnsi="Arial" w:cs="Arial"/>
          <w:b/>
          <w:sz w:val="24"/>
          <w:szCs w:val="24"/>
        </w:rPr>
      </w:pPr>
      <w:r w:rsidRPr="00414AD1">
        <w:rPr>
          <w:rFonts w:ascii="Arial" w:hAnsi="Arial" w:cs="Arial"/>
          <w:b/>
          <w:sz w:val="24"/>
          <w:szCs w:val="24"/>
        </w:rPr>
        <w:t>Гурав.Хуулийн төсөл батлагдсаны дараа үүсэж болох нийгэм, эдийн засаг, эрх зүйн үр дагавар, тэдгээрийг шийдвэрлэх талаар авч хэрэгжүүлэх арга хэмжээний талаар</w:t>
      </w:r>
    </w:p>
    <w:p w14:paraId="0603DEF8" w14:textId="77777777" w:rsidR="00797B3A" w:rsidRPr="00414AD1" w:rsidRDefault="00797B3A" w:rsidP="00B54536">
      <w:pPr>
        <w:spacing w:after="0" w:line="240" w:lineRule="auto"/>
        <w:ind w:firstLine="720"/>
        <w:jc w:val="both"/>
        <w:rPr>
          <w:rFonts w:ascii="Arial" w:hAnsi="Arial" w:cs="Arial"/>
          <w:b/>
          <w:sz w:val="24"/>
          <w:szCs w:val="24"/>
        </w:rPr>
      </w:pPr>
    </w:p>
    <w:p w14:paraId="5D8D7854" w14:textId="384C6708" w:rsidR="00797B3A" w:rsidRPr="00414AD1" w:rsidRDefault="00797B3A" w:rsidP="00B54536">
      <w:pPr>
        <w:spacing w:after="0" w:line="240" w:lineRule="auto"/>
        <w:ind w:firstLine="720"/>
        <w:jc w:val="both"/>
        <w:rPr>
          <w:rFonts w:ascii="Arial" w:eastAsia="Aptos" w:hAnsi="Arial" w:cs="Arial"/>
          <w:sz w:val="24"/>
          <w:szCs w:val="24"/>
        </w:rPr>
      </w:pPr>
      <w:r w:rsidRPr="00414AD1">
        <w:rPr>
          <w:rFonts w:ascii="Arial" w:eastAsia="Aptos" w:hAnsi="Arial" w:cs="Arial"/>
          <w:sz w:val="24"/>
          <w:szCs w:val="24"/>
        </w:rPr>
        <w:t>Хуулийн төсөл батлагдсанаар нийгэмд</w:t>
      </w:r>
      <w:r w:rsidR="00870498" w:rsidRPr="00414AD1">
        <w:rPr>
          <w:rFonts w:ascii="Arial" w:eastAsia="Aptos" w:hAnsi="Arial" w:cs="Arial"/>
          <w:sz w:val="24"/>
          <w:szCs w:val="24"/>
        </w:rPr>
        <w:t xml:space="preserve">, </w:t>
      </w:r>
      <w:r w:rsidRPr="00414AD1">
        <w:rPr>
          <w:rFonts w:ascii="Arial" w:eastAsia="Aptos" w:hAnsi="Arial" w:cs="Arial"/>
          <w:sz w:val="24"/>
          <w:szCs w:val="24"/>
        </w:rPr>
        <w:t>эдийн засагт дараах эерэг үр дагаврууд бий болно. Үүнд:</w:t>
      </w:r>
    </w:p>
    <w:p w14:paraId="174E1D1D" w14:textId="77777777" w:rsidR="00797B3A" w:rsidRPr="00414AD1" w:rsidRDefault="00797B3A" w:rsidP="00B54536">
      <w:pPr>
        <w:spacing w:after="0" w:line="240" w:lineRule="auto"/>
        <w:jc w:val="both"/>
        <w:rPr>
          <w:rFonts w:ascii="Arial" w:hAnsi="Arial" w:cs="Arial"/>
          <w:sz w:val="24"/>
          <w:szCs w:val="24"/>
        </w:rPr>
      </w:pPr>
    </w:p>
    <w:p w14:paraId="2ABF98E9" w14:textId="19B1EC5A" w:rsidR="00797B3A" w:rsidRPr="00414AD1" w:rsidRDefault="00870498" w:rsidP="00B54536">
      <w:pPr>
        <w:spacing w:after="0" w:line="240" w:lineRule="auto"/>
        <w:ind w:firstLine="720"/>
        <w:jc w:val="both"/>
        <w:rPr>
          <w:rFonts w:ascii="Arial" w:eastAsia="Arial" w:hAnsi="Arial" w:cs="Arial"/>
          <w:sz w:val="24"/>
          <w:szCs w:val="24"/>
        </w:rPr>
      </w:pPr>
      <w:r w:rsidRPr="00414AD1">
        <w:rPr>
          <w:rFonts w:ascii="Arial" w:eastAsia="Arial" w:hAnsi="Arial" w:cs="Arial"/>
          <w:sz w:val="24"/>
          <w:szCs w:val="24"/>
        </w:rPr>
        <w:t>-</w:t>
      </w:r>
      <w:r w:rsidR="00797B3A" w:rsidRPr="00414AD1">
        <w:rPr>
          <w:rFonts w:ascii="Arial" w:eastAsia="Arial" w:hAnsi="Arial" w:cs="Arial"/>
          <w:sz w:val="24"/>
          <w:szCs w:val="24"/>
        </w:rPr>
        <w:t>Уул уурхайн бүтээгдэхүүний биржийн амжилттай арилжааны тоо нэмэгдэ</w:t>
      </w:r>
      <w:r w:rsidRPr="00414AD1">
        <w:rPr>
          <w:rFonts w:ascii="Arial" w:eastAsia="Arial" w:hAnsi="Arial" w:cs="Arial"/>
          <w:sz w:val="24"/>
          <w:szCs w:val="24"/>
        </w:rPr>
        <w:t>ж</w:t>
      </w:r>
      <w:r w:rsidR="00797B3A" w:rsidRPr="00414AD1">
        <w:rPr>
          <w:rFonts w:ascii="Arial" w:eastAsia="Arial" w:hAnsi="Arial" w:cs="Arial"/>
          <w:sz w:val="24"/>
          <w:szCs w:val="24"/>
        </w:rPr>
        <w:t>, борлуулалт тогтворжи</w:t>
      </w:r>
      <w:r w:rsidRPr="00414AD1">
        <w:rPr>
          <w:rFonts w:ascii="Arial" w:eastAsia="Arial" w:hAnsi="Arial" w:cs="Arial"/>
          <w:sz w:val="24"/>
          <w:szCs w:val="24"/>
        </w:rPr>
        <w:t>н</w:t>
      </w:r>
      <w:r w:rsidR="00797B3A" w:rsidRPr="00414AD1">
        <w:rPr>
          <w:rFonts w:ascii="Arial" w:eastAsia="Arial" w:hAnsi="Arial" w:cs="Arial"/>
          <w:sz w:val="24"/>
          <w:szCs w:val="24"/>
        </w:rPr>
        <w:t xml:space="preserve">, валютын орох урсгал </w:t>
      </w:r>
      <w:r w:rsidR="00DD0689" w:rsidRPr="00414AD1">
        <w:rPr>
          <w:rFonts w:ascii="Arial" w:eastAsia="Arial" w:hAnsi="Arial" w:cs="Arial"/>
          <w:sz w:val="24"/>
          <w:szCs w:val="24"/>
        </w:rPr>
        <w:t>нэмэгдэх</w:t>
      </w:r>
      <w:r w:rsidRPr="00414AD1">
        <w:rPr>
          <w:rFonts w:ascii="Arial" w:eastAsia="Arial" w:hAnsi="Arial" w:cs="Arial"/>
          <w:sz w:val="24"/>
          <w:szCs w:val="24"/>
        </w:rPr>
        <w:t>;</w:t>
      </w:r>
      <w:r w:rsidR="00797B3A" w:rsidRPr="00414AD1">
        <w:rPr>
          <w:rFonts w:ascii="Arial" w:eastAsia="Arial" w:hAnsi="Arial" w:cs="Arial"/>
          <w:sz w:val="24"/>
          <w:szCs w:val="24"/>
        </w:rPr>
        <w:t xml:space="preserve">  </w:t>
      </w:r>
    </w:p>
    <w:p w14:paraId="1359DF0A" w14:textId="77777777" w:rsidR="00797B3A" w:rsidRPr="00414AD1" w:rsidRDefault="00797B3A" w:rsidP="00B54536">
      <w:pPr>
        <w:spacing w:after="0" w:line="240" w:lineRule="auto"/>
        <w:ind w:firstLine="720"/>
        <w:jc w:val="both"/>
        <w:rPr>
          <w:rFonts w:ascii="Arial" w:eastAsia="Arial" w:hAnsi="Arial" w:cs="Arial"/>
          <w:sz w:val="24"/>
          <w:szCs w:val="24"/>
        </w:rPr>
      </w:pPr>
    </w:p>
    <w:p w14:paraId="79CE458A" w14:textId="04C7ECB3" w:rsidR="00797B3A" w:rsidRPr="00414AD1" w:rsidRDefault="00E9144B" w:rsidP="00B54536">
      <w:pPr>
        <w:spacing w:after="0" w:line="240" w:lineRule="auto"/>
        <w:ind w:firstLine="720"/>
        <w:jc w:val="both"/>
        <w:rPr>
          <w:rFonts w:ascii="Arial" w:eastAsia="Arial" w:hAnsi="Arial" w:cs="Arial"/>
          <w:sz w:val="24"/>
          <w:szCs w:val="24"/>
        </w:rPr>
      </w:pPr>
      <w:r w:rsidRPr="00414AD1">
        <w:rPr>
          <w:rFonts w:ascii="Arial" w:eastAsia="Arial" w:hAnsi="Arial" w:cs="Arial"/>
          <w:sz w:val="24"/>
          <w:szCs w:val="24"/>
        </w:rPr>
        <w:t>-Д</w:t>
      </w:r>
      <w:r w:rsidR="00797B3A" w:rsidRPr="00414AD1">
        <w:rPr>
          <w:rFonts w:ascii="Arial" w:eastAsia="Arial" w:hAnsi="Arial" w:cs="Arial"/>
          <w:sz w:val="24"/>
          <w:szCs w:val="24"/>
        </w:rPr>
        <w:t xml:space="preserve">отоодын баяжуулах, боловсруулах үйлдвэрүүдэд түүхий эд нийлүүлэх боломж бүрдсэнээр үйл ажиллагаа нь жигдэрч, нэмүү өртөг шингэх, ажлын байр </w:t>
      </w:r>
      <w:r w:rsidR="00DF4E52" w:rsidRPr="00414AD1">
        <w:rPr>
          <w:rFonts w:ascii="Arial" w:eastAsia="Arial" w:hAnsi="Arial" w:cs="Arial"/>
          <w:sz w:val="24"/>
          <w:szCs w:val="24"/>
        </w:rPr>
        <w:t>өсөх,</w:t>
      </w:r>
      <w:r w:rsidR="00797B3A" w:rsidRPr="00414AD1">
        <w:rPr>
          <w:rFonts w:ascii="Arial" w:eastAsia="Arial" w:hAnsi="Arial" w:cs="Arial"/>
          <w:sz w:val="24"/>
          <w:szCs w:val="24"/>
        </w:rPr>
        <w:t xml:space="preserve"> улмаар Монгол Улсын Засгийн газрын 2024-2028 оны үйл ажиллагааны хөтөлбөрт тусгагдсан “нүүрс-хими, кокс химийн цогцолборын төсөл, гангийн цогцолборын төсөл” зэрэг төслүүд хэрэгжих нөхцөл</w:t>
      </w:r>
      <w:r w:rsidR="00DF4E52" w:rsidRPr="00414AD1">
        <w:rPr>
          <w:rFonts w:ascii="Arial" w:eastAsia="Arial" w:hAnsi="Arial" w:cs="Arial"/>
          <w:sz w:val="24"/>
          <w:szCs w:val="24"/>
        </w:rPr>
        <w:t xml:space="preserve"> бүрдэх;</w:t>
      </w:r>
    </w:p>
    <w:p w14:paraId="794EC733" w14:textId="77777777" w:rsidR="00797B3A" w:rsidRPr="00414AD1" w:rsidRDefault="00797B3A" w:rsidP="00B54536">
      <w:pPr>
        <w:spacing w:after="0" w:line="240" w:lineRule="auto"/>
        <w:jc w:val="both"/>
        <w:rPr>
          <w:rFonts w:ascii="Arial" w:hAnsi="Arial" w:cs="Arial"/>
          <w:sz w:val="24"/>
          <w:szCs w:val="24"/>
        </w:rPr>
      </w:pPr>
    </w:p>
    <w:p w14:paraId="5E3CEA55" w14:textId="49EB3682" w:rsidR="00797B3A" w:rsidRPr="00414AD1" w:rsidRDefault="00DF4E52" w:rsidP="00B54536">
      <w:pPr>
        <w:spacing w:after="0" w:line="240" w:lineRule="auto"/>
        <w:ind w:firstLine="720"/>
        <w:jc w:val="both"/>
        <w:rPr>
          <w:rFonts w:ascii="Arial" w:hAnsi="Arial" w:cs="Arial"/>
          <w:sz w:val="24"/>
          <w:szCs w:val="24"/>
        </w:rPr>
      </w:pPr>
      <w:r w:rsidRPr="00414AD1">
        <w:rPr>
          <w:rFonts w:ascii="Arial" w:hAnsi="Arial" w:cs="Arial"/>
          <w:sz w:val="24"/>
          <w:szCs w:val="24"/>
        </w:rPr>
        <w:t>-</w:t>
      </w:r>
      <w:r w:rsidR="00797B3A" w:rsidRPr="00414AD1">
        <w:rPr>
          <w:rFonts w:ascii="Arial" w:hAnsi="Arial" w:cs="Arial"/>
          <w:sz w:val="24"/>
          <w:szCs w:val="24"/>
        </w:rPr>
        <w:t>Монгол Улсын Засгийн газар, Бүгд Найрамдах Хятад Ард Улсын Засгийн газар хоорондын “Гашуунсухайт-Ганцмод боомтын хил дамнасан төмөр зам, нүүрсний худалдаа, Тавантолгойн нүүрсний уурхайн хүчин чадлын нэмэгдүүлэх хамтын ажиллагааны тухай” хэлэлцээрийн хэрэгжилт хангагдах</w:t>
      </w:r>
      <w:r w:rsidRPr="00414AD1">
        <w:rPr>
          <w:rFonts w:ascii="Arial" w:hAnsi="Arial" w:cs="Arial"/>
          <w:sz w:val="24"/>
          <w:szCs w:val="24"/>
        </w:rPr>
        <w:t>;</w:t>
      </w:r>
    </w:p>
    <w:p w14:paraId="79A37A6E" w14:textId="77777777" w:rsidR="00137E8C" w:rsidRPr="00414AD1" w:rsidRDefault="00137E8C" w:rsidP="00B54536">
      <w:pPr>
        <w:spacing w:after="0" w:line="240" w:lineRule="auto"/>
        <w:ind w:firstLine="720"/>
        <w:jc w:val="both"/>
        <w:rPr>
          <w:rFonts w:ascii="Arial" w:hAnsi="Arial" w:cs="Arial"/>
          <w:sz w:val="24"/>
          <w:szCs w:val="24"/>
        </w:rPr>
      </w:pPr>
    </w:p>
    <w:p w14:paraId="2A9C13AB" w14:textId="23CBB2FC" w:rsidR="00137E8C" w:rsidRPr="00414AD1" w:rsidRDefault="00137E8C" w:rsidP="00B54536">
      <w:pPr>
        <w:spacing w:after="0" w:line="240" w:lineRule="auto"/>
        <w:ind w:firstLine="720"/>
        <w:jc w:val="both"/>
        <w:rPr>
          <w:rFonts w:ascii="Arial" w:hAnsi="Arial" w:cs="Arial"/>
          <w:sz w:val="24"/>
          <w:szCs w:val="24"/>
        </w:rPr>
      </w:pPr>
      <w:r w:rsidRPr="00414AD1">
        <w:rPr>
          <w:rFonts w:ascii="Arial" w:hAnsi="Arial" w:cs="Arial"/>
          <w:sz w:val="24"/>
          <w:szCs w:val="24"/>
        </w:rPr>
        <w:t>-Цацраг идэвхт ашигт малтмалын борлуулалтын үйл ажиллагаанд тавигдах хяналт сайжр</w:t>
      </w:r>
      <w:r w:rsidR="00DD0689" w:rsidRPr="00414AD1">
        <w:rPr>
          <w:rFonts w:ascii="Arial" w:hAnsi="Arial" w:cs="Arial"/>
          <w:sz w:val="24"/>
          <w:szCs w:val="24"/>
        </w:rPr>
        <w:t>ах</w:t>
      </w:r>
      <w:r w:rsidRPr="00414AD1">
        <w:rPr>
          <w:rFonts w:ascii="Arial" w:hAnsi="Arial" w:cs="Arial"/>
          <w:sz w:val="24"/>
          <w:szCs w:val="24"/>
        </w:rPr>
        <w:t>;</w:t>
      </w:r>
    </w:p>
    <w:p w14:paraId="61F6B3FD" w14:textId="77777777" w:rsidR="00797B3A" w:rsidRPr="00414AD1" w:rsidRDefault="00797B3A" w:rsidP="00B54536">
      <w:pPr>
        <w:spacing w:after="0" w:line="240" w:lineRule="auto"/>
        <w:ind w:firstLine="720"/>
        <w:jc w:val="both"/>
        <w:rPr>
          <w:rFonts w:ascii="Arial" w:hAnsi="Arial" w:cs="Arial"/>
          <w:sz w:val="24"/>
          <w:szCs w:val="24"/>
        </w:rPr>
      </w:pPr>
    </w:p>
    <w:p w14:paraId="5063ED71" w14:textId="69C8A7F7" w:rsidR="00797B3A" w:rsidRPr="00414AD1" w:rsidRDefault="00DF4E52" w:rsidP="00B54536">
      <w:pPr>
        <w:spacing w:after="0" w:line="240" w:lineRule="auto"/>
        <w:ind w:firstLine="720"/>
        <w:jc w:val="both"/>
        <w:rPr>
          <w:rFonts w:ascii="Arial" w:hAnsi="Arial" w:cs="Arial"/>
          <w:sz w:val="24"/>
          <w:szCs w:val="24"/>
        </w:rPr>
      </w:pPr>
      <w:r w:rsidRPr="00414AD1">
        <w:rPr>
          <w:rFonts w:ascii="Arial" w:hAnsi="Arial" w:cs="Arial"/>
          <w:sz w:val="24"/>
          <w:szCs w:val="24"/>
        </w:rPr>
        <w:t>-</w:t>
      </w:r>
      <w:r w:rsidR="00797B3A" w:rsidRPr="00414AD1">
        <w:rPr>
          <w:rFonts w:ascii="Arial" w:hAnsi="Arial" w:cs="Arial"/>
          <w:sz w:val="24"/>
          <w:szCs w:val="24"/>
        </w:rPr>
        <w:t xml:space="preserve">Төрийн болон орон нутгийн өмчит, төрийн болон орон нутгийн өмчийн оролцоотой хуулийн этгээдийн борлуулах бүтээгдэхүүний хэмжээ нэмэгдэж, Үндэсний баялгийн сангийн орлогын хэмжээ нэмэгдэх </w:t>
      </w:r>
      <w:r w:rsidRPr="00414AD1">
        <w:rPr>
          <w:rFonts w:ascii="Arial" w:hAnsi="Arial" w:cs="Arial"/>
          <w:sz w:val="24"/>
          <w:szCs w:val="24"/>
        </w:rPr>
        <w:t xml:space="preserve">зэрэг </w:t>
      </w:r>
      <w:r w:rsidR="00797B3A" w:rsidRPr="00414AD1">
        <w:rPr>
          <w:rFonts w:ascii="Arial" w:hAnsi="Arial" w:cs="Arial"/>
          <w:sz w:val="24"/>
          <w:szCs w:val="24"/>
        </w:rPr>
        <w:t>боломж бүрдэнэ.</w:t>
      </w:r>
    </w:p>
    <w:p w14:paraId="2498DD8C" w14:textId="77777777" w:rsidR="00797B3A" w:rsidRPr="00414AD1" w:rsidRDefault="00797B3A" w:rsidP="00B54536">
      <w:pPr>
        <w:spacing w:after="0" w:line="240" w:lineRule="auto"/>
        <w:ind w:firstLine="720"/>
        <w:jc w:val="both"/>
        <w:rPr>
          <w:rFonts w:ascii="Arial" w:hAnsi="Arial" w:cs="Arial"/>
          <w:sz w:val="24"/>
          <w:szCs w:val="24"/>
        </w:rPr>
      </w:pPr>
    </w:p>
    <w:p w14:paraId="17780101" w14:textId="77777777" w:rsidR="00797B3A" w:rsidRPr="00414AD1" w:rsidRDefault="00797B3A" w:rsidP="00B54536">
      <w:pPr>
        <w:spacing w:after="0" w:line="240" w:lineRule="auto"/>
        <w:ind w:firstLine="720"/>
        <w:jc w:val="both"/>
        <w:rPr>
          <w:rFonts w:ascii="Arial" w:hAnsi="Arial" w:cs="Arial"/>
          <w:b/>
          <w:sz w:val="24"/>
          <w:szCs w:val="24"/>
        </w:rPr>
      </w:pPr>
      <w:r w:rsidRPr="00414AD1">
        <w:rPr>
          <w:rFonts w:ascii="Arial" w:hAnsi="Arial" w:cs="Arial"/>
          <w:b/>
          <w:sz w:val="24"/>
          <w:szCs w:val="24"/>
        </w:rPr>
        <w:t>Дөрөв.Хуулийн төсөл нь Монгол Улсын Үндсэн хууль, Монгол Улсын олон улсын гэрээ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71CB3F3A" w14:textId="77777777" w:rsidR="00797B3A" w:rsidRPr="00414AD1" w:rsidRDefault="00797B3A" w:rsidP="00B54536">
      <w:pPr>
        <w:spacing w:after="0" w:line="240" w:lineRule="auto"/>
        <w:ind w:firstLine="720"/>
        <w:jc w:val="both"/>
        <w:rPr>
          <w:rFonts w:ascii="Arial" w:hAnsi="Arial" w:cs="Arial"/>
          <w:b/>
          <w:sz w:val="24"/>
          <w:szCs w:val="24"/>
        </w:rPr>
      </w:pPr>
    </w:p>
    <w:p w14:paraId="1D45994C" w14:textId="6D1801DE" w:rsidR="00797B3A" w:rsidRPr="00414AD1" w:rsidRDefault="003C3DDC" w:rsidP="00B54536">
      <w:pPr>
        <w:spacing w:after="0" w:line="240" w:lineRule="auto"/>
        <w:ind w:firstLine="720"/>
        <w:jc w:val="both"/>
        <w:rPr>
          <w:rFonts w:ascii="Arial" w:hAnsi="Arial" w:cs="Arial"/>
          <w:bCs/>
          <w:sz w:val="24"/>
          <w:szCs w:val="24"/>
        </w:rPr>
      </w:pPr>
      <w:r w:rsidRPr="00414AD1">
        <w:rPr>
          <w:rFonts w:ascii="Arial" w:hAnsi="Arial" w:cs="Arial"/>
          <w:bCs/>
          <w:sz w:val="24"/>
          <w:szCs w:val="24"/>
        </w:rPr>
        <w:lastRenderedPageBreak/>
        <w:t>Х</w:t>
      </w:r>
      <w:r w:rsidR="00797B3A" w:rsidRPr="00414AD1">
        <w:rPr>
          <w:rFonts w:ascii="Arial" w:hAnsi="Arial" w:cs="Arial"/>
          <w:bCs/>
          <w:sz w:val="24"/>
          <w:szCs w:val="24"/>
        </w:rPr>
        <w:t>уулийн төслийг Монгол Улсын Үндсэн хууль, Монгол Улсын нэгдэн орсон олон улсын гэрээ, конвенц болон бусад хууль тогтоомжтой нийцүүлэн, Хууль тогтоомжийн тухай хуульд заасан шаардлагыг ханган боловсруулна.</w:t>
      </w:r>
    </w:p>
    <w:p w14:paraId="1216AA97" w14:textId="77777777" w:rsidR="00797B3A" w:rsidRPr="00414AD1" w:rsidRDefault="00797B3A" w:rsidP="00B54536">
      <w:pPr>
        <w:spacing w:after="0" w:line="240" w:lineRule="auto"/>
        <w:ind w:firstLine="720"/>
        <w:jc w:val="both"/>
        <w:rPr>
          <w:rFonts w:ascii="Arial" w:hAnsi="Arial" w:cs="Arial"/>
          <w:b/>
          <w:sz w:val="24"/>
          <w:szCs w:val="24"/>
        </w:rPr>
      </w:pPr>
    </w:p>
    <w:p w14:paraId="75CB8E88" w14:textId="4A8F564E" w:rsidR="00137E8C" w:rsidRPr="00414AD1" w:rsidRDefault="00137E8C" w:rsidP="00B54536">
      <w:pPr>
        <w:pStyle w:val="NormalWeb"/>
        <w:shd w:val="clear" w:color="auto" w:fill="FFFFFF"/>
        <w:spacing w:before="0" w:beforeAutospacing="0" w:after="0" w:afterAutospacing="0"/>
        <w:ind w:firstLine="720"/>
        <w:jc w:val="both"/>
        <w:textAlignment w:val="top"/>
        <w:rPr>
          <w:rFonts w:ascii="Arial" w:eastAsia="Arial" w:hAnsi="Arial" w:cs="Arial"/>
          <w:noProof/>
          <w:lang w:val="mn-MN"/>
        </w:rPr>
      </w:pPr>
      <w:r w:rsidRPr="00414AD1">
        <w:rPr>
          <w:rFonts w:ascii="Arial" w:eastAsia="Arial" w:hAnsi="Arial" w:cs="Arial"/>
          <w:lang w:val="mn-MN"/>
        </w:rPr>
        <w:t>Хуул</w:t>
      </w:r>
      <w:r w:rsidR="00DD0689" w:rsidRPr="00414AD1">
        <w:rPr>
          <w:rFonts w:ascii="Arial" w:eastAsia="Arial" w:hAnsi="Arial" w:cs="Arial"/>
          <w:lang w:val="mn-MN"/>
        </w:rPr>
        <w:t xml:space="preserve">ийн төсөлтэй уялдуулан </w:t>
      </w:r>
      <w:r w:rsidRPr="00414AD1">
        <w:rPr>
          <w:rFonts w:ascii="Arial" w:eastAsia="Arial" w:hAnsi="Arial" w:cs="Arial"/>
          <w:lang w:val="mn-MN"/>
        </w:rPr>
        <w:t>Цөмийн энергийн тухай</w:t>
      </w:r>
      <w:r w:rsidR="00876A0E" w:rsidRPr="00414AD1">
        <w:rPr>
          <w:rFonts w:ascii="Arial" w:eastAsia="Arial" w:hAnsi="Arial" w:cs="Arial"/>
          <w:lang w:val="mn-MN"/>
        </w:rPr>
        <w:t xml:space="preserve">, </w:t>
      </w:r>
      <w:r w:rsidRPr="00414AD1">
        <w:rPr>
          <w:rFonts w:ascii="Arial" w:eastAsia="Arial" w:hAnsi="Arial" w:cs="Arial"/>
          <w:lang w:val="mn-MN"/>
        </w:rPr>
        <w:t>Зөвшөөрлийн тухай хууль</w:t>
      </w:r>
      <w:r w:rsidR="00B841F7" w:rsidRPr="00414AD1">
        <w:rPr>
          <w:rFonts w:ascii="Arial" w:eastAsia="Arial" w:hAnsi="Arial" w:cs="Arial"/>
          <w:lang w:val="mn-MN"/>
        </w:rPr>
        <w:t>, Улсын Их Хурлын 2024 оны 13 дугаар тогтоол</w:t>
      </w:r>
      <w:r w:rsidRPr="00414AD1">
        <w:rPr>
          <w:rFonts w:ascii="Arial" w:eastAsia="Arial" w:hAnsi="Arial" w:cs="Arial"/>
          <w:lang w:val="mn-MN"/>
        </w:rPr>
        <w:t xml:space="preserve">д </w:t>
      </w:r>
      <w:r w:rsidR="00876A0E" w:rsidRPr="00414AD1">
        <w:rPr>
          <w:rFonts w:ascii="Arial" w:eastAsia="Arial" w:hAnsi="Arial" w:cs="Arial"/>
          <w:lang w:val="mn-MN"/>
        </w:rPr>
        <w:t xml:space="preserve">тус тус нэмэлт, </w:t>
      </w:r>
      <w:r w:rsidRPr="00414AD1">
        <w:rPr>
          <w:rFonts w:ascii="Arial" w:eastAsia="Arial" w:hAnsi="Arial" w:cs="Arial"/>
          <w:lang w:val="mn-MN"/>
        </w:rPr>
        <w:t>өөрчлөлт</w:t>
      </w:r>
      <w:r w:rsidR="00876A0E" w:rsidRPr="00414AD1">
        <w:rPr>
          <w:rFonts w:ascii="Arial" w:eastAsia="Arial" w:hAnsi="Arial" w:cs="Arial"/>
          <w:lang w:val="mn-MN"/>
        </w:rPr>
        <w:t xml:space="preserve"> </w:t>
      </w:r>
      <w:r w:rsidRPr="00414AD1">
        <w:rPr>
          <w:rFonts w:ascii="Arial" w:eastAsia="Arial" w:hAnsi="Arial" w:cs="Arial"/>
          <w:lang w:val="mn-MN"/>
        </w:rPr>
        <w:t>оруул</w:t>
      </w:r>
      <w:r w:rsidR="008041EC" w:rsidRPr="00414AD1">
        <w:rPr>
          <w:rFonts w:ascii="Arial" w:eastAsia="Arial" w:hAnsi="Arial" w:cs="Arial"/>
          <w:lang w:val="mn-MN"/>
        </w:rPr>
        <w:t>на.</w:t>
      </w:r>
    </w:p>
    <w:p w14:paraId="27B0333F" w14:textId="77777777" w:rsidR="00797B3A" w:rsidRPr="00414AD1" w:rsidRDefault="00797B3A" w:rsidP="00B54536">
      <w:pPr>
        <w:spacing w:after="0" w:line="240" w:lineRule="auto"/>
        <w:jc w:val="both"/>
        <w:rPr>
          <w:rFonts w:ascii="Arial" w:hAnsi="Arial" w:cs="Arial"/>
          <w:sz w:val="24"/>
          <w:szCs w:val="24"/>
        </w:rPr>
      </w:pPr>
    </w:p>
    <w:p w14:paraId="74E312D6" w14:textId="77777777" w:rsidR="00DF01BA" w:rsidRPr="00414AD1" w:rsidRDefault="00DF01BA" w:rsidP="00B54536">
      <w:pPr>
        <w:spacing w:after="0" w:line="240" w:lineRule="auto"/>
        <w:jc w:val="center"/>
        <w:rPr>
          <w:rFonts w:ascii="Arial" w:hAnsi="Arial" w:cs="Arial"/>
          <w:sz w:val="24"/>
          <w:szCs w:val="24"/>
        </w:rPr>
      </w:pPr>
    </w:p>
    <w:p w14:paraId="03E2E214" w14:textId="77777777" w:rsidR="00DF01BA" w:rsidRPr="00414AD1" w:rsidRDefault="00DF01BA" w:rsidP="00B54536">
      <w:pPr>
        <w:spacing w:after="0" w:line="240" w:lineRule="auto"/>
        <w:jc w:val="center"/>
        <w:rPr>
          <w:rFonts w:ascii="Arial" w:hAnsi="Arial" w:cs="Arial"/>
          <w:sz w:val="24"/>
          <w:szCs w:val="24"/>
        </w:rPr>
      </w:pPr>
    </w:p>
    <w:p w14:paraId="2DAACA4F" w14:textId="0CC6B8D1" w:rsidR="00797B3A" w:rsidRPr="00414AD1" w:rsidRDefault="00797B3A" w:rsidP="00B54536">
      <w:pPr>
        <w:spacing w:after="0" w:line="240" w:lineRule="auto"/>
        <w:jc w:val="center"/>
        <w:rPr>
          <w:rFonts w:ascii="Arial" w:eastAsia="Arial" w:hAnsi="Arial" w:cs="Arial"/>
          <w:sz w:val="24"/>
          <w:szCs w:val="24"/>
        </w:rPr>
      </w:pPr>
      <w:r w:rsidRPr="00414AD1">
        <w:rPr>
          <w:rFonts w:ascii="Arial" w:hAnsi="Arial" w:cs="Arial"/>
          <w:sz w:val="24"/>
          <w:szCs w:val="24"/>
        </w:rPr>
        <w:t>---o0o---</w:t>
      </w:r>
    </w:p>
    <w:sectPr w:rsidR="00797B3A" w:rsidRPr="00414AD1" w:rsidSect="00E12E9D">
      <w:pgSz w:w="11900" w:h="16840"/>
      <w:pgMar w:top="1134" w:right="851"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35EF" w14:textId="77777777" w:rsidR="00F50677" w:rsidRDefault="00F50677" w:rsidP="00B841F7">
      <w:pPr>
        <w:spacing w:after="0" w:line="240" w:lineRule="auto"/>
      </w:pPr>
      <w:r>
        <w:separator/>
      </w:r>
    </w:p>
  </w:endnote>
  <w:endnote w:type="continuationSeparator" w:id="0">
    <w:p w14:paraId="6F684E2D" w14:textId="77777777" w:rsidR="00F50677" w:rsidRDefault="00F50677" w:rsidP="00B841F7">
      <w:pPr>
        <w:spacing w:after="0" w:line="240" w:lineRule="auto"/>
      </w:pPr>
      <w:r>
        <w:continuationSeparator/>
      </w:r>
    </w:p>
  </w:endnote>
  <w:endnote w:type="continuationNotice" w:id="1">
    <w:p w14:paraId="0C95900B" w14:textId="77777777" w:rsidR="00F50677" w:rsidRDefault="00F50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787C" w14:textId="77777777" w:rsidR="00F50677" w:rsidRDefault="00F50677" w:rsidP="00B841F7">
      <w:pPr>
        <w:spacing w:after="0" w:line="240" w:lineRule="auto"/>
      </w:pPr>
      <w:r>
        <w:separator/>
      </w:r>
    </w:p>
  </w:footnote>
  <w:footnote w:type="continuationSeparator" w:id="0">
    <w:p w14:paraId="7D27EF54" w14:textId="77777777" w:rsidR="00F50677" w:rsidRDefault="00F50677" w:rsidP="00B841F7">
      <w:pPr>
        <w:spacing w:after="0" w:line="240" w:lineRule="auto"/>
      </w:pPr>
      <w:r>
        <w:continuationSeparator/>
      </w:r>
    </w:p>
  </w:footnote>
  <w:footnote w:type="continuationNotice" w:id="1">
    <w:p w14:paraId="4FC21262" w14:textId="77777777" w:rsidR="00F50677" w:rsidRDefault="00F506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332"/>
    <w:multiLevelType w:val="hybridMultilevel"/>
    <w:tmpl w:val="12164424"/>
    <w:lvl w:ilvl="0" w:tplc="7318E0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82313F"/>
    <w:multiLevelType w:val="multilevel"/>
    <w:tmpl w:val="7C880796"/>
    <w:lvl w:ilvl="0">
      <w:start w:val="1"/>
      <w:numFmt w:val="decimal"/>
      <w:lvlText w:val="%1."/>
      <w:lvlJc w:val="left"/>
      <w:pPr>
        <w:ind w:left="390" w:hanging="390"/>
      </w:pPr>
      <w:rPr>
        <w:rFonts w:hint="default"/>
      </w:rPr>
    </w:lvl>
    <w:lvl w:ilvl="1">
      <w:start w:val="1"/>
      <w:numFmt w:val="decimal"/>
      <w:suff w:val="nothing"/>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93885544">
    <w:abstractNumId w:val="1"/>
  </w:num>
  <w:num w:numId="2" w16cid:durableId="12914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A"/>
    <w:rsid w:val="00016817"/>
    <w:rsid w:val="00040D2D"/>
    <w:rsid w:val="000611F6"/>
    <w:rsid w:val="00063EFE"/>
    <w:rsid w:val="0007792A"/>
    <w:rsid w:val="00095164"/>
    <w:rsid w:val="000A0195"/>
    <w:rsid w:val="000A6A67"/>
    <w:rsid w:val="000D1D66"/>
    <w:rsid w:val="000D401B"/>
    <w:rsid w:val="000D774F"/>
    <w:rsid w:val="000E2856"/>
    <w:rsid w:val="000F23BF"/>
    <w:rsid w:val="000F35C4"/>
    <w:rsid w:val="00107FB3"/>
    <w:rsid w:val="0011163D"/>
    <w:rsid w:val="00123C2F"/>
    <w:rsid w:val="00136F0C"/>
    <w:rsid w:val="00137C2D"/>
    <w:rsid w:val="00137E8C"/>
    <w:rsid w:val="0014033B"/>
    <w:rsid w:val="00142AC2"/>
    <w:rsid w:val="00152FB8"/>
    <w:rsid w:val="00175D25"/>
    <w:rsid w:val="0017786B"/>
    <w:rsid w:val="001815C9"/>
    <w:rsid w:val="00193915"/>
    <w:rsid w:val="00194F2F"/>
    <w:rsid w:val="001A194A"/>
    <w:rsid w:val="001A786D"/>
    <w:rsid w:val="001B4FEB"/>
    <w:rsid w:val="001D442F"/>
    <w:rsid w:val="001E0500"/>
    <w:rsid w:val="001E3060"/>
    <w:rsid w:val="001F798D"/>
    <w:rsid w:val="002119E4"/>
    <w:rsid w:val="002137B8"/>
    <w:rsid w:val="00254E02"/>
    <w:rsid w:val="002B557B"/>
    <w:rsid w:val="002D121F"/>
    <w:rsid w:val="002D6AF7"/>
    <w:rsid w:val="002F5940"/>
    <w:rsid w:val="002F6C80"/>
    <w:rsid w:val="003016A3"/>
    <w:rsid w:val="00313242"/>
    <w:rsid w:val="00313505"/>
    <w:rsid w:val="003150F5"/>
    <w:rsid w:val="00333EB1"/>
    <w:rsid w:val="00334B06"/>
    <w:rsid w:val="00337232"/>
    <w:rsid w:val="00337C53"/>
    <w:rsid w:val="00344966"/>
    <w:rsid w:val="00351A33"/>
    <w:rsid w:val="00374C82"/>
    <w:rsid w:val="0038498F"/>
    <w:rsid w:val="003941F6"/>
    <w:rsid w:val="003A1239"/>
    <w:rsid w:val="003C05A0"/>
    <w:rsid w:val="003C3DDC"/>
    <w:rsid w:val="003C48F0"/>
    <w:rsid w:val="003C4F2C"/>
    <w:rsid w:val="003D4059"/>
    <w:rsid w:val="003D4224"/>
    <w:rsid w:val="003D5CC2"/>
    <w:rsid w:val="003D78EA"/>
    <w:rsid w:val="003D7E1C"/>
    <w:rsid w:val="00414AD1"/>
    <w:rsid w:val="00425298"/>
    <w:rsid w:val="004319D4"/>
    <w:rsid w:val="00441E19"/>
    <w:rsid w:val="00470D3A"/>
    <w:rsid w:val="00476089"/>
    <w:rsid w:val="00480D6D"/>
    <w:rsid w:val="00486946"/>
    <w:rsid w:val="00487DF4"/>
    <w:rsid w:val="0049665C"/>
    <w:rsid w:val="004A206A"/>
    <w:rsid w:val="004C5A4F"/>
    <w:rsid w:val="004D698C"/>
    <w:rsid w:val="004D733A"/>
    <w:rsid w:val="005109AD"/>
    <w:rsid w:val="005154ED"/>
    <w:rsid w:val="00526F9A"/>
    <w:rsid w:val="005701CC"/>
    <w:rsid w:val="00574C40"/>
    <w:rsid w:val="005870D4"/>
    <w:rsid w:val="005904E3"/>
    <w:rsid w:val="00592E64"/>
    <w:rsid w:val="005D0C92"/>
    <w:rsid w:val="005E166E"/>
    <w:rsid w:val="006046BC"/>
    <w:rsid w:val="00617589"/>
    <w:rsid w:val="00623BFB"/>
    <w:rsid w:val="006257DF"/>
    <w:rsid w:val="0068433C"/>
    <w:rsid w:val="00696A58"/>
    <w:rsid w:val="006B4FCD"/>
    <w:rsid w:val="006B5837"/>
    <w:rsid w:val="006B7A56"/>
    <w:rsid w:val="006C2259"/>
    <w:rsid w:val="006C5327"/>
    <w:rsid w:val="006C70B8"/>
    <w:rsid w:val="006E35BE"/>
    <w:rsid w:val="006E5CBD"/>
    <w:rsid w:val="006F4BF4"/>
    <w:rsid w:val="006F79E8"/>
    <w:rsid w:val="00700469"/>
    <w:rsid w:val="00700600"/>
    <w:rsid w:val="007177E4"/>
    <w:rsid w:val="00732DB4"/>
    <w:rsid w:val="00733256"/>
    <w:rsid w:val="0073786E"/>
    <w:rsid w:val="00752FF0"/>
    <w:rsid w:val="00763F2B"/>
    <w:rsid w:val="00773D23"/>
    <w:rsid w:val="00776377"/>
    <w:rsid w:val="00782FF7"/>
    <w:rsid w:val="00787589"/>
    <w:rsid w:val="00790A49"/>
    <w:rsid w:val="00797B3A"/>
    <w:rsid w:val="007C0361"/>
    <w:rsid w:val="007C50D3"/>
    <w:rsid w:val="007D1BE1"/>
    <w:rsid w:val="007D47E7"/>
    <w:rsid w:val="007E6BA9"/>
    <w:rsid w:val="007F2247"/>
    <w:rsid w:val="008041EC"/>
    <w:rsid w:val="00826CE2"/>
    <w:rsid w:val="008415BC"/>
    <w:rsid w:val="00845477"/>
    <w:rsid w:val="00846764"/>
    <w:rsid w:val="00870498"/>
    <w:rsid w:val="00871207"/>
    <w:rsid w:val="00876A0E"/>
    <w:rsid w:val="00882774"/>
    <w:rsid w:val="00887496"/>
    <w:rsid w:val="008A2EAE"/>
    <w:rsid w:val="008A5C6B"/>
    <w:rsid w:val="008A7085"/>
    <w:rsid w:val="0090625C"/>
    <w:rsid w:val="00907BD0"/>
    <w:rsid w:val="00912A45"/>
    <w:rsid w:val="009262DF"/>
    <w:rsid w:val="00927625"/>
    <w:rsid w:val="00935EF1"/>
    <w:rsid w:val="00950666"/>
    <w:rsid w:val="009647A1"/>
    <w:rsid w:val="0099293A"/>
    <w:rsid w:val="00995A24"/>
    <w:rsid w:val="009A35A0"/>
    <w:rsid w:val="009C1D73"/>
    <w:rsid w:val="009C2B29"/>
    <w:rsid w:val="009C528E"/>
    <w:rsid w:val="009F0B77"/>
    <w:rsid w:val="009F7DD7"/>
    <w:rsid w:val="00A127E2"/>
    <w:rsid w:val="00A17ECC"/>
    <w:rsid w:val="00A27C79"/>
    <w:rsid w:val="00A310D3"/>
    <w:rsid w:val="00A37B58"/>
    <w:rsid w:val="00A42C58"/>
    <w:rsid w:val="00A43AAF"/>
    <w:rsid w:val="00A660F8"/>
    <w:rsid w:val="00A733CA"/>
    <w:rsid w:val="00A803DA"/>
    <w:rsid w:val="00A847D1"/>
    <w:rsid w:val="00A8509B"/>
    <w:rsid w:val="00A919D9"/>
    <w:rsid w:val="00A94E28"/>
    <w:rsid w:val="00A95373"/>
    <w:rsid w:val="00AA63C7"/>
    <w:rsid w:val="00AC53F8"/>
    <w:rsid w:val="00AC6AEA"/>
    <w:rsid w:val="00AD6352"/>
    <w:rsid w:val="00AE47A4"/>
    <w:rsid w:val="00AF47D2"/>
    <w:rsid w:val="00B00681"/>
    <w:rsid w:val="00B236FB"/>
    <w:rsid w:val="00B24665"/>
    <w:rsid w:val="00B336AE"/>
    <w:rsid w:val="00B41DE5"/>
    <w:rsid w:val="00B541FB"/>
    <w:rsid w:val="00B54536"/>
    <w:rsid w:val="00B5525C"/>
    <w:rsid w:val="00B55BA0"/>
    <w:rsid w:val="00B71598"/>
    <w:rsid w:val="00B841F7"/>
    <w:rsid w:val="00BA1E36"/>
    <w:rsid w:val="00BA3551"/>
    <w:rsid w:val="00BD0672"/>
    <w:rsid w:val="00BD0C26"/>
    <w:rsid w:val="00BE45BF"/>
    <w:rsid w:val="00BF010C"/>
    <w:rsid w:val="00BF1D95"/>
    <w:rsid w:val="00BF38E8"/>
    <w:rsid w:val="00C15E36"/>
    <w:rsid w:val="00C176C6"/>
    <w:rsid w:val="00C260A3"/>
    <w:rsid w:val="00C55415"/>
    <w:rsid w:val="00C7179C"/>
    <w:rsid w:val="00C72345"/>
    <w:rsid w:val="00C80AFA"/>
    <w:rsid w:val="00C93332"/>
    <w:rsid w:val="00C96264"/>
    <w:rsid w:val="00CA334E"/>
    <w:rsid w:val="00CA6859"/>
    <w:rsid w:val="00CC11AB"/>
    <w:rsid w:val="00CC6CDA"/>
    <w:rsid w:val="00CE0A22"/>
    <w:rsid w:val="00CE4B6D"/>
    <w:rsid w:val="00CF6566"/>
    <w:rsid w:val="00D0485F"/>
    <w:rsid w:val="00D12746"/>
    <w:rsid w:val="00D164B9"/>
    <w:rsid w:val="00D37CFD"/>
    <w:rsid w:val="00D52924"/>
    <w:rsid w:val="00D57F86"/>
    <w:rsid w:val="00D6765F"/>
    <w:rsid w:val="00D73778"/>
    <w:rsid w:val="00D82D4F"/>
    <w:rsid w:val="00D90D40"/>
    <w:rsid w:val="00DA0C0D"/>
    <w:rsid w:val="00DA361F"/>
    <w:rsid w:val="00DB5651"/>
    <w:rsid w:val="00DC008C"/>
    <w:rsid w:val="00DC3E02"/>
    <w:rsid w:val="00DD0689"/>
    <w:rsid w:val="00DD366D"/>
    <w:rsid w:val="00DD6B4F"/>
    <w:rsid w:val="00DD6C5D"/>
    <w:rsid w:val="00DE1A21"/>
    <w:rsid w:val="00DE3030"/>
    <w:rsid w:val="00DF01BA"/>
    <w:rsid w:val="00DF4E52"/>
    <w:rsid w:val="00DF7F53"/>
    <w:rsid w:val="00E07B85"/>
    <w:rsid w:val="00E12AE1"/>
    <w:rsid w:val="00E12E9D"/>
    <w:rsid w:val="00E20450"/>
    <w:rsid w:val="00E36303"/>
    <w:rsid w:val="00E44FFB"/>
    <w:rsid w:val="00E7411B"/>
    <w:rsid w:val="00E9144B"/>
    <w:rsid w:val="00E94485"/>
    <w:rsid w:val="00E9675C"/>
    <w:rsid w:val="00EB3296"/>
    <w:rsid w:val="00EB6EDD"/>
    <w:rsid w:val="00EC77D2"/>
    <w:rsid w:val="00EC7D9A"/>
    <w:rsid w:val="00ED2E66"/>
    <w:rsid w:val="00EE1454"/>
    <w:rsid w:val="00EE666D"/>
    <w:rsid w:val="00EF1BE2"/>
    <w:rsid w:val="00EF1C3C"/>
    <w:rsid w:val="00F50677"/>
    <w:rsid w:val="00F514E9"/>
    <w:rsid w:val="00F518AE"/>
    <w:rsid w:val="00F52DDA"/>
    <w:rsid w:val="00F5578E"/>
    <w:rsid w:val="00F56075"/>
    <w:rsid w:val="00F5618E"/>
    <w:rsid w:val="00F61E30"/>
    <w:rsid w:val="00F744C3"/>
    <w:rsid w:val="00F7507B"/>
    <w:rsid w:val="00F800DD"/>
    <w:rsid w:val="00F97B7C"/>
    <w:rsid w:val="00FB10BE"/>
    <w:rsid w:val="00FC19FB"/>
    <w:rsid w:val="00FC6FA2"/>
    <w:rsid w:val="00FF44BB"/>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BAE10"/>
  <w15:chartTrackingRefBased/>
  <w15:docId w15:val="{B26182D7-BD20-4714-8A3F-D4B8118D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A"/>
    <w:pPr>
      <w:spacing w:after="160" w:line="259" w:lineRule="auto"/>
    </w:pPr>
    <w:rPr>
      <w:rFonts w:ascii="Calibri" w:eastAsia="Calibri" w:hAnsi="Calibri" w:cs="Calibri"/>
      <w:kern w:val="0"/>
      <w:sz w:val="22"/>
      <w:szCs w:val="22"/>
      <w:lang w:val="mn-MN"/>
      <w14:ligatures w14:val="none"/>
    </w:rPr>
  </w:style>
  <w:style w:type="paragraph" w:styleId="Heading1">
    <w:name w:val="heading 1"/>
    <w:basedOn w:val="Normal"/>
    <w:next w:val="Normal"/>
    <w:link w:val="Heading1Char"/>
    <w:uiPriority w:val="9"/>
    <w:qFormat/>
    <w:rsid w:val="00797B3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4A"/>
    <w:pPr>
      <w:ind w:left="720"/>
      <w:contextualSpacing/>
    </w:pPr>
  </w:style>
  <w:style w:type="paragraph" w:styleId="NoSpacing">
    <w:name w:val="No Spacing"/>
    <w:uiPriority w:val="1"/>
    <w:qFormat/>
    <w:rsid w:val="001A194A"/>
  </w:style>
  <w:style w:type="character" w:customStyle="1" w:styleId="Heading1Char">
    <w:name w:val="Heading 1 Char"/>
    <w:basedOn w:val="DefaultParagraphFont"/>
    <w:link w:val="Heading1"/>
    <w:uiPriority w:val="9"/>
    <w:rsid w:val="00797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A"/>
    <w:rPr>
      <w:rFonts w:eastAsiaTheme="majorEastAsia" w:cstheme="majorBidi"/>
      <w:color w:val="272727" w:themeColor="text1" w:themeTint="D8"/>
    </w:rPr>
  </w:style>
  <w:style w:type="paragraph" w:styleId="Title">
    <w:name w:val="Title"/>
    <w:basedOn w:val="Normal"/>
    <w:next w:val="Normal"/>
    <w:link w:val="TitleChar"/>
    <w:uiPriority w:val="10"/>
    <w:qFormat/>
    <w:rsid w:val="00797B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A"/>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A"/>
    <w:rPr>
      <w:i/>
      <w:iCs/>
      <w:color w:val="404040" w:themeColor="text1" w:themeTint="BF"/>
    </w:rPr>
  </w:style>
  <w:style w:type="character" w:styleId="IntenseEmphasis">
    <w:name w:val="Intense Emphasis"/>
    <w:basedOn w:val="DefaultParagraphFont"/>
    <w:uiPriority w:val="21"/>
    <w:qFormat/>
    <w:rsid w:val="00797B3A"/>
    <w:rPr>
      <w:i/>
      <w:iCs/>
      <w:color w:val="2F5496" w:themeColor="accent1" w:themeShade="BF"/>
    </w:rPr>
  </w:style>
  <w:style w:type="paragraph" w:styleId="IntenseQuote">
    <w:name w:val="Intense Quote"/>
    <w:basedOn w:val="Normal"/>
    <w:next w:val="Normal"/>
    <w:link w:val="IntenseQuoteChar"/>
    <w:uiPriority w:val="30"/>
    <w:qFormat/>
    <w:rsid w:val="00797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A"/>
    <w:rPr>
      <w:i/>
      <w:iCs/>
      <w:color w:val="2F5496" w:themeColor="accent1" w:themeShade="BF"/>
    </w:rPr>
  </w:style>
  <w:style w:type="character" w:styleId="IntenseReference">
    <w:name w:val="Intense Reference"/>
    <w:basedOn w:val="DefaultParagraphFont"/>
    <w:uiPriority w:val="32"/>
    <w:qFormat/>
    <w:rsid w:val="00797B3A"/>
    <w:rPr>
      <w:b/>
      <w:bCs/>
      <w:smallCaps/>
      <w:color w:val="2F5496" w:themeColor="accent1" w:themeShade="BF"/>
      <w:spacing w:val="5"/>
    </w:rPr>
  </w:style>
  <w:style w:type="table" w:styleId="TableGrid">
    <w:name w:val="Table Grid"/>
    <w:basedOn w:val="TableNormal"/>
    <w:uiPriority w:val="39"/>
    <w:rsid w:val="00797B3A"/>
    <w:pPr>
      <w:spacing w:after="0"/>
    </w:pPr>
    <w:rPr>
      <w:rFonts w:ascii="Calibri" w:eastAsia="Calibri" w:hAnsi="Calibri" w:cs="Calibri"/>
      <w:kern w:val="0"/>
      <w:sz w:val="22"/>
      <w:szCs w:val="22"/>
      <w:lang w:val="mn-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B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F23BF"/>
    <w:pPr>
      <w:spacing w:after="0"/>
    </w:pPr>
    <w:rPr>
      <w:rFonts w:ascii="Calibri" w:eastAsia="Calibri" w:hAnsi="Calibri" w:cs="Calibri"/>
      <w:kern w:val="0"/>
      <w:sz w:val="22"/>
      <w:szCs w:val="22"/>
      <w:lang w:val="mn-MN"/>
      <w14:ligatures w14:val="none"/>
    </w:rPr>
  </w:style>
  <w:style w:type="paragraph" w:styleId="BodyText">
    <w:name w:val="Body Text"/>
    <w:basedOn w:val="Normal"/>
    <w:link w:val="BodyTextChar"/>
    <w:uiPriority w:val="1"/>
    <w:qFormat/>
    <w:rsid w:val="00B55BA0"/>
    <w:pPr>
      <w:widowControl w:val="0"/>
      <w:autoSpaceDE w:val="0"/>
      <w:autoSpaceDN w:val="0"/>
      <w:spacing w:after="0" w:line="240" w:lineRule="auto"/>
      <w:ind w:left="100" w:firstLine="360"/>
      <w:jc w:val="both"/>
    </w:pPr>
    <w:rPr>
      <w:rFonts w:ascii="Microsoft Sans Serif" w:eastAsia="Microsoft Sans Serif" w:hAnsi="Microsoft Sans Serif" w:cs="Microsoft Sans Serif"/>
      <w:lang w:val="ru-RU"/>
    </w:rPr>
  </w:style>
  <w:style w:type="character" w:customStyle="1" w:styleId="BodyTextChar">
    <w:name w:val="Body Text Char"/>
    <w:basedOn w:val="DefaultParagraphFont"/>
    <w:link w:val="BodyText"/>
    <w:uiPriority w:val="1"/>
    <w:rsid w:val="00B55BA0"/>
    <w:rPr>
      <w:rFonts w:ascii="Microsoft Sans Serif" w:eastAsia="Microsoft Sans Serif" w:hAnsi="Microsoft Sans Serif" w:cs="Microsoft Sans Serif"/>
      <w:kern w:val="0"/>
      <w:sz w:val="22"/>
      <w:szCs w:val="22"/>
      <w:lang w:val="ru-RU"/>
      <w14:ligatures w14:val="none"/>
    </w:rPr>
  </w:style>
  <w:style w:type="character" w:styleId="Strong">
    <w:name w:val="Strong"/>
    <w:basedOn w:val="DefaultParagraphFont"/>
    <w:uiPriority w:val="22"/>
    <w:qFormat/>
    <w:rsid w:val="00EE1454"/>
    <w:rPr>
      <w:b/>
      <w:bCs/>
    </w:rPr>
  </w:style>
  <w:style w:type="paragraph" w:styleId="Header">
    <w:name w:val="header"/>
    <w:basedOn w:val="Normal"/>
    <w:link w:val="HeaderChar"/>
    <w:uiPriority w:val="99"/>
    <w:unhideWhenUsed/>
    <w:rsid w:val="00B84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F7"/>
    <w:rPr>
      <w:rFonts w:ascii="Calibri" w:eastAsia="Calibri" w:hAnsi="Calibri" w:cs="Calibri"/>
      <w:kern w:val="0"/>
      <w:sz w:val="22"/>
      <w:szCs w:val="22"/>
      <w:lang w:val="mn-MN"/>
      <w14:ligatures w14:val="none"/>
    </w:rPr>
  </w:style>
  <w:style w:type="paragraph" w:styleId="Footer">
    <w:name w:val="footer"/>
    <w:basedOn w:val="Normal"/>
    <w:link w:val="FooterChar"/>
    <w:uiPriority w:val="99"/>
    <w:unhideWhenUsed/>
    <w:rsid w:val="00B84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F7"/>
    <w:rPr>
      <w:rFonts w:ascii="Calibri" w:eastAsia="Calibri" w:hAnsi="Calibri" w:cs="Calibri"/>
      <w:kern w:val="0"/>
      <w:sz w:val="22"/>
      <w:szCs w:val="22"/>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3718">
      <w:bodyDiv w:val="1"/>
      <w:marLeft w:val="0"/>
      <w:marRight w:val="0"/>
      <w:marTop w:val="0"/>
      <w:marBottom w:val="0"/>
      <w:divBdr>
        <w:top w:val="none" w:sz="0" w:space="0" w:color="auto"/>
        <w:left w:val="none" w:sz="0" w:space="0" w:color="auto"/>
        <w:bottom w:val="none" w:sz="0" w:space="0" w:color="auto"/>
        <w:right w:val="none" w:sz="0" w:space="0" w:color="auto"/>
      </w:divBdr>
    </w:div>
    <w:div w:id="1035082709">
      <w:bodyDiv w:val="1"/>
      <w:marLeft w:val="0"/>
      <w:marRight w:val="0"/>
      <w:marTop w:val="0"/>
      <w:marBottom w:val="0"/>
      <w:divBdr>
        <w:top w:val="none" w:sz="0" w:space="0" w:color="auto"/>
        <w:left w:val="none" w:sz="0" w:space="0" w:color="auto"/>
        <w:bottom w:val="none" w:sz="0" w:space="0" w:color="auto"/>
        <w:right w:val="none" w:sz="0" w:space="0" w:color="auto"/>
      </w:divBdr>
    </w:div>
    <w:div w:id="16483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723D-5F49-F849-9741-39DFD02E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Төрбат</cp:lastModifiedBy>
  <cp:revision>33</cp:revision>
  <cp:lastPrinted>2025-03-27T04:43:00Z</cp:lastPrinted>
  <dcterms:created xsi:type="dcterms:W3CDTF">2025-03-25T22:45:00Z</dcterms:created>
  <dcterms:modified xsi:type="dcterms:W3CDTF">2025-03-28T04:06:00Z</dcterms:modified>
</cp:coreProperties>
</file>