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3B67" w14:textId="22CA26C0" w:rsidR="00B841F7" w:rsidRPr="00414AD1" w:rsidRDefault="00B841F7" w:rsidP="009647A1">
      <w:pPr>
        <w:spacing w:after="80" w:line="240" w:lineRule="auto"/>
        <w:jc w:val="center"/>
        <w:rPr>
          <w:rFonts w:ascii="Arial" w:eastAsiaTheme="minorHAnsi" w:hAnsi="Arial" w:cs="Arial"/>
          <w:b/>
          <w:bCs/>
          <w:kern w:val="2"/>
          <w:sz w:val="24"/>
          <w:szCs w:val="24"/>
          <w14:ligatures w14:val="standardContextual"/>
        </w:rPr>
      </w:pPr>
      <w:r w:rsidRPr="00414AD1">
        <w:rPr>
          <w:rFonts w:ascii="Arial" w:hAnsi="Arial" w:cs="Arial"/>
          <w:b/>
          <w:bCs/>
        </w:rPr>
        <w:t>ТОВЧ ТАНИЛЦУУЛГА</w:t>
      </w:r>
    </w:p>
    <w:p w14:paraId="33B5A899" w14:textId="77777777" w:rsidR="00B841F7" w:rsidRPr="00414AD1" w:rsidRDefault="00B841F7" w:rsidP="00B54536">
      <w:pPr>
        <w:pStyle w:val="NoSpacing"/>
        <w:spacing w:after="0"/>
        <w:jc w:val="both"/>
        <w:rPr>
          <w:rFonts w:ascii="Arial" w:hAnsi="Arial" w:cs="Arial"/>
          <w:lang w:val="mn-MN"/>
        </w:rPr>
      </w:pPr>
    </w:p>
    <w:p w14:paraId="5B11C8AD" w14:textId="7777777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Монгол Улсын Үндсэн хуульд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 талаар тусгагдсан. Үүний хэрэгжилтийг хангах хүрээнд Монгол Улсын Их Хурал 2022 онд Уул уурхайн бүтээгдэхүүний биржийн тухай хуулийг, 2024 онд Үндэсний баялгийн сангийн тухай хуулийг тус тус баталсан. </w:t>
      </w:r>
    </w:p>
    <w:p w14:paraId="547DAF72" w14:textId="77777777" w:rsidR="00313505" w:rsidRPr="00414AD1" w:rsidRDefault="00313505" w:rsidP="00B54536">
      <w:pPr>
        <w:spacing w:after="0" w:line="240" w:lineRule="auto"/>
        <w:ind w:firstLine="720"/>
        <w:jc w:val="both"/>
        <w:rPr>
          <w:rFonts w:ascii="Arial" w:hAnsi="Arial" w:cs="Arial"/>
          <w:sz w:val="24"/>
          <w:szCs w:val="24"/>
        </w:rPr>
      </w:pPr>
    </w:p>
    <w:p w14:paraId="2C852AAD" w14:textId="77777777" w:rsidR="00B54536" w:rsidRPr="00414AD1" w:rsidRDefault="00B54536" w:rsidP="00B54536">
      <w:pPr>
        <w:spacing w:after="0" w:line="240" w:lineRule="auto"/>
        <w:ind w:firstLine="720"/>
        <w:jc w:val="both"/>
        <w:rPr>
          <w:rFonts w:ascii="Arial" w:hAnsi="Arial" w:cs="Arial"/>
          <w:sz w:val="24"/>
          <w:szCs w:val="24"/>
        </w:rPr>
      </w:pPr>
      <w:r w:rsidRPr="00414AD1">
        <w:rPr>
          <w:rFonts w:ascii="Arial" w:hAnsi="Arial" w:cs="Arial"/>
          <w:sz w:val="24"/>
          <w:szCs w:val="24"/>
        </w:rPr>
        <w:t>Уул уурхайн салбар 2024 оны жилийн эцсийн байдлаар дотоодын нийт бүтээгдэхүүний 26 хувь, аж үйлдвэрийн салбарын 72 хувь, гадаадын шууд хөрөнгө оруулалтын 81 хувь, экспортын орлогын 94 хувь, төсвийн орлогын 34 хувийг тус тус бүрдүүлсэн.</w:t>
      </w:r>
    </w:p>
    <w:p w14:paraId="0BC2F8A8" w14:textId="77777777" w:rsidR="00B54536" w:rsidRPr="00414AD1" w:rsidRDefault="00B54536" w:rsidP="00B54536">
      <w:pPr>
        <w:spacing w:after="0" w:line="240" w:lineRule="auto"/>
        <w:ind w:firstLine="720"/>
        <w:jc w:val="both"/>
        <w:rPr>
          <w:rFonts w:ascii="Arial" w:hAnsi="Arial" w:cs="Arial"/>
          <w:sz w:val="24"/>
          <w:szCs w:val="24"/>
        </w:rPr>
      </w:pPr>
    </w:p>
    <w:p w14:paraId="51C9F549" w14:textId="77777777" w:rsidR="00B54536" w:rsidRPr="00414AD1" w:rsidRDefault="00B54536"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Гадаад худалдааны нийт бараа эргэлт 2025 оны эхний 2 сарын гүйцэтгэлээр 3,715.8 сая ам.долларт хүрч өнгөрсөн оны мөн үеэс 120.4 (3.1%) сая ам.доллароор буурсан байна. Экспорт, импортоос давамгайлж 294.0 сая ам.доллароор өссөн үзүүлэлттэй гарсан боловч экспортын орлого өмнөх оны мөн үеэс 235.4 (10.5%) сая ам.доллароор буурч 2,004.9 сая ам.долларын гүйцэтгэлтэй байна. </w:t>
      </w:r>
    </w:p>
    <w:p w14:paraId="4BD3CA76" w14:textId="77777777" w:rsidR="00B54536" w:rsidRPr="00414AD1" w:rsidRDefault="00B54536" w:rsidP="00B54536">
      <w:pPr>
        <w:spacing w:after="0" w:line="240" w:lineRule="auto"/>
        <w:jc w:val="both"/>
        <w:rPr>
          <w:rFonts w:ascii="Arial" w:hAnsi="Arial" w:cs="Arial"/>
          <w:sz w:val="24"/>
          <w:szCs w:val="24"/>
        </w:rPr>
      </w:pPr>
    </w:p>
    <w:p w14:paraId="170ADBA6" w14:textId="77777777" w:rsidR="00B54536" w:rsidRPr="00414AD1" w:rsidRDefault="00B54536"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Одоогийн байдлаар уул уурхайн бүтээгдэхүүнийг спот, форвард гэрээний дагуу биржээр дамжуулан арилжиж байгаа бөгөөд 2023 оны 01 дүгээр сарын 12-ны өдрөөс 2025 оны 03 дугаар сарын 14-ний өдрийг хүртэл 43.0 сая тонн уул уурхайн бүтээгдэхүүнийг нийт 17.07 их наяд төгрөгөөр арилжаалаад байна. “Монголын хөрөнгийн бирж” ХК-д бүртгэлтэй уул уурхайн бүтээгдэхүүний худалдагч 21 компани, 471 гэрээ байгуулсан худалдан авагчид бүртгэлтэй байна. Уул уурхайн бүтээгдэхүүний биржийн арилжаагаар хамгийн их бүтээгдэхүүн арилжсан сар нь 2024 оны 04 дүгээр сард бөгөөд нийт 55 удаагийн арилжаагаар 4.2 сая тонн уул уурхайн бүтээгдэхүүнийг 951.5 тэрбум төгрөгөөр арилжаалсан байна. </w:t>
      </w:r>
    </w:p>
    <w:p w14:paraId="17D048CA" w14:textId="2CC1DB80" w:rsidR="00B54536" w:rsidRPr="00414AD1" w:rsidRDefault="00B54536" w:rsidP="00B54536">
      <w:pPr>
        <w:spacing w:after="0" w:line="240" w:lineRule="auto"/>
        <w:jc w:val="both"/>
        <w:rPr>
          <w:rFonts w:ascii="Arial" w:hAnsi="Arial" w:cs="Arial"/>
          <w:sz w:val="24"/>
          <w:szCs w:val="24"/>
        </w:rPr>
      </w:pPr>
    </w:p>
    <w:p w14:paraId="5AB1C5BD" w14:textId="77777777" w:rsidR="00B54536"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Гэсэн хэдий ч дээрх эрх зүйн зохицуулалтуудын хийдэл болон хоорондын уялдаагүй байдлаас үүдэн уул уурхайн бүтээгдэхүүнийг биржээр дамжуулан арилжаалах үйл ажиллагаа зогсонги байдалд орох, биржийн арилжаанд оролцогч аж ахуйн нэгжүүдийн орлогыг хязгаарлах зэрэг сөрөг үр дагаврууд байсаар байгаа нь цаашлаад Үндэсний баялгийн санг арвижуулахад бэрхшээл үүсгэх эрсдэлтэй байна.</w:t>
      </w:r>
    </w:p>
    <w:p w14:paraId="0B014EE2" w14:textId="540591C8" w:rsidR="00B54536" w:rsidRPr="00414AD1" w:rsidRDefault="00B54536" w:rsidP="00B54536">
      <w:pPr>
        <w:spacing w:after="0" w:line="240" w:lineRule="auto"/>
        <w:jc w:val="both"/>
        <w:rPr>
          <w:rFonts w:ascii="Arial" w:hAnsi="Arial" w:cs="Arial"/>
          <w:sz w:val="24"/>
          <w:szCs w:val="24"/>
        </w:rPr>
      </w:pPr>
      <w:r w:rsidRPr="00414AD1">
        <w:rPr>
          <w:rFonts w:ascii="Arial" w:hAnsi="Arial" w:cs="Arial"/>
          <w:sz w:val="24"/>
          <w:szCs w:val="24"/>
        </w:rPr>
        <w:t xml:space="preserve">Тухайлбал, Уул уурхайн бүтээгдэхүүний биржийн арилжааны дүнгээс үзэхэд тухайн бүтээгдэхүүний эрэлт нэмэгдэж, үнэ өсөх үед арилжаа өссөн бөгөөд 2023 оны 12 дугаар сард нүүрсний үнэ </w:t>
      </w:r>
      <w:r w:rsidR="00773D23" w:rsidRPr="00414AD1">
        <w:rPr>
          <w:rFonts w:ascii="Arial" w:hAnsi="Arial" w:cs="Arial"/>
          <w:sz w:val="24"/>
          <w:szCs w:val="24"/>
        </w:rPr>
        <w:t>816,000 төгрөг</w:t>
      </w:r>
      <w:r w:rsidRPr="00414AD1">
        <w:rPr>
          <w:rFonts w:ascii="Arial" w:hAnsi="Arial" w:cs="Arial"/>
          <w:sz w:val="24"/>
          <w:szCs w:val="24"/>
        </w:rPr>
        <w:t xml:space="preserve"> хүрэх үед биржийн арилжаагаар 1.9 их наяд төгрөгийн нүүрс арилжсан байна.  2025 оны 02 дугаар сарын байдлаар нүүрсний үнэ 3</w:t>
      </w:r>
      <w:r w:rsidR="00773D23" w:rsidRPr="00414AD1">
        <w:rPr>
          <w:rFonts w:ascii="Arial" w:hAnsi="Arial" w:cs="Arial"/>
          <w:sz w:val="24"/>
          <w:szCs w:val="24"/>
        </w:rPr>
        <w:t>0</w:t>
      </w:r>
      <w:r w:rsidRPr="00414AD1">
        <w:rPr>
          <w:rFonts w:ascii="Arial" w:hAnsi="Arial" w:cs="Arial"/>
          <w:sz w:val="24"/>
          <w:szCs w:val="24"/>
        </w:rPr>
        <w:t xml:space="preserve">%-аар буурч </w:t>
      </w:r>
      <w:r w:rsidR="00773D23" w:rsidRPr="00414AD1">
        <w:rPr>
          <w:rFonts w:ascii="Arial" w:hAnsi="Arial" w:cs="Arial"/>
          <w:sz w:val="24"/>
          <w:szCs w:val="24"/>
        </w:rPr>
        <w:t>568,800 төгрөг</w:t>
      </w:r>
      <w:r w:rsidRPr="00414AD1">
        <w:rPr>
          <w:rFonts w:ascii="Arial" w:hAnsi="Arial" w:cs="Arial"/>
          <w:sz w:val="24"/>
          <w:szCs w:val="24"/>
        </w:rPr>
        <w:t xml:space="preserve"> болоход биржийн арилжааны тоо өмнөх оны мөн үеэс 9 дахин буурсан байна. Уул уурхайн бүтээгдэхүүний биржээр 2024 оны 1 болон 2 дугаар сард нийт 3.9 сая тонн нүүрсийг 1.8 их наяд төгрөгөөр арилжаалж байсан ба тухайн хугацаанд нэг арилжаанд дунджаар 6 худалдан авагчид оролцдог байсан бол 2025 оны 1, 2 дугаар саруудад нийт 428.8 мянган тонн нүүрсийг 122.9 тэрбум төгрөгөөр арилжаалаад байгаа ба нэг арилжаанд дунджаар 1-2 худалдан авагчид оролцож байгаа нь эрэлт огцом буурсан байгааг илтгэж байна. </w:t>
      </w:r>
    </w:p>
    <w:p w14:paraId="544C7F8B" w14:textId="322C9D0A" w:rsidR="00B841F7" w:rsidRPr="00414AD1" w:rsidRDefault="00B841F7" w:rsidP="000611F6">
      <w:pPr>
        <w:spacing w:after="0" w:line="240" w:lineRule="auto"/>
        <w:jc w:val="both"/>
        <w:rPr>
          <w:rFonts w:ascii="Arial" w:hAnsi="Arial" w:cs="Arial"/>
          <w:sz w:val="24"/>
          <w:szCs w:val="24"/>
        </w:rPr>
      </w:pPr>
    </w:p>
    <w:p w14:paraId="15C5EA84" w14:textId="1088CF2D"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Монгол Улсын Засгийн газрын 2024-2028 оны үйл ажиллагааны хөтөлбөрт тусгагдсан “Гашуунсухайт-Ганцмод, Ханги-Мандал, Шивээхүрэн-Сэхээ хилийн боомтуудын хил дамнасан холболтын төмөр зам, нүүрс-хими, кокс химийн цогцолбор, гангын цогцолбор” зэрэг мега төслүүдийн бүтээн байгуулалтын ажлыг гүйцэтгэхэд Уул </w:t>
      </w:r>
      <w:r w:rsidRPr="00414AD1">
        <w:rPr>
          <w:rFonts w:ascii="Arial" w:hAnsi="Arial" w:cs="Arial"/>
          <w:sz w:val="24"/>
          <w:szCs w:val="24"/>
        </w:rPr>
        <w:lastRenderedPageBreak/>
        <w:t>уурхайн бүтээгдэхүүний биржийн тухай хуулийн зарим зохицуулалт хүндрэл үүсгэж байна.</w:t>
      </w:r>
    </w:p>
    <w:p w14:paraId="0936653A" w14:textId="77777777" w:rsidR="000611F6" w:rsidRPr="00414AD1" w:rsidRDefault="000611F6" w:rsidP="00B54536">
      <w:pPr>
        <w:spacing w:after="0" w:line="240" w:lineRule="auto"/>
        <w:ind w:firstLine="720"/>
        <w:jc w:val="both"/>
        <w:rPr>
          <w:rFonts w:ascii="Arial" w:hAnsi="Arial" w:cs="Arial"/>
          <w:sz w:val="24"/>
          <w:szCs w:val="24"/>
        </w:rPr>
      </w:pPr>
    </w:p>
    <w:p w14:paraId="64C27675" w14:textId="7777777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Монгол Улсын нийгэм, эдийн засгийн хөгжил нь эрдэс баялаг, уул уурхайн салбараас шууд хамааралтай бөгөөд уул уурхайн бүтээгдэхүүний олборлолт, борлуулалт, бүтээгдэхүүний үнэ болон гадаад зах зээлийн орчноос манай улсын эдийн засгийн нөхцөл байдал шууд хамаарч байна. Түүнчлэн, дэлхий нийтэд цэвэр эрчим хүчний шилжилтэд анхаарал хандуулж байгаатай уялдан уул уурхайн бүтээгдэхүүний зэх зээл дээрх эрэлт цаашид улам бүр буурах хандлагатай байна.</w:t>
      </w:r>
    </w:p>
    <w:p w14:paraId="5E10ED03" w14:textId="77777777" w:rsidR="000611F6" w:rsidRPr="00414AD1" w:rsidRDefault="000611F6" w:rsidP="00B54536">
      <w:pPr>
        <w:spacing w:after="0" w:line="240" w:lineRule="auto"/>
        <w:ind w:firstLine="720"/>
        <w:jc w:val="both"/>
        <w:rPr>
          <w:rFonts w:ascii="Arial" w:hAnsi="Arial" w:cs="Arial"/>
          <w:sz w:val="24"/>
          <w:szCs w:val="24"/>
        </w:rPr>
      </w:pPr>
    </w:p>
    <w:p w14:paraId="134762AA" w14:textId="77777777" w:rsidR="00B841F7" w:rsidRPr="00414AD1" w:rsidRDefault="00B841F7" w:rsidP="00B54536">
      <w:pPr>
        <w:pStyle w:val="NormalWeb"/>
        <w:shd w:val="clear" w:color="auto" w:fill="FFFFFF"/>
        <w:spacing w:before="0" w:beforeAutospacing="0" w:after="0" w:afterAutospacing="0"/>
        <w:ind w:firstLine="720"/>
        <w:jc w:val="both"/>
        <w:textAlignment w:val="top"/>
        <w:rPr>
          <w:rFonts w:ascii="Arial" w:hAnsi="Arial" w:cs="Arial"/>
          <w:noProof/>
          <w:lang w:val="mn-MN"/>
        </w:rPr>
      </w:pPr>
      <w:r w:rsidRPr="00414AD1">
        <w:rPr>
          <w:rFonts w:ascii="Arial" w:hAnsi="Arial" w:cs="Arial"/>
          <w:noProof/>
          <w:lang w:val="mn-MN"/>
        </w:rPr>
        <w:t xml:space="preserve">Мөн Цөмийн зэвсгийг үл дэлгэрүүлэх баталгааны хэлэлцээрийн дагуу Монгол Улс цацраг идэвхт ашигт малтмалын борлуулалтын мэдээ, тайланг Олон Улсын Атомын Энергийн Агентлагт хүргүүлэх үүрэг хүлээсэн тул уг харилцааг боловсронгуй болгох шаардлагатай байна.  </w:t>
      </w:r>
    </w:p>
    <w:p w14:paraId="34A0C669" w14:textId="77777777" w:rsidR="00B841F7" w:rsidRPr="00414AD1" w:rsidRDefault="00B841F7" w:rsidP="00B54536">
      <w:pPr>
        <w:pStyle w:val="NormalWeb"/>
        <w:shd w:val="clear" w:color="auto" w:fill="FFFFFF"/>
        <w:spacing w:before="0" w:beforeAutospacing="0" w:after="0" w:afterAutospacing="0"/>
        <w:ind w:firstLine="720"/>
        <w:jc w:val="both"/>
        <w:textAlignment w:val="top"/>
        <w:rPr>
          <w:rFonts w:ascii="Arial" w:hAnsi="Arial" w:cs="Arial"/>
          <w:lang w:val="mn-MN"/>
        </w:rPr>
      </w:pPr>
    </w:p>
    <w:p w14:paraId="7F3DF122" w14:textId="62BEBCBB" w:rsidR="000611F6" w:rsidRPr="00EB6EDD" w:rsidRDefault="000611F6" w:rsidP="00EB6EDD">
      <w:pPr>
        <w:spacing w:after="0" w:line="240" w:lineRule="auto"/>
        <w:ind w:firstLine="720"/>
        <w:jc w:val="both"/>
        <w:rPr>
          <w:rFonts w:ascii="Arial" w:eastAsia="Arial" w:hAnsi="Arial" w:cs="Arial"/>
          <w:noProof/>
          <w:sz w:val="24"/>
          <w:szCs w:val="24"/>
        </w:rPr>
      </w:pPr>
      <w:r w:rsidRPr="00414AD1">
        <w:rPr>
          <w:rFonts w:ascii="Arial" w:hAnsi="Arial" w:cs="Arial"/>
          <w:sz w:val="24"/>
          <w:szCs w:val="24"/>
        </w:rPr>
        <w:t xml:space="preserve">Иймд Монгол Улсын Үндсэн хууль болон бусад хууль тогтоомжийг хэрэгжүүлэх, олон улсын гэрээгээр хүлээсэн үүргээ биелүүлэх, </w:t>
      </w:r>
      <w:r w:rsidRPr="00414AD1">
        <w:rPr>
          <w:rFonts w:ascii="Arial" w:eastAsia="Arial" w:hAnsi="Arial" w:cs="Arial"/>
          <w:noProof/>
          <w:sz w:val="24"/>
          <w:szCs w:val="24"/>
        </w:rPr>
        <w:t>Үндэсний аюулгүй байдлыг баталгаажуулах, эрдэс баялгийг олон улсын стандартын дагуу ашиглаж борлуулах, түүнээс олох орлогыг үндэсний эдийн засгийн бие даасан байдлыг хангах, олон тулгуурт эдийн засгийг дэмжих</w:t>
      </w:r>
      <w:r w:rsidR="00EB6EDD">
        <w:rPr>
          <w:rFonts w:ascii="Arial" w:eastAsia="Arial" w:hAnsi="Arial" w:cs="Arial"/>
          <w:noProof/>
          <w:sz w:val="24"/>
          <w:szCs w:val="24"/>
        </w:rPr>
        <w:t xml:space="preserve"> хүрээнд Уул уурхайн бүтээгдэхүүний биржийн тухай хуульд нэмэлт, өөрчлөлт оруулах тухай хуулийн төслийг </w:t>
      </w:r>
      <w:r w:rsidRPr="00414AD1">
        <w:rPr>
          <w:rFonts w:ascii="Arial" w:eastAsia="Arial" w:hAnsi="Arial" w:cs="Arial"/>
          <w:noProof/>
          <w:sz w:val="24"/>
          <w:szCs w:val="24"/>
        </w:rPr>
        <w:t>Монгол Улсын Их Хурлын чуулганы хуралдааны дэгийн тухай хуулийн 33.1 дэх хэсэгт заасны дагуу яаралтай хэлэлцүүлэхээр бэлтгэлээ.</w:t>
      </w:r>
    </w:p>
    <w:p w14:paraId="2A71B53B" w14:textId="77777777" w:rsidR="00B54536" w:rsidRPr="00414AD1" w:rsidRDefault="00B54536" w:rsidP="00B54536">
      <w:pPr>
        <w:pStyle w:val="NormalWeb"/>
        <w:shd w:val="clear" w:color="auto" w:fill="FFFFFF"/>
        <w:spacing w:before="0" w:beforeAutospacing="0" w:after="0" w:afterAutospacing="0"/>
        <w:ind w:firstLine="720"/>
        <w:jc w:val="both"/>
        <w:textAlignment w:val="top"/>
        <w:rPr>
          <w:rFonts w:ascii="Arial" w:eastAsia="Arial" w:hAnsi="Arial" w:cs="Arial"/>
          <w:noProof/>
          <w:lang w:val="mn-MN"/>
        </w:rPr>
      </w:pPr>
    </w:p>
    <w:p w14:paraId="16E87BE5" w14:textId="3E18B871"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Энэхүү хуулийн төсөл нь </w:t>
      </w:r>
      <w:r w:rsidR="00EF1BE2" w:rsidRPr="00414AD1">
        <w:rPr>
          <w:rFonts w:ascii="Arial" w:hAnsi="Arial" w:cs="Arial"/>
          <w:sz w:val="24"/>
          <w:szCs w:val="24"/>
        </w:rPr>
        <w:t>3</w:t>
      </w:r>
      <w:r w:rsidRPr="00414AD1">
        <w:rPr>
          <w:rFonts w:ascii="Arial" w:hAnsi="Arial" w:cs="Arial"/>
          <w:sz w:val="24"/>
          <w:szCs w:val="24"/>
        </w:rPr>
        <w:t xml:space="preserve"> зүйлтэй бөгөөд Монгол Улсын Үндсэн хууль, бусад хууль, Үндэсний аюулгүй байдлын үзэл баримтлалтай тус тус нийцсэн болно. </w:t>
      </w:r>
    </w:p>
    <w:p w14:paraId="18C64826" w14:textId="77777777" w:rsidR="000611F6" w:rsidRPr="00414AD1" w:rsidRDefault="000611F6" w:rsidP="003016A3">
      <w:pPr>
        <w:spacing w:after="0" w:line="240" w:lineRule="auto"/>
        <w:jc w:val="both"/>
        <w:rPr>
          <w:rFonts w:ascii="Arial" w:hAnsi="Arial" w:cs="Arial"/>
          <w:sz w:val="24"/>
          <w:szCs w:val="24"/>
        </w:rPr>
      </w:pPr>
    </w:p>
    <w:p w14:paraId="02C0DB6C" w14:textId="403D5A7C" w:rsidR="00B841F7" w:rsidRDefault="00B841F7" w:rsidP="00B54536">
      <w:pPr>
        <w:pStyle w:val="NormalWeb"/>
        <w:shd w:val="clear" w:color="auto" w:fill="FFFFFF"/>
        <w:spacing w:before="0" w:beforeAutospacing="0" w:after="0" w:afterAutospacing="0"/>
        <w:ind w:firstLine="720"/>
        <w:jc w:val="both"/>
        <w:textAlignment w:val="top"/>
        <w:rPr>
          <w:rFonts w:ascii="Arial" w:eastAsia="Arial" w:hAnsi="Arial" w:cs="Arial"/>
          <w:lang w:val="mn-MN"/>
        </w:rPr>
      </w:pPr>
      <w:r w:rsidRPr="00414AD1">
        <w:rPr>
          <w:rFonts w:ascii="Arial" w:eastAsia="Arial" w:hAnsi="Arial" w:cs="Arial"/>
          <w:lang w:val="mn-MN"/>
        </w:rPr>
        <w:t>Хуулийн төсөлтэй уялдуулан Цөмийн энергийн тухай, Зөвшөөрлийн тухай хууль, Улсын Их Хурлын 2024 оны 13 дугаар тогтоолд тус тус нэмэлт, өөрчлөлт оруулна.</w:t>
      </w:r>
    </w:p>
    <w:p w14:paraId="5F747461" w14:textId="77777777" w:rsidR="005154ED" w:rsidRDefault="005154ED" w:rsidP="00B54536">
      <w:pPr>
        <w:pStyle w:val="NormalWeb"/>
        <w:shd w:val="clear" w:color="auto" w:fill="FFFFFF"/>
        <w:spacing w:before="0" w:beforeAutospacing="0" w:after="0" w:afterAutospacing="0"/>
        <w:ind w:firstLine="720"/>
        <w:jc w:val="both"/>
        <w:textAlignment w:val="top"/>
        <w:rPr>
          <w:rFonts w:ascii="Arial" w:eastAsia="Arial" w:hAnsi="Arial" w:cs="Arial"/>
          <w:lang w:val="mn-MN"/>
        </w:rPr>
      </w:pPr>
    </w:p>
    <w:p w14:paraId="3FB652BE" w14:textId="77777777" w:rsidR="00B841F7" w:rsidRPr="00414AD1" w:rsidRDefault="00B841F7" w:rsidP="00B54536">
      <w:pPr>
        <w:pStyle w:val="NormalWeb"/>
        <w:shd w:val="clear" w:color="auto" w:fill="FFFFFF"/>
        <w:spacing w:before="0" w:beforeAutospacing="0" w:after="0" w:afterAutospacing="0"/>
        <w:ind w:firstLine="720"/>
        <w:jc w:val="both"/>
        <w:textAlignment w:val="top"/>
        <w:rPr>
          <w:rFonts w:ascii="Arial" w:eastAsia="Arial" w:hAnsi="Arial" w:cs="Arial"/>
          <w:noProof/>
          <w:lang w:val="mn-MN"/>
        </w:rPr>
      </w:pPr>
    </w:p>
    <w:p w14:paraId="6FE5BA2F" w14:textId="77777777" w:rsidR="00B841F7" w:rsidRPr="00414AD1" w:rsidRDefault="00B841F7" w:rsidP="00B54536">
      <w:pPr>
        <w:pStyle w:val="NoSpacing"/>
        <w:spacing w:after="0"/>
        <w:rPr>
          <w:rFonts w:ascii="Arial" w:hAnsi="Arial" w:cs="Arial"/>
          <w:lang w:val="mn-MN"/>
        </w:rPr>
      </w:pPr>
    </w:p>
    <w:p w14:paraId="69AB605A" w14:textId="77777777" w:rsidR="00B841F7" w:rsidRPr="00414AD1" w:rsidRDefault="00B841F7" w:rsidP="00B54536">
      <w:pPr>
        <w:pStyle w:val="NoSpacing"/>
        <w:spacing w:after="0"/>
        <w:jc w:val="center"/>
        <w:rPr>
          <w:rFonts w:ascii="Arial" w:hAnsi="Arial" w:cs="Arial"/>
          <w:lang w:val="mn-MN"/>
        </w:rPr>
      </w:pPr>
    </w:p>
    <w:p w14:paraId="7D93CD05" w14:textId="77777777" w:rsidR="00B841F7" w:rsidRPr="00414AD1" w:rsidRDefault="00B841F7" w:rsidP="00B54536">
      <w:pPr>
        <w:pStyle w:val="NoSpacing"/>
        <w:spacing w:after="0"/>
        <w:jc w:val="center"/>
        <w:rPr>
          <w:rFonts w:ascii="Arial" w:hAnsi="Arial" w:cs="Arial"/>
          <w:lang w:val="mn-MN"/>
        </w:rPr>
      </w:pPr>
    </w:p>
    <w:p w14:paraId="653CF6E2" w14:textId="6E9C4F1C" w:rsidR="00B841F7" w:rsidRPr="00414AD1" w:rsidRDefault="00B841F7" w:rsidP="00B54536">
      <w:pPr>
        <w:pStyle w:val="NoSpacing"/>
        <w:spacing w:after="0"/>
        <w:jc w:val="center"/>
        <w:rPr>
          <w:rFonts w:ascii="Arial" w:hAnsi="Arial" w:cs="Arial"/>
          <w:lang w:val="mn-MN"/>
        </w:rPr>
      </w:pPr>
      <w:r w:rsidRPr="00414AD1">
        <w:rPr>
          <w:rFonts w:ascii="Arial" w:hAnsi="Arial" w:cs="Arial"/>
          <w:lang w:val="mn-MN"/>
        </w:rPr>
        <w:t>--ооОоо—</w:t>
      </w:r>
    </w:p>
    <w:p w14:paraId="228CD69A" w14:textId="77777777" w:rsidR="00B841F7" w:rsidRPr="00414AD1" w:rsidRDefault="00B841F7" w:rsidP="00B54536">
      <w:pPr>
        <w:spacing w:after="0" w:line="240" w:lineRule="auto"/>
        <w:jc w:val="center"/>
        <w:rPr>
          <w:rFonts w:ascii="Arial" w:hAnsi="Arial" w:cs="Arial"/>
          <w:b/>
          <w:bCs/>
          <w:sz w:val="24"/>
          <w:szCs w:val="24"/>
        </w:rPr>
      </w:pPr>
    </w:p>
    <w:p w14:paraId="0E09D173" w14:textId="77777777" w:rsidR="00B841F7" w:rsidRPr="00414AD1" w:rsidRDefault="00B841F7" w:rsidP="00B54536">
      <w:pPr>
        <w:spacing w:after="0" w:line="240" w:lineRule="auto"/>
        <w:jc w:val="center"/>
        <w:rPr>
          <w:rFonts w:ascii="Arial" w:hAnsi="Arial" w:cs="Arial"/>
          <w:b/>
          <w:bCs/>
          <w:sz w:val="24"/>
          <w:szCs w:val="24"/>
        </w:rPr>
      </w:pPr>
    </w:p>
    <w:p w14:paraId="1A97D99B" w14:textId="77777777" w:rsidR="00B841F7" w:rsidRPr="00414AD1" w:rsidRDefault="00B841F7" w:rsidP="00B54536">
      <w:pPr>
        <w:spacing w:after="0" w:line="240" w:lineRule="auto"/>
        <w:jc w:val="center"/>
        <w:rPr>
          <w:rFonts w:ascii="Arial" w:hAnsi="Arial" w:cs="Arial"/>
          <w:b/>
          <w:bCs/>
          <w:sz w:val="24"/>
          <w:szCs w:val="24"/>
        </w:rPr>
      </w:pPr>
    </w:p>
    <w:p w14:paraId="333B6382" w14:textId="77777777" w:rsidR="00B841F7" w:rsidRPr="00414AD1" w:rsidRDefault="00B841F7" w:rsidP="00B54536">
      <w:pPr>
        <w:spacing w:after="0" w:line="240" w:lineRule="auto"/>
        <w:jc w:val="center"/>
        <w:rPr>
          <w:rFonts w:ascii="Arial" w:hAnsi="Arial" w:cs="Arial"/>
          <w:b/>
          <w:bCs/>
          <w:sz w:val="24"/>
          <w:szCs w:val="24"/>
        </w:rPr>
      </w:pPr>
    </w:p>
    <w:p w14:paraId="2DEAFEF7" w14:textId="77777777" w:rsidR="00B841F7" w:rsidRPr="00414AD1" w:rsidRDefault="00B841F7" w:rsidP="00B54536">
      <w:pPr>
        <w:spacing w:after="0" w:line="240" w:lineRule="auto"/>
        <w:jc w:val="center"/>
        <w:rPr>
          <w:rFonts w:ascii="Arial" w:hAnsi="Arial" w:cs="Arial"/>
          <w:b/>
          <w:bCs/>
          <w:sz w:val="24"/>
          <w:szCs w:val="24"/>
        </w:rPr>
      </w:pPr>
    </w:p>
    <w:p w14:paraId="6F0A15BC" w14:textId="77777777" w:rsidR="00B841F7" w:rsidRPr="00414AD1" w:rsidRDefault="00B841F7" w:rsidP="00B54536">
      <w:pPr>
        <w:spacing w:after="0" w:line="240" w:lineRule="auto"/>
        <w:jc w:val="center"/>
        <w:rPr>
          <w:rFonts w:ascii="Arial" w:hAnsi="Arial" w:cs="Arial"/>
          <w:b/>
          <w:bCs/>
          <w:sz w:val="24"/>
          <w:szCs w:val="24"/>
        </w:rPr>
      </w:pPr>
    </w:p>
    <w:p w14:paraId="3C21C33E" w14:textId="77777777" w:rsidR="000611F6" w:rsidRPr="00414AD1" w:rsidRDefault="000611F6">
      <w:pPr>
        <w:spacing w:after="80" w:line="240" w:lineRule="auto"/>
        <w:rPr>
          <w:rFonts w:ascii="Arial" w:hAnsi="Arial" w:cs="Arial"/>
          <w:b/>
          <w:bCs/>
          <w:sz w:val="24"/>
          <w:szCs w:val="24"/>
        </w:rPr>
      </w:pPr>
      <w:r w:rsidRPr="00414AD1">
        <w:rPr>
          <w:rFonts w:ascii="Arial" w:hAnsi="Arial" w:cs="Arial"/>
          <w:b/>
          <w:bCs/>
          <w:sz w:val="24"/>
          <w:szCs w:val="24"/>
        </w:rPr>
        <w:br w:type="page"/>
      </w:r>
    </w:p>
    <w:p w14:paraId="73382620" w14:textId="09CA9779" w:rsidR="00B841F7" w:rsidRPr="00414AD1" w:rsidRDefault="00B841F7" w:rsidP="00B54536">
      <w:pPr>
        <w:spacing w:after="0" w:line="240" w:lineRule="auto"/>
        <w:jc w:val="center"/>
        <w:rPr>
          <w:rFonts w:ascii="Arial" w:hAnsi="Arial" w:cs="Arial"/>
          <w:b/>
          <w:bCs/>
          <w:sz w:val="24"/>
          <w:szCs w:val="24"/>
        </w:rPr>
      </w:pPr>
      <w:r w:rsidRPr="00414AD1">
        <w:rPr>
          <w:rFonts w:ascii="Arial" w:hAnsi="Arial" w:cs="Arial"/>
          <w:b/>
          <w:bCs/>
          <w:sz w:val="24"/>
          <w:szCs w:val="24"/>
        </w:rPr>
        <w:lastRenderedPageBreak/>
        <w:t>ДЭЛГЭРЭНГҮЙ ТАНИЛЦУУЛГА</w:t>
      </w:r>
    </w:p>
    <w:p w14:paraId="5864D995" w14:textId="77777777" w:rsidR="000611F6" w:rsidRPr="00414AD1" w:rsidRDefault="000611F6" w:rsidP="00B54536">
      <w:pPr>
        <w:pStyle w:val="NormalWeb"/>
        <w:shd w:val="clear" w:color="auto" w:fill="FFFFFF"/>
        <w:spacing w:before="0" w:beforeAutospacing="0" w:after="0" w:afterAutospacing="0"/>
        <w:ind w:left="4111"/>
        <w:jc w:val="both"/>
        <w:rPr>
          <w:rFonts w:ascii="Arial" w:eastAsia="Calibri" w:hAnsi="Arial" w:cs="Arial"/>
          <w:i/>
          <w:lang w:val="mn-MN"/>
        </w:rPr>
      </w:pPr>
    </w:p>
    <w:p w14:paraId="4C1B90C3" w14:textId="764BE388" w:rsidR="00B841F7" w:rsidRPr="00414AD1" w:rsidRDefault="00B841F7" w:rsidP="00B54536">
      <w:pPr>
        <w:pStyle w:val="NormalWeb"/>
        <w:shd w:val="clear" w:color="auto" w:fill="FFFFFF"/>
        <w:spacing w:before="0" w:beforeAutospacing="0" w:after="0" w:afterAutospacing="0"/>
        <w:ind w:left="4111"/>
        <w:jc w:val="both"/>
        <w:rPr>
          <w:rFonts w:ascii="Arial" w:eastAsia="Calibri" w:hAnsi="Arial" w:cs="Arial"/>
          <w:i/>
          <w:lang w:val="mn-MN"/>
        </w:rPr>
      </w:pPr>
      <w:r w:rsidRPr="00414AD1">
        <w:rPr>
          <w:rFonts w:ascii="Arial" w:eastAsia="Calibri" w:hAnsi="Arial" w:cs="Arial"/>
          <w:i/>
          <w:lang w:val="mn-MN"/>
        </w:rPr>
        <w:t>Уул уурхайн бүтээгдэхүүний биржийн тухай хуульд нэмэлт, өөрчлөлт оруулах тухай хуулийн төслийн талаар</w:t>
      </w:r>
    </w:p>
    <w:p w14:paraId="72E52BEF" w14:textId="77777777" w:rsidR="000611F6" w:rsidRPr="00414AD1" w:rsidRDefault="000611F6" w:rsidP="00B54536">
      <w:pPr>
        <w:pStyle w:val="NormalWeb"/>
        <w:shd w:val="clear" w:color="auto" w:fill="FFFFFF"/>
        <w:spacing w:before="0" w:beforeAutospacing="0" w:after="0" w:afterAutospacing="0"/>
        <w:ind w:left="4111"/>
        <w:jc w:val="both"/>
        <w:rPr>
          <w:rFonts w:ascii="Arial" w:eastAsia="Calibri" w:hAnsi="Arial" w:cs="Arial"/>
          <w:i/>
          <w:lang w:val="mn-MN"/>
        </w:rPr>
      </w:pPr>
    </w:p>
    <w:p w14:paraId="588D5B7C" w14:textId="7777777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Монгол Улсын Үндсэн хуулийн Зургадугаар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хуульчилсан. </w:t>
      </w:r>
    </w:p>
    <w:p w14:paraId="357AD9EE" w14:textId="77777777" w:rsidR="000611F6" w:rsidRPr="00414AD1" w:rsidRDefault="000611F6" w:rsidP="00B54536">
      <w:pPr>
        <w:spacing w:after="0" w:line="240" w:lineRule="auto"/>
        <w:ind w:firstLine="720"/>
        <w:jc w:val="both"/>
        <w:rPr>
          <w:rFonts w:ascii="Arial" w:hAnsi="Arial" w:cs="Arial"/>
          <w:sz w:val="24"/>
          <w:szCs w:val="24"/>
        </w:rPr>
      </w:pPr>
    </w:p>
    <w:p w14:paraId="6A1BC7FC" w14:textId="501E5076"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Монгол Улсын Үндсэн хуулийг хэрэгжүүлэх хүрээнд Монгол Улсын Их хурал 2022 оны 12 дугаар сарын 23-ны өдөр Уул уурхайн бүтээгдэхүүний биржийн тухай хуулийг, 2024 оны 4 дүгээр сарын 19-ний өдөр Үндэсний баялгийн сангийн тухай хуулийг тус тус баталсан. Мөн 2024 оны 8 дугаар сарын 27-ны өдрийн 21 дүгээр тогтоолоор “Монгол Улсын Засгийн газрын 2024-2028 оны үйл ажиллагааны хөтөлбөр”-ийг баталсан ба хөтөлбөрт “Гашуунсухайт-Ганцмод, Ханги-Мандал, Шивээхүрэн-Сэхээ хилийн боомтуудын хил дамнасан холболтын төмөр зам, нүүрс-хими, кокс химийн цогцолбор, гангын цогцолбор” зэрэг мега төслүүдийн бүтээн байгуулалтын ажлыг гүйцэтгэхээр тусгаж, үүний дагуу Монгол Улсын Засгийн газраас холбогдох арга хэмжээг авч хэрэгжүүлсээр байна.</w:t>
      </w:r>
    </w:p>
    <w:p w14:paraId="450B1B61" w14:textId="77777777" w:rsidR="000611F6" w:rsidRPr="00414AD1" w:rsidRDefault="000611F6" w:rsidP="00B54536">
      <w:pPr>
        <w:spacing w:after="0" w:line="240" w:lineRule="auto"/>
        <w:ind w:firstLine="720"/>
        <w:jc w:val="both"/>
        <w:rPr>
          <w:rFonts w:ascii="Arial" w:hAnsi="Arial" w:cs="Arial"/>
          <w:sz w:val="24"/>
          <w:szCs w:val="24"/>
        </w:rPr>
      </w:pPr>
    </w:p>
    <w:p w14:paraId="46D40588" w14:textId="7777777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Гэсэн хэдий ч холбогдох эрх зүйн зохицуулалтуудын хийдэл болон өөр хоорондын уялдаагүй байдлаас үүдэн уул уурхайн бүтээгдэхүүнийг биржээр дамжуулан арилжаалах үйл ажиллагаа зогсонги байдалд орох, биржийн арилжаанд оролцогч аж ахуйн нэгжүүдийн орлогыг хязгаарлах зэрэг сөрөг үр дагаврууд байсаар байгаа нь цаашлаад Үндэсний баялгийн санг арвижуулахад бэрхшээл үүсгэх эрсдэлтэй байна. </w:t>
      </w:r>
    </w:p>
    <w:p w14:paraId="11CF2147" w14:textId="77777777" w:rsidR="000611F6" w:rsidRPr="00414AD1" w:rsidRDefault="000611F6" w:rsidP="00B54536">
      <w:pPr>
        <w:spacing w:after="0" w:line="240" w:lineRule="auto"/>
        <w:ind w:firstLine="720"/>
        <w:jc w:val="both"/>
        <w:rPr>
          <w:rFonts w:ascii="Arial" w:hAnsi="Arial" w:cs="Arial"/>
          <w:sz w:val="24"/>
          <w:szCs w:val="24"/>
        </w:rPr>
      </w:pPr>
    </w:p>
    <w:p w14:paraId="56944B63" w14:textId="4A5B3942" w:rsidR="00EB6EDD" w:rsidRPr="00EB6EDD" w:rsidRDefault="00EB6EDD" w:rsidP="00EB6EDD">
      <w:pPr>
        <w:spacing w:after="0" w:line="240" w:lineRule="auto"/>
        <w:ind w:firstLine="720"/>
        <w:jc w:val="both"/>
        <w:rPr>
          <w:rFonts w:ascii="Arial" w:eastAsia="Arial" w:hAnsi="Arial" w:cs="Arial"/>
          <w:noProof/>
          <w:sz w:val="24"/>
          <w:szCs w:val="24"/>
        </w:rPr>
      </w:pPr>
      <w:r w:rsidRPr="00414AD1">
        <w:rPr>
          <w:rFonts w:ascii="Arial" w:hAnsi="Arial" w:cs="Arial"/>
          <w:sz w:val="24"/>
          <w:szCs w:val="24"/>
        </w:rPr>
        <w:t xml:space="preserve">Иймд Монгол Улсын Үндсэн хууль болон бусад хууль тогтоомжийг хэрэгжүүлэх, олон улсын гэрээгээр хүлээсэн үүргээ биелүүлэх, </w:t>
      </w:r>
      <w:r w:rsidRPr="00414AD1">
        <w:rPr>
          <w:rFonts w:ascii="Arial" w:eastAsia="Arial" w:hAnsi="Arial" w:cs="Arial"/>
          <w:noProof/>
          <w:sz w:val="24"/>
          <w:szCs w:val="24"/>
        </w:rPr>
        <w:t>Үндэсний аюулгүй байдлыг баталгаажуулах, эрдэс баялгийг олон улсын стандартын дагуу ашиглаж борлуулах, түүнээс олох орлогыг үндэсний эдийн засгийн бие даасан байдлыг хангах, олон тулгуурт эдийн засгийг дэмжих</w:t>
      </w:r>
      <w:r>
        <w:rPr>
          <w:rFonts w:ascii="Arial" w:eastAsia="Arial" w:hAnsi="Arial" w:cs="Arial"/>
          <w:noProof/>
          <w:sz w:val="24"/>
          <w:szCs w:val="24"/>
        </w:rPr>
        <w:t xml:space="preserve"> хүрээнд Уул уурхайн бүтээгдэхүүний биржийн тухай хуульд нэмэлт, өөрчлөлт оруулах тухай хуулийн төслийг </w:t>
      </w:r>
      <w:r w:rsidRPr="00414AD1">
        <w:rPr>
          <w:rFonts w:ascii="Arial" w:eastAsia="Arial" w:hAnsi="Arial" w:cs="Arial"/>
          <w:noProof/>
          <w:sz w:val="24"/>
          <w:szCs w:val="24"/>
        </w:rPr>
        <w:t>Монгол Улсын Их Хурлын чуулганы хуралдааны дэгийн тухай хуулийн 33.1 дэх хэсэгт заасны дагуу яаралтай хэлэлцүүлэхээр бэлтгэлээ.</w:t>
      </w:r>
    </w:p>
    <w:p w14:paraId="46A30112" w14:textId="77777777" w:rsidR="00B841F7" w:rsidRPr="00414AD1" w:rsidRDefault="00B841F7" w:rsidP="00B54536">
      <w:pPr>
        <w:spacing w:after="0" w:line="240" w:lineRule="auto"/>
        <w:jc w:val="both"/>
        <w:rPr>
          <w:rFonts w:ascii="Arial" w:hAnsi="Arial" w:cs="Arial"/>
          <w:b/>
          <w:bCs/>
          <w:sz w:val="24"/>
          <w:szCs w:val="24"/>
        </w:rPr>
      </w:pPr>
    </w:p>
    <w:p w14:paraId="766CFC68" w14:textId="77777777" w:rsidR="00B841F7" w:rsidRPr="00414AD1" w:rsidRDefault="00B841F7" w:rsidP="000611F6">
      <w:pPr>
        <w:spacing w:after="0" w:line="240" w:lineRule="auto"/>
        <w:ind w:firstLine="720"/>
        <w:jc w:val="both"/>
        <w:rPr>
          <w:rFonts w:ascii="Arial" w:hAnsi="Arial" w:cs="Arial"/>
          <w:b/>
          <w:bCs/>
          <w:sz w:val="24"/>
          <w:szCs w:val="24"/>
        </w:rPr>
      </w:pPr>
      <w:r w:rsidRPr="00414AD1">
        <w:rPr>
          <w:rFonts w:ascii="Arial" w:hAnsi="Arial" w:cs="Arial"/>
          <w:b/>
          <w:bCs/>
          <w:sz w:val="24"/>
          <w:szCs w:val="24"/>
        </w:rPr>
        <w:t>Нэг. Уул уурхайн бүтээгдэхүүний биржийн тухай хуульд нэмэлт, өөрчлөлт оруулах тухай хуулийн төслийг боловсруулах болсон хэрэгцээ, шаардлага</w:t>
      </w:r>
    </w:p>
    <w:p w14:paraId="12EDBDA9" w14:textId="77777777" w:rsidR="000611F6" w:rsidRPr="00414AD1" w:rsidRDefault="000611F6" w:rsidP="00B54536">
      <w:pPr>
        <w:spacing w:after="0" w:line="240" w:lineRule="auto"/>
        <w:jc w:val="both"/>
        <w:rPr>
          <w:rFonts w:ascii="Arial" w:hAnsi="Arial" w:cs="Arial"/>
          <w:b/>
          <w:bCs/>
          <w:sz w:val="24"/>
          <w:szCs w:val="24"/>
        </w:rPr>
      </w:pPr>
    </w:p>
    <w:p w14:paraId="4E1C1F10" w14:textId="7777777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Уг хуулийн төслийг боловсруулах хэрэгцээ, шаардлагыг дараах үндэслэлүүдээр тайлбарлаж байна. Үүнд:</w:t>
      </w:r>
    </w:p>
    <w:p w14:paraId="04C68524" w14:textId="77777777" w:rsidR="000611F6" w:rsidRPr="00414AD1" w:rsidRDefault="000611F6" w:rsidP="00B54536">
      <w:pPr>
        <w:spacing w:after="0" w:line="240" w:lineRule="auto"/>
        <w:ind w:firstLine="720"/>
        <w:jc w:val="both"/>
        <w:rPr>
          <w:rFonts w:ascii="Arial" w:hAnsi="Arial" w:cs="Arial"/>
          <w:sz w:val="24"/>
          <w:szCs w:val="24"/>
        </w:rPr>
      </w:pPr>
    </w:p>
    <w:p w14:paraId="3283456C" w14:textId="77777777" w:rsidR="00B54536" w:rsidRPr="00414AD1" w:rsidRDefault="00B54536"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Уул уурхайн салбар 2024 оны жилийн эцсийн байдлаар дотоодын нийт бүтээгдэхүүний 26 хувь, аж үйлдвэрийн салбарын 72 хувь, гадаадын шууд хөрөнгө </w:t>
      </w:r>
      <w:r w:rsidRPr="00414AD1">
        <w:rPr>
          <w:rFonts w:ascii="Arial" w:hAnsi="Arial" w:cs="Arial"/>
          <w:sz w:val="24"/>
          <w:szCs w:val="24"/>
        </w:rPr>
        <w:lastRenderedPageBreak/>
        <w:t>оруулалтын 81 хувь, экспортын орлогын 94 хувь, төсвийн орлогын 34 хувийг тус тус бүрдүүлсэн.</w:t>
      </w:r>
    </w:p>
    <w:p w14:paraId="710AFEA6" w14:textId="77777777" w:rsidR="00B54536" w:rsidRPr="00414AD1" w:rsidRDefault="00B54536" w:rsidP="00B54536">
      <w:pPr>
        <w:spacing w:after="0" w:line="240" w:lineRule="auto"/>
        <w:ind w:firstLine="720"/>
        <w:jc w:val="both"/>
        <w:rPr>
          <w:rFonts w:ascii="Arial" w:hAnsi="Arial" w:cs="Arial"/>
          <w:sz w:val="24"/>
          <w:szCs w:val="24"/>
        </w:rPr>
      </w:pPr>
    </w:p>
    <w:p w14:paraId="4DD80BE8" w14:textId="77777777" w:rsidR="00B54536" w:rsidRPr="00414AD1" w:rsidRDefault="00B54536"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Гадаад худалдааны нийт бараа эргэлт 2025 оны эхний 2 сарын гүйцэтгэлээр 3,715.8 сая ам.долларт хүрч өнгөрсөн оны мөн үеэс 120.4 (3.1%) сая ам.доллароор буурсан байна. Экспорт, импортоос давамгайлж 294.0 сая ам.доллароор өссөн үзүүлэлттэй гарсан боловч экспортын орлого өмнөх оны мөн үеэс 235.4 (10.5%) сая ам.доллароор буурч 2,004.9 сая ам.долларын гүйцэтгэлтэй байна. </w:t>
      </w:r>
    </w:p>
    <w:p w14:paraId="744DA8CE" w14:textId="77777777" w:rsidR="00B54536" w:rsidRPr="00414AD1" w:rsidRDefault="00B54536" w:rsidP="00B54536">
      <w:pPr>
        <w:spacing w:after="0" w:line="240" w:lineRule="auto"/>
        <w:jc w:val="both"/>
        <w:rPr>
          <w:rFonts w:ascii="Arial" w:hAnsi="Arial" w:cs="Arial"/>
          <w:sz w:val="24"/>
          <w:szCs w:val="24"/>
        </w:rPr>
      </w:pPr>
    </w:p>
    <w:p w14:paraId="333D282C" w14:textId="77777777" w:rsidR="00B54536" w:rsidRPr="00414AD1" w:rsidRDefault="00B54536" w:rsidP="00B54536">
      <w:pPr>
        <w:spacing w:after="0" w:line="240" w:lineRule="auto"/>
        <w:ind w:firstLine="720"/>
        <w:jc w:val="both"/>
        <w:rPr>
          <w:rFonts w:ascii="Arial" w:hAnsi="Arial" w:cs="Arial"/>
          <w:sz w:val="24"/>
          <w:szCs w:val="24"/>
        </w:rPr>
      </w:pPr>
      <w:r w:rsidRPr="00414AD1">
        <w:rPr>
          <w:rFonts w:ascii="Arial" w:hAnsi="Arial" w:cs="Arial"/>
          <w:sz w:val="24"/>
          <w:szCs w:val="24"/>
        </w:rPr>
        <w:t>Одоогийн байдлаар уул уурхайн бүтээгдэхүүнийг спот, форвард гэрээний дагуу биржээр дамжуулан арилжиж байгаа бөгөөд 2023 оны 01 дүгээр сарын 12-ны өдрөөс 2025 оны 03 дугаар сарын 14-ний өдрийг хүртэл 43.0 сая тонн уул уурхайн бүтээгдэхүүнийг нийт 17.07 их наяд төгрөгөөр арилжаалаад байна. “Монголын хөрөнгийн бирж” ХК-д бүртгэлтэй уул уурхайн бүтээгдэхүүний худалдагч 21 компани, 471 гэрээ байгуулсан худалдан авагчид бүртгэлтэй байна. Уул уурхайн бүтээгдэхүүний биржийн арилжаагаар хамгийн их бүтээгдэхүүн арилжсан сар нь 2024 оны 04 дүгээр сард бөгөөд нийт 55 удаагийн арилжаагаар 4.2 сая тонн уул уурхайн бүтээгдэхүүнийг 951.5 тэрбум төгрөгөөр арилжаалсан байна.</w:t>
      </w:r>
    </w:p>
    <w:p w14:paraId="6251EBC2" w14:textId="569F2AE3" w:rsidR="00B54536" w:rsidRPr="00414AD1" w:rsidRDefault="00B54536"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 </w:t>
      </w:r>
    </w:p>
    <w:p w14:paraId="4FD91F80" w14:textId="3D92CE5F" w:rsidR="00B54536" w:rsidRPr="00414AD1" w:rsidRDefault="00B54536"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Уул уурхайн бүтээгдэхүүний биржийн арилжааны дүнгээс үзэхэд тухайн бүтээгдэхүүний эрэлт нэмэгдэж, үнэ өсөх үед арилжаа өссөн бөгөөд 2023 оны 12 дугаар сард нүүрсний үнэ </w:t>
      </w:r>
      <w:r w:rsidR="00425298" w:rsidRPr="00414AD1">
        <w:rPr>
          <w:rFonts w:ascii="Arial" w:hAnsi="Arial" w:cs="Arial"/>
          <w:sz w:val="24"/>
          <w:szCs w:val="24"/>
        </w:rPr>
        <w:t>816,000 төгрөг</w:t>
      </w:r>
      <w:r w:rsidRPr="00414AD1">
        <w:rPr>
          <w:rFonts w:ascii="Arial" w:hAnsi="Arial" w:cs="Arial"/>
          <w:sz w:val="24"/>
          <w:szCs w:val="24"/>
        </w:rPr>
        <w:t xml:space="preserve"> хүрэх үед биржийн арилжаагаар 1.9 их наяд төгрөгийн нүүрс арилжсан байна.  2025 оны 02 дугаар сарын байдлаар нүүрсний үнэ 3</w:t>
      </w:r>
      <w:r w:rsidR="00425298" w:rsidRPr="00414AD1">
        <w:rPr>
          <w:rFonts w:ascii="Arial" w:hAnsi="Arial" w:cs="Arial"/>
          <w:sz w:val="24"/>
          <w:szCs w:val="24"/>
        </w:rPr>
        <w:t>0</w:t>
      </w:r>
      <w:r w:rsidRPr="00414AD1">
        <w:rPr>
          <w:rFonts w:ascii="Arial" w:hAnsi="Arial" w:cs="Arial"/>
          <w:sz w:val="24"/>
          <w:szCs w:val="24"/>
        </w:rPr>
        <w:t xml:space="preserve">%-аар буурч </w:t>
      </w:r>
      <w:r w:rsidR="00425298" w:rsidRPr="00414AD1">
        <w:rPr>
          <w:rFonts w:ascii="Arial" w:hAnsi="Arial" w:cs="Arial"/>
          <w:sz w:val="24"/>
          <w:szCs w:val="24"/>
        </w:rPr>
        <w:t>568,800</w:t>
      </w:r>
      <w:r w:rsidRPr="00414AD1">
        <w:rPr>
          <w:rFonts w:ascii="Arial" w:hAnsi="Arial" w:cs="Arial"/>
          <w:sz w:val="24"/>
          <w:szCs w:val="24"/>
        </w:rPr>
        <w:t xml:space="preserve"> болоход биржийн арилжааны тоо өмнөх оны мөн үеэс 9 дахин буурсан байна. Уул уурхайн бүтээгдэхүүний биржээр 2024 оны 1 болон 2 дугаар сард нийт 3.9 сая тонн нүүрсийг 1.8 их наяд төгрөгөөр арилжаалж байсан ба тухайн хугацаанд нэг арилжаанд дунджаар 6 худалдан авагчид оролцдог байсан бол 2025 оны 1, 2 дугаар саруудад нийт 428.8 мянган тонн нүүрсийг 122.9 тэрбум төгрөгөөр арилжаалаад байгаа ба нэг арилжаанд дунджаар 1-2 худалдан авагчид оролцож байгаа нь эрэлт огцом буурсан байгааг илтгэж байна. </w:t>
      </w:r>
    </w:p>
    <w:p w14:paraId="58E0B1B8" w14:textId="77777777" w:rsidR="00B54536" w:rsidRPr="00414AD1" w:rsidRDefault="00B54536" w:rsidP="00B54536">
      <w:pPr>
        <w:spacing w:after="0" w:line="240" w:lineRule="auto"/>
        <w:ind w:firstLine="720"/>
        <w:jc w:val="both"/>
        <w:rPr>
          <w:rFonts w:ascii="Arial" w:hAnsi="Arial" w:cs="Arial"/>
          <w:sz w:val="24"/>
          <w:szCs w:val="24"/>
        </w:rPr>
      </w:pPr>
    </w:p>
    <w:p w14:paraId="27E07744" w14:textId="294BF5AB"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Уул уурхайн бүтээгдэхүүний биржийн тухай хуулийн дагуу дотоодын баяжуулах боловсруулах үйлдвэрт бүтээгдэхүүн нийлүүлэх эрх зүйн орчин тодорхой бус байгаагаас үүдэн ашиглалтын тусгай зөвшөөрөл эзэмшдэггүй баяжуулах боловсруулах үйлдвэрүүд түүхий эдийн хомсдолд орсноор үйл ажиллагаагаа хэвийн явуулахад хүндрэлтэй болж, зогсонги байдал үүсээд байна. Ашигт малтмал, газрын тосны газарт бүртгэгдсэнээр ашигт малтмалын ашиглалтын тусгай зөвшөөрөл эзэмшдэггүй нийт 47 (хайлуур жонш, нүүрс, төмрийн хүдрийн) баяжуулах үйлдвэр ашиглалтад орсон байна.   </w:t>
      </w:r>
    </w:p>
    <w:p w14:paraId="766186AB" w14:textId="77777777" w:rsidR="000611F6" w:rsidRPr="00414AD1" w:rsidRDefault="000611F6" w:rsidP="00B54536">
      <w:pPr>
        <w:spacing w:after="0" w:line="240" w:lineRule="auto"/>
        <w:ind w:firstLine="720"/>
        <w:jc w:val="both"/>
        <w:rPr>
          <w:rFonts w:ascii="Arial" w:hAnsi="Arial" w:cs="Arial"/>
          <w:sz w:val="24"/>
          <w:szCs w:val="24"/>
        </w:rPr>
      </w:pPr>
    </w:p>
    <w:p w14:paraId="694C25FF" w14:textId="7777777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Мөн уул уурхайн бүтээгдэхүүний чанар, эрэлт нийлүүлэлтийн харьцаанаас хамаарч бүтээгдэхүүний үнэ өөрчлөгдөх хэрэгцээ шаардлага үүсдэг. Гэвч биржээр арилжаалах уул уурхайн бүтээгдэхүүний үнэ тогтоох асуудлыг уян хатан бус, хатуу байдлаар зохицуулсны улмаас зарим гэрээний нийлүүлэлт хийгдэх боломжгүй болж, алдагдал хүлээх болсон. </w:t>
      </w:r>
    </w:p>
    <w:p w14:paraId="21CEA78D" w14:textId="77777777" w:rsidR="000611F6" w:rsidRPr="00414AD1" w:rsidRDefault="000611F6" w:rsidP="00B54536">
      <w:pPr>
        <w:spacing w:after="0" w:line="240" w:lineRule="auto"/>
        <w:ind w:firstLine="720"/>
        <w:jc w:val="both"/>
        <w:rPr>
          <w:rFonts w:ascii="Arial" w:hAnsi="Arial" w:cs="Arial"/>
          <w:sz w:val="24"/>
          <w:szCs w:val="24"/>
        </w:rPr>
      </w:pPr>
    </w:p>
    <w:p w14:paraId="295A8D9E" w14:textId="2C56946C" w:rsidR="00B841F7" w:rsidRPr="00414AD1" w:rsidRDefault="00B841F7" w:rsidP="00B54536">
      <w:pPr>
        <w:pStyle w:val="NormalWeb"/>
        <w:shd w:val="clear" w:color="auto" w:fill="FFFFFF"/>
        <w:spacing w:before="0" w:beforeAutospacing="0" w:after="0" w:afterAutospacing="0"/>
        <w:ind w:firstLine="720"/>
        <w:jc w:val="both"/>
        <w:textAlignment w:val="top"/>
        <w:rPr>
          <w:rFonts w:ascii="Arial" w:hAnsi="Arial" w:cs="Arial"/>
          <w:noProof/>
          <w:lang w:val="mn-MN"/>
        </w:rPr>
      </w:pPr>
      <w:r w:rsidRPr="00414AD1">
        <w:rPr>
          <w:rFonts w:ascii="Arial" w:eastAsia="Calibri" w:hAnsi="Arial" w:cs="Arial"/>
          <w:lang w:val="mn-MN"/>
        </w:rPr>
        <w:t>Түүнчлэн</w:t>
      </w:r>
      <w:r w:rsidR="003016A3">
        <w:rPr>
          <w:rFonts w:ascii="Arial" w:eastAsia="Calibri" w:hAnsi="Arial" w:cs="Arial"/>
          <w:lang w:val="mn-MN"/>
        </w:rPr>
        <w:t>,</w:t>
      </w:r>
      <w:r w:rsidRPr="00414AD1">
        <w:rPr>
          <w:rFonts w:ascii="Arial" w:eastAsia="Calibri" w:hAnsi="Arial" w:cs="Arial"/>
          <w:lang w:val="mn-MN"/>
        </w:rPr>
        <w:t xml:space="preserve"> </w:t>
      </w:r>
      <w:r w:rsidRPr="00414AD1">
        <w:rPr>
          <w:rFonts w:ascii="Arial" w:hAnsi="Arial" w:cs="Arial"/>
          <w:noProof/>
          <w:lang w:val="mn-MN"/>
        </w:rPr>
        <w:t>дэлхийн дахинд эрчим хүчний аюулгүй байдлыг хангах, уур амьсгалын өөрчлөлттэй тэмцэх хүрээнд цэвэр эрчим хүчний хэрэглээ өсөхийн хэрээр цацраг идэвхт ашигт малтмалын хэрэгцээ шаардлага нэмэгдэж байна. Үүнтэй холбогдуулан Засгийн газраас олборлолтод бэлтгэгдсэн цацраг идэвхт ашигт малтмалын ордуудыг эдийн засгийн эргэлтэд оруулахаар ажиллаж байна.</w:t>
      </w:r>
    </w:p>
    <w:p w14:paraId="11F7A20B" w14:textId="77777777" w:rsidR="00B841F7" w:rsidRPr="00414AD1" w:rsidRDefault="00B841F7" w:rsidP="00B54536">
      <w:pPr>
        <w:pStyle w:val="NormalWeb"/>
        <w:shd w:val="clear" w:color="auto" w:fill="FFFFFF"/>
        <w:spacing w:before="0" w:beforeAutospacing="0" w:after="0" w:afterAutospacing="0"/>
        <w:ind w:firstLine="720"/>
        <w:jc w:val="both"/>
        <w:textAlignment w:val="top"/>
        <w:rPr>
          <w:rFonts w:ascii="Arial" w:hAnsi="Arial" w:cs="Arial"/>
          <w:strike/>
          <w:noProof/>
          <w:lang w:val="mn-MN"/>
        </w:rPr>
      </w:pPr>
    </w:p>
    <w:p w14:paraId="641049F3" w14:textId="77777777" w:rsidR="00B841F7" w:rsidRPr="00414AD1" w:rsidRDefault="00B841F7" w:rsidP="00B54536">
      <w:pPr>
        <w:spacing w:after="0" w:line="240" w:lineRule="auto"/>
        <w:ind w:firstLine="720"/>
        <w:jc w:val="both"/>
        <w:rPr>
          <w:rFonts w:ascii="Arial" w:hAnsi="Arial" w:cs="Arial"/>
          <w:noProof/>
          <w:sz w:val="24"/>
          <w:szCs w:val="24"/>
        </w:rPr>
      </w:pPr>
      <w:r w:rsidRPr="00414AD1">
        <w:rPr>
          <w:rFonts w:ascii="Arial" w:hAnsi="Arial" w:cs="Arial"/>
          <w:noProof/>
          <w:sz w:val="24"/>
          <w:szCs w:val="24"/>
        </w:rPr>
        <w:lastRenderedPageBreak/>
        <w:t>Монгол Улс цацраг идэвхт ашигт малтмалын борлуулалтын мэдээ, тайланг олон улсын гэрээ конвенцоор хүлээсэн үүргийн дагуу Олон Улсын Атомын Энергийн Агентлагт хүргүүлэх шаардлагатай бөгөөд энэ хүрээнд цацраг идэвхт ашигт малтмалын тусгай зөвшөөрөл олгох, үйл ажиллагаанд хяналт тавих харилцааг боловсронгуй болгох, шат дамжлагыг бууруулах, нэгдсэн тогтолцоонд оруулах шаардлагатай байна.</w:t>
      </w:r>
    </w:p>
    <w:p w14:paraId="5FF1D3D4" w14:textId="77777777" w:rsidR="00B841F7" w:rsidRPr="00414AD1" w:rsidRDefault="00B841F7" w:rsidP="00B54536">
      <w:pPr>
        <w:spacing w:after="0" w:line="240" w:lineRule="auto"/>
        <w:jc w:val="both"/>
        <w:rPr>
          <w:rFonts w:ascii="Arial" w:hAnsi="Arial" w:cs="Arial"/>
          <w:sz w:val="24"/>
          <w:szCs w:val="24"/>
        </w:rPr>
      </w:pPr>
    </w:p>
    <w:p w14:paraId="5B586313" w14:textId="77777777" w:rsidR="00B841F7" w:rsidRPr="00414AD1" w:rsidRDefault="00B841F7" w:rsidP="000611F6">
      <w:pPr>
        <w:spacing w:after="0" w:line="240" w:lineRule="auto"/>
        <w:ind w:firstLine="720"/>
        <w:jc w:val="both"/>
        <w:rPr>
          <w:rFonts w:ascii="Arial" w:hAnsi="Arial" w:cs="Arial"/>
          <w:b/>
          <w:bCs/>
          <w:sz w:val="24"/>
          <w:szCs w:val="24"/>
        </w:rPr>
      </w:pPr>
      <w:r w:rsidRPr="00414AD1">
        <w:rPr>
          <w:rFonts w:ascii="Arial" w:hAnsi="Arial" w:cs="Arial"/>
          <w:b/>
          <w:bCs/>
          <w:sz w:val="24"/>
          <w:szCs w:val="24"/>
        </w:rPr>
        <w:t>Хоёр. Хуулийн төслийн бүтэц, зохицуулах харилцаа, хамрах хүрээ</w:t>
      </w:r>
    </w:p>
    <w:p w14:paraId="358938C1" w14:textId="77777777" w:rsidR="000611F6" w:rsidRPr="00414AD1" w:rsidRDefault="000611F6" w:rsidP="00B54536">
      <w:pPr>
        <w:spacing w:after="0" w:line="240" w:lineRule="auto"/>
        <w:jc w:val="both"/>
        <w:rPr>
          <w:rFonts w:ascii="Arial" w:hAnsi="Arial" w:cs="Arial"/>
          <w:b/>
          <w:bCs/>
          <w:sz w:val="24"/>
          <w:szCs w:val="24"/>
        </w:rPr>
      </w:pPr>
    </w:p>
    <w:p w14:paraId="68DDC1CB" w14:textId="32AA6130"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Уул уурхайн бүтээгдэхүүний биржийн тухай хуульд нэмэлт, өөрчлөлт оруулах тухай хуулийн төслийг дараах </w:t>
      </w:r>
      <w:r w:rsidR="00337232" w:rsidRPr="00414AD1">
        <w:rPr>
          <w:rFonts w:ascii="Arial" w:hAnsi="Arial" w:cs="Arial"/>
          <w:sz w:val="24"/>
          <w:szCs w:val="24"/>
        </w:rPr>
        <w:t>3</w:t>
      </w:r>
      <w:r w:rsidRPr="00414AD1">
        <w:rPr>
          <w:rFonts w:ascii="Arial" w:hAnsi="Arial" w:cs="Arial"/>
          <w:sz w:val="24"/>
          <w:szCs w:val="24"/>
        </w:rPr>
        <w:t xml:space="preserve"> зүйлтэйгээр боловсрууллаа. Үүнд:</w:t>
      </w:r>
    </w:p>
    <w:p w14:paraId="4BA84BB3" w14:textId="77777777" w:rsidR="000611F6" w:rsidRPr="00414AD1" w:rsidRDefault="000611F6" w:rsidP="00B54536">
      <w:pPr>
        <w:spacing w:after="0" w:line="240" w:lineRule="auto"/>
        <w:ind w:firstLine="720"/>
        <w:jc w:val="both"/>
        <w:rPr>
          <w:rFonts w:ascii="Arial" w:hAnsi="Arial" w:cs="Arial"/>
          <w:sz w:val="24"/>
          <w:szCs w:val="24"/>
        </w:rPr>
      </w:pPr>
    </w:p>
    <w:p w14:paraId="1E60662F" w14:textId="1D41145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1 дүгээр зүйлд төрийн болон орон нутгийн өмчит, төрийн болон орон нутгийн өмчийн оролцоотой хуулийн этгээд нь боловсруулалт, баяжуулалт хийхгүйгээр   дамжуулан борлуулалт хийхээс бусад тохиолдолд дотоодын баяжуулах, боловсруулах үйлдвэрүүдэд уул уурхайн бүтээгдэхүүний боловсруулалтын түвшинг нэмэгдүүлэх зорилгоор биржээр дамжуулан арилжих, мөн уул уурхайн бүтээгдэхүүний чанар болон зах зээлийн үнийн индексийн хөдөлгөөнд тулгуурлан гэрээний үнэд өөрчлөлт оруулах талаар гэрээнд тусгах, мөн </w:t>
      </w:r>
      <w:r w:rsidRPr="00414AD1">
        <w:rPr>
          <w:rFonts w:ascii="Arial" w:hAnsi="Arial" w:cs="Arial"/>
          <w:b/>
          <w:sz w:val="24"/>
          <w:szCs w:val="24"/>
        </w:rPr>
        <w:t>у</w:t>
      </w:r>
      <w:r w:rsidRPr="00414AD1">
        <w:rPr>
          <w:rFonts w:ascii="Arial" w:hAnsi="Arial" w:cs="Arial"/>
          <w:sz w:val="24"/>
          <w:szCs w:val="24"/>
        </w:rPr>
        <w:t>ул уурхайн бүтээгдэхүүнийг биржээр дамжуулан дотоодын баяжуулах, боловсруулах үйлдвэрүүдэд арилжих журам болон үнэд өөрчлөлт оруулахтай холбогдох аргачлалыг Засгийн газар батлах тухай, цацраг идэвхт ашигт малтмалын борлуулалтын талаар мэдээллийг Цөмийн энергийн асуудал эрхэлсэн төрийн захиргааны байгууллага нэгтгэн хяналт тавьж, Олон Улсын Атомын Энергийн агентлагт хүргүүлэх</w:t>
      </w:r>
      <w:r w:rsidR="00623BFB" w:rsidRPr="00414AD1">
        <w:rPr>
          <w:rFonts w:ascii="Arial" w:hAnsi="Arial" w:cs="Arial"/>
          <w:sz w:val="24"/>
          <w:szCs w:val="24"/>
        </w:rPr>
        <w:t xml:space="preserve"> </w:t>
      </w:r>
      <w:r w:rsidRPr="00414AD1">
        <w:rPr>
          <w:rFonts w:ascii="Arial" w:hAnsi="Arial" w:cs="Arial"/>
          <w:sz w:val="24"/>
          <w:szCs w:val="24"/>
        </w:rPr>
        <w:t xml:space="preserve">зэрэг зохицуулалтыг тус тус хуулийн төсөлд нэмж оруулахаар боловсруулсан. </w:t>
      </w:r>
    </w:p>
    <w:p w14:paraId="796D60A0" w14:textId="77777777" w:rsidR="000611F6" w:rsidRPr="00414AD1" w:rsidRDefault="000611F6" w:rsidP="00B54536">
      <w:pPr>
        <w:spacing w:after="0" w:line="240" w:lineRule="auto"/>
        <w:ind w:firstLine="720"/>
        <w:jc w:val="both"/>
        <w:rPr>
          <w:rFonts w:ascii="Arial" w:hAnsi="Arial" w:cs="Arial"/>
          <w:sz w:val="24"/>
          <w:szCs w:val="24"/>
        </w:rPr>
      </w:pPr>
    </w:p>
    <w:p w14:paraId="733CDFF4" w14:textId="7777777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2 дугаар зүйлд Уул уурхайн бүтээгдэхүүний биржийн тухай хуулийн 10 дугаар зүйлийн 10.3 дахь хэсэг болон 14 дүгээр зүйлийн 14.1 дэх хэсгийн зохицуулалтыг өөрчлөн найруулсан. Энэ хүрээнд стратегийн орд эзэмшигч төрийн өмчит болон төрийн өмчийн оролцоотой хуулийн этгээд нь харилцан ашигтай, тогтвортой, урт хугацаанд бүтээгдэхүүн худалдах гэрээг байгуулах тохиолдолд Монгол Улсын Их Хурлын шийдвэрийн дагуу байгуулах, мөн биржийн арилжааны үнийг Олон Улсын худалдааны танхимаас гаргасан худалдааны нөхцөлөөр зарлах тухай зохицуулалтуудыг тус тус тусгасан. </w:t>
      </w:r>
    </w:p>
    <w:p w14:paraId="2A3F6775" w14:textId="77777777" w:rsidR="000611F6" w:rsidRPr="00414AD1" w:rsidRDefault="000611F6" w:rsidP="00B54536">
      <w:pPr>
        <w:spacing w:after="0" w:line="240" w:lineRule="auto"/>
        <w:ind w:firstLine="720"/>
        <w:jc w:val="both"/>
        <w:rPr>
          <w:rFonts w:ascii="Arial" w:hAnsi="Arial" w:cs="Arial"/>
          <w:sz w:val="24"/>
          <w:szCs w:val="24"/>
        </w:rPr>
      </w:pPr>
    </w:p>
    <w:p w14:paraId="209A66BF" w14:textId="4A167734" w:rsidR="00B841F7" w:rsidRPr="00414AD1" w:rsidRDefault="00B841F7" w:rsidP="00623BFB">
      <w:pPr>
        <w:spacing w:after="0" w:line="240" w:lineRule="auto"/>
        <w:ind w:firstLine="720"/>
        <w:jc w:val="both"/>
        <w:rPr>
          <w:rFonts w:ascii="Arial" w:hAnsi="Arial" w:cs="Arial"/>
          <w:sz w:val="24"/>
          <w:szCs w:val="24"/>
        </w:rPr>
      </w:pPr>
      <w:r w:rsidRPr="00414AD1">
        <w:rPr>
          <w:rFonts w:ascii="Arial" w:hAnsi="Arial" w:cs="Arial"/>
          <w:sz w:val="24"/>
          <w:szCs w:val="24"/>
        </w:rPr>
        <w:t>3 дугаар зүйлд Уул уурхайн бүтээгдэхүүний биржийн тухай хуульд оруулж байгаа нэмэлт, өөрчлөлттэй холбогдуулан тус хуулийн 10 дугаар зүйлийн 10.4 дэх хэсгийг хүчингүй болгохоор тусгасан.</w:t>
      </w:r>
    </w:p>
    <w:p w14:paraId="5E6462C6" w14:textId="77777777" w:rsidR="00B841F7" w:rsidRPr="00414AD1" w:rsidRDefault="00B841F7" w:rsidP="00B54536">
      <w:pPr>
        <w:spacing w:after="0" w:line="240" w:lineRule="auto"/>
        <w:ind w:firstLine="720"/>
        <w:jc w:val="both"/>
        <w:rPr>
          <w:rFonts w:ascii="Arial" w:hAnsi="Arial" w:cs="Arial"/>
          <w:sz w:val="24"/>
          <w:szCs w:val="24"/>
        </w:rPr>
      </w:pPr>
    </w:p>
    <w:p w14:paraId="4C2E1CA9" w14:textId="77777777" w:rsidR="00B841F7" w:rsidRPr="00414AD1" w:rsidRDefault="00B841F7" w:rsidP="000611F6">
      <w:pPr>
        <w:spacing w:after="0" w:line="240" w:lineRule="auto"/>
        <w:ind w:firstLine="720"/>
        <w:jc w:val="both"/>
        <w:rPr>
          <w:rFonts w:ascii="Arial" w:hAnsi="Arial" w:cs="Arial"/>
          <w:b/>
          <w:bCs/>
          <w:sz w:val="24"/>
          <w:szCs w:val="24"/>
        </w:rPr>
      </w:pPr>
      <w:r w:rsidRPr="00414AD1">
        <w:rPr>
          <w:rFonts w:ascii="Arial" w:hAnsi="Arial" w:cs="Arial"/>
          <w:b/>
          <w:bCs/>
          <w:sz w:val="24"/>
          <w:szCs w:val="24"/>
        </w:rPr>
        <w:t>Гурав. Хуулийн төсөл батлагдсанаар хүлээгдэж буй үр дүн</w:t>
      </w:r>
    </w:p>
    <w:p w14:paraId="46807452" w14:textId="77777777" w:rsidR="000611F6" w:rsidRPr="00414AD1" w:rsidRDefault="000611F6" w:rsidP="00B54536">
      <w:pPr>
        <w:spacing w:after="0" w:line="240" w:lineRule="auto"/>
        <w:jc w:val="both"/>
        <w:rPr>
          <w:rFonts w:ascii="Arial" w:hAnsi="Arial" w:cs="Arial"/>
          <w:b/>
          <w:bCs/>
          <w:sz w:val="24"/>
          <w:szCs w:val="24"/>
        </w:rPr>
      </w:pPr>
    </w:p>
    <w:p w14:paraId="200E4F92" w14:textId="7777777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Уул уурхайн бүтээгдэхүүний биржийн тухай хуульд нэмэлт, өөрчлөлт оруулах тухай хуулийн төсөл батлагдсанаар нийгэмд эдийн засагт дараах эерэг үр дагаврууд бий болно. Үүнд:</w:t>
      </w:r>
    </w:p>
    <w:p w14:paraId="6A6243E2" w14:textId="77777777" w:rsidR="000611F6" w:rsidRPr="00414AD1" w:rsidRDefault="000611F6" w:rsidP="00B54536">
      <w:pPr>
        <w:spacing w:after="0" w:line="240" w:lineRule="auto"/>
        <w:ind w:firstLine="720"/>
        <w:jc w:val="both"/>
        <w:rPr>
          <w:rFonts w:ascii="Arial" w:hAnsi="Arial" w:cs="Arial"/>
          <w:sz w:val="24"/>
          <w:szCs w:val="24"/>
        </w:rPr>
      </w:pPr>
    </w:p>
    <w:p w14:paraId="600F5526" w14:textId="7777777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Уул уурхайн бүтээгдэхүүнийг биржээр арилжаалах зохицуулалт сайжирснаар  биржийн амжилттай арилжааны тоо нэмэгдэн, уул уурхайн бүтээгдэхүүний борлуулалт нэмэгдэнэ.</w:t>
      </w:r>
    </w:p>
    <w:p w14:paraId="791B7778" w14:textId="77777777" w:rsidR="006F79E8" w:rsidRPr="00414AD1" w:rsidRDefault="006F79E8" w:rsidP="00B54536">
      <w:pPr>
        <w:spacing w:after="0" w:line="240" w:lineRule="auto"/>
        <w:ind w:firstLine="720"/>
        <w:jc w:val="both"/>
        <w:rPr>
          <w:rFonts w:ascii="Arial" w:hAnsi="Arial" w:cs="Arial"/>
          <w:sz w:val="24"/>
          <w:szCs w:val="24"/>
        </w:rPr>
      </w:pPr>
    </w:p>
    <w:p w14:paraId="47428D16" w14:textId="7777777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Дотоодын баяжуулах, боловсруулах үйлдвэрүүдэд түүхий эд нийлүүлэх зохицуулалтыг бий болгосноор ашиглалтын тусгай зөвшөөрөл эзэмшдэггүй баяжуулах боловсруулах үйлдвэрүүдийн үйл ажиллагаа явуулах нөхцөл, ажлын байрны тоо, </w:t>
      </w:r>
      <w:r w:rsidRPr="00414AD1">
        <w:rPr>
          <w:rFonts w:ascii="Arial" w:hAnsi="Arial" w:cs="Arial"/>
          <w:sz w:val="24"/>
          <w:szCs w:val="24"/>
        </w:rPr>
        <w:lastRenderedPageBreak/>
        <w:t xml:space="preserve">нэмүү өртөг шингэсэн бүтээгдэхүүний гарц нэмэгдэнэ. Ингэснээр “Монгол Улсын Засгийн газрын 2024-2028 оны үйл ажиллагааны хөтөлбөр”-т тусгагдсан “нүүрс-хими, кокс химийн цогцолборын төсөл, гангийн цогцолборын төсөл” зэрэг төслүүд хэрэгжих нөхцөлийг бүрдэнэ. </w:t>
      </w:r>
    </w:p>
    <w:p w14:paraId="7D3E1F33" w14:textId="77777777" w:rsidR="000611F6" w:rsidRPr="00414AD1" w:rsidRDefault="000611F6" w:rsidP="00B54536">
      <w:pPr>
        <w:spacing w:after="0" w:line="240" w:lineRule="auto"/>
        <w:ind w:firstLine="720"/>
        <w:jc w:val="both"/>
        <w:rPr>
          <w:rFonts w:ascii="Arial" w:hAnsi="Arial" w:cs="Arial"/>
          <w:sz w:val="24"/>
          <w:szCs w:val="24"/>
        </w:rPr>
      </w:pPr>
    </w:p>
    <w:p w14:paraId="5F2B6F9D" w14:textId="5595C2AF" w:rsidR="00B841F7" w:rsidRPr="00414AD1" w:rsidRDefault="00B841F7" w:rsidP="00B54536">
      <w:pPr>
        <w:spacing w:after="0" w:line="240" w:lineRule="auto"/>
        <w:ind w:firstLine="720"/>
        <w:jc w:val="both"/>
        <w:rPr>
          <w:rFonts w:ascii="Arial" w:hAnsi="Arial" w:cs="Arial"/>
          <w:noProof/>
          <w:sz w:val="24"/>
          <w:szCs w:val="24"/>
        </w:rPr>
      </w:pPr>
      <w:r w:rsidRPr="00414AD1">
        <w:rPr>
          <w:rFonts w:ascii="Arial" w:hAnsi="Arial" w:cs="Arial"/>
          <w:noProof/>
          <w:sz w:val="24"/>
          <w:szCs w:val="24"/>
        </w:rPr>
        <w:t xml:space="preserve">Цацраг идэвхт ашигт малтмалыг эдийн засгийн эргэлтэд оруулах, борлуулах, хяналт тавих эрх зүйн орчин сайжирч, Олон Улсын Атомын Энергийн Агентлагтай байгуулсан хэлэлцээрийн хэрэгжилт хангагдана. </w:t>
      </w:r>
    </w:p>
    <w:p w14:paraId="2065C616" w14:textId="77777777" w:rsidR="00B841F7" w:rsidRPr="00414AD1" w:rsidRDefault="00B841F7" w:rsidP="009647A1">
      <w:pPr>
        <w:spacing w:after="0" w:line="240" w:lineRule="auto"/>
        <w:jc w:val="both"/>
        <w:rPr>
          <w:rFonts w:ascii="Arial" w:hAnsi="Arial" w:cs="Arial"/>
          <w:noProof/>
          <w:sz w:val="24"/>
          <w:szCs w:val="24"/>
        </w:rPr>
      </w:pPr>
    </w:p>
    <w:p w14:paraId="7B6CEA9E" w14:textId="77777777"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Монгол Улсын Засгийн газар, Бүгд Найрамдах Хятад Ард Улсын Засгийн газар хоорондын “Гашуунсухайт-Ганцмод боомтын хил дамнасан төмөр зам, нүүрсний худалдаа, Тавантолгойн нүүрсний уурхайн хүчин чадлын нэмэгдүүлэх хамтын ажиллагааны тухай” хэлэлцээрийн хэрэгжилт хангагдах нөхцөл бүрдэнэ.</w:t>
      </w:r>
    </w:p>
    <w:p w14:paraId="523FE9FF" w14:textId="77777777" w:rsidR="000611F6" w:rsidRPr="00414AD1" w:rsidRDefault="000611F6" w:rsidP="00B54536">
      <w:pPr>
        <w:spacing w:after="0" w:line="240" w:lineRule="auto"/>
        <w:ind w:firstLine="720"/>
        <w:jc w:val="both"/>
        <w:rPr>
          <w:rFonts w:ascii="Arial" w:hAnsi="Arial" w:cs="Arial"/>
          <w:sz w:val="24"/>
          <w:szCs w:val="24"/>
        </w:rPr>
      </w:pPr>
    </w:p>
    <w:p w14:paraId="1C71AB2F" w14:textId="4F09217D"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sz w:val="24"/>
          <w:szCs w:val="24"/>
        </w:rPr>
        <w:t xml:space="preserve">Мөн </w:t>
      </w:r>
      <w:r w:rsidR="003016A3">
        <w:rPr>
          <w:rFonts w:ascii="Arial" w:hAnsi="Arial" w:cs="Arial"/>
          <w:sz w:val="24"/>
          <w:szCs w:val="24"/>
        </w:rPr>
        <w:t>т</w:t>
      </w:r>
      <w:r w:rsidRPr="00414AD1">
        <w:rPr>
          <w:rFonts w:ascii="Arial" w:hAnsi="Arial" w:cs="Arial"/>
          <w:sz w:val="24"/>
          <w:szCs w:val="24"/>
        </w:rPr>
        <w:t>өрийн болон орон нутгийн өмчит, төрийн болон орон нутгийн өмчийн оролцоотой хуулийн этгээдийн борлуулах уул уурхайн бүтээгдэхүүний хэмжээ нэмэгдэж, Үндэсний баялгийн санг арвижуулах нөхцөл бүрдэнэ.</w:t>
      </w:r>
    </w:p>
    <w:p w14:paraId="4FC0E03F" w14:textId="77777777" w:rsidR="00B841F7" w:rsidRPr="00414AD1" w:rsidRDefault="00B841F7" w:rsidP="00B54536">
      <w:pPr>
        <w:spacing w:after="0" w:line="240" w:lineRule="auto"/>
        <w:ind w:firstLine="720"/>
        <w:jc w:val="both"/>
        <w:rPr>
          <w:rFonts w:ascii="Arial" w:hAnsi="Arial" w:cs="Arial"/>
          <w:sz w:val="24"/>
          <w:szCs w:val="24"/>
        </w:rPr>
      </w:pPr>
    </w:p>
    <w:p w14:paraId="3567B73D" w14:textId="77777777" w:rsidR="00B841F7" w:rsidRPr="00414AD1" w:rsidRDefault="00B841F7" w:rsidP="000611F6">
      <w:pPr>
        <w:spacing w:after="0" w:line="240" w:lineRule="auto"/>
        <w:ind w:firstLine="720"/>
        <w:jc w:val="both"/>
        <w:rPr>
          <w:rFonts w:ascii="Arial" w:hAnsi="Arial" w:cs="Arial"/>
          <w:b/>
          <w:bCs/>
          <w:sz w:val="24"/>
          <w:szCs w:val="24"/>
        </w:rPr>
      </w:pPr>
      <w:r w:rsidRPr="00414AD1">
        <w:rPr>
          <w:rFonts w:ascii="Arial" w:hAnsi="Arial" w:cs="Arial"/>
          <w:b/>
          <w:bCs/>
          <w:sz w:val="24"/>
          <w:szCs w:val="24"/>
        </w:rPr>
        <w:t>Дөрөв. Дагалдаж өөрчлөлт оруулах хууль тогтоомжийн төсөл</w:t>
      </w:r>
    </w:p>
    <w:p w14:paraId="2A3F0681" w14:textId="77777777" w:rsidR="000611F6" w:rsidRPr="00414AD1" w:rsidRDefault="000611F6" w:rsidP="000611F6">
      <w:pPr>
        <w:spacing w:after="0" w:line="240" w:lineRule="auto"/>
        <w:ind w:firstLine="720"/>
        <w:jc w:val="both"/>
        <w:rPr>
          <w:rFonts w:ascii="Arial" w:hAnsi="Arial" w:cs="Arial"/>
          <w:b/>
          <w:bCs/>
          <w:sz w:val="24"/>
          <w:szCs w:val="24"/>
        </w:rPr>
      </w:pPr>
    </w:p>
    <w:p w14:paraId="66ED7DA5" w14:textId="220581D2" w:rsidR="00B841F7" w:rsidRPr="00414AD1" w:rsidRDefault="00B841F7" w:rsidP="00B54536">
      <w:pPr>
        <w:spacing w:after="0" w:line="240" w:lineRule="auto"/>
        <w:ind w:firstLine="720"/>
        <w:jc w:val="both"/>
        <w:rPr>
          <w:rFonts w:ascii="Arial" w:hAnsi="Arial" w:cs="Arial"/>
          <w:sz w:val="24"/>
          <w:szCs w:val="24"/>
        </w:rPr>
      </w:pPr>
      <w:bookmarkStart w:id="0" w:name="_Hlk187593171"/>
      <w:r w:rsidRPr="00414AD1">
        <w:rPr>
          <w:rFonts w:ascii="Arial" w:hAnsi="Arial" w:cs="Arial"/>
          <w:sz w:val="24"/>
          <w:szCs w:val="24"/>
        </w:rPr>
        <w:t>Уул уурхайн бүтээгдэхүүний биржийн тухай хуул</w:t>
      </w:r>
      <w:r w:rsidR="003016A3">
        <w:rPr>
          <w:rFonts w:ascii="Arial" w:hAnsi="Arial" w:cs="Arial"/>
          <w:sz w:val="24"/>
          <w:szCs w:val="24"/>
        </w:rPr>
        <w:t>ьд нэмэлт, өөрчлөлт оруулах тухай хуулийн</w:t>
      </w:r>
      <w:r w:rsidRPr="00414AD1">
        <w:rPr>
          <w:rFonts w:ascii="Arial" w:hAnsi="Arial" w:cs="Arial"/>
          <w:sz w:val="24"/>
          <w:szCs w:val="24"/>
        </w:rPr>
        <w:t xml:space="preserve"> төслийг Монгол Улсын Үндсэн хууль, Монгол Улсын нэгдэн орсон олон улсын гэрээ, конвенц болон бусад хууль тогтоомжтой нийцүүлэн, Хууль тогтоомжийн тухай хуулийн дагуу боловсрууллаа.</w:t>
      </w:r>
    </w:p>
    <w:p w14:paraId="75F2DB29" w14:textId="77777777" w:rsidR="000611F6" w:rsidRPr="00414AD1" w:rsidRDefault="000611F6" w:rsidP="00ED2E66">
      <w:pPr>
        <w:spacing w:after="0" w:line="240" w:lineRule="auto"/>
        <w:jc w:val="both"/>
        <w:rPr>
          <w:rFonts w:ascii="Arial" w:hAnsi="Arial" w:cs="Arial"/>
          <w:sz w:val="24"/>
          <w:szCs w:val="24"/>
        </w:rPr>
      </w:pPr>
    </w:p>
    <w:bookmarkEnd w:id="0"/>
    <w:p w14:paraId="3FF9FEA7" w14:textId="77777777" w:rsidR="00B841F7" w:rsidRPr="00414AD1" w:rsidRDefault="00B841F7" w:rsidP="00B54536">
      <w:pPr>
        <w:spacing w:after="0" w:line="240" w:lineRule="auto"/>
        <w:ind w:firstLine="720"/>
        <w:jc w:val="both"/>
        <w:rPr>
          <w:rFonts w:ascii="Arial" w:hAnsi="Arial" w:cs="Arial"/>
          <w:b/>
          <w:bCs/>
          <w:sz w:val="24"/>
          <w:szCs w:val="24"/>
        </w:rPr>
      </w:pPr>
      <w:r w:rsidRPr="00414AD1">
        <w:rPr>
          <w:rFonts w:ascii="Arial" w:hAnsi="Arial" w:cs="Arial"/>
          <w:b/>
          <w:bCs/>
          <w:sz w:val="24"/>
          <w:szCs w:val="24"/>
        </w:rPr>
        <w:t>Цөмийн энергийн тухай хуульд өөрчлөлт оруулах тухай хуулийн төсөл</w:t>
      </w:r>
    </w:p>
    <w:p w14:paraId="073C1BFC" w14:textId="77777777" w:rsidR="000611F6" w:rsidRPr="00414AD1" w:rsidRDefault="000611F6" w:rsidP="00B54536">
      <w:pPr>
        <w:spacing w:after="0" w:line="240" w:lineRule="auto"/>
        <w:ind w:firstLine="720"/>
        <w:jc w:val="both"/>
        <w:rPr>
          <w:rFonts w:ascii="Arial" w:hAnsi="Arial" w:cs="Arial"/>
          <w:b/>
          <w:bCs/>
          <w:sz w:val="24"/>
          <w:szCs w:val="24"/>
        </w:rPr>
      </w:pPr>
    </w:p>
    <w:p w14:paraId="45592A8F" w14:textId="677A5D33" w:rsidR="000611F6" w:rsidRPr="00414AD1" w:rsidRDefault="000611F6" w:rsidP="000611F6">
      <w:pPr>
        <w:spacing w:after="0" w:line="240" w:lineRule="auto"/>
        <w:ind w:firstLine="720"/>
        <w:jc w:val="both"/>
        <w:rPr>
          <w:rFonts w:ascii="Arial" w:hAnsi="Arial" w:cs="Arial"/>
          <w:noProof/>
          <w:sz w:val="24"/>
          <w:szCs w:val="24"/>
        </w:rPr>
      </w:pPr>
      <w:r w:rsidRPr="00414AD1">
        <w:rPr>
          <w:rFonts w:ascii="Arial" w:hAnsi="Arial" w:cs="Arial"/>
          <w:noProof/>
          <w:sz w:val="24"/>
          <w:szCs w:val="24"/>
        </w:rPr>
        <w:t>Уул уурхайн бүтээгдэхүүний биржийн тухай хуульд нэмэлт, өөрчлөлт оруулах тухай хуулийн төсөлтэй уялдуулан Цөмийн энергийн тухай хуульд Цөмийн энергийн асуудал эрхэлсэн төрийн захиргааны байгууллаг</w:t>
      </w:r>
      <w:r w:rsidR="00C7179C" w:rsidRPr="00414AD1">
        <w:rPr>
          <w:rFonts w:ascii="Arial" w:hAnsi="Arial" w:cs="Arial"/>
          <w:noProof/>
          <w:sz w:val="24"/>
          <w:szCs w:val="24"/>
        </w:rPr>
        <w:t xml:space="preserve">ыг </w:t>
      </w:r>
      <w:r w:rsidRPr="00414AD1">
        <w:rPr>
          <w:rFonts w:ascii="Arial" w:hAnsi="Arial" w:cs="Arial"/>
          <w:noProof/>
          <w:sz w:val="24"/>
          <w:szCs w:val="24"/>
        </w:rPr>
        <w:t xml:space="preserve">байгуулах эрх зүйн </w:t>
      </w:r>
      <w:r w:rsidR="003016A3">
        <w:rPr>
          <w:rFonts w:ascii="Arial" w:hAnsi="Arial" w:cs="Arial"/>
          <w:noProof/>
          <w:sz w:val="24"/>
          <w:szCs w:val="24"/>
        </w:rPr>
        <w:t>үндсийг</w:t>
      </w:r>
      <w:r w:rsidRPr="00414AD1">
        <w:rPr>
          <w:rFonts w:ascii="Arial" w:hAnsi="Arial" w:cs="Arial"/>
          <w:noProof/>
          <w:sz w:val="24"/>
          <w:szCs w:val="24"/>
        </w:rPr>
        <w:t xml:space="preserve"> бүрдүүлэх </w:t>
      </w:r>
      <w:r w:rsidR="00C7179C" w:rsidRPr="00414AD1">
        <w:rPr>
          <w:rFonts w:ascii="Arial" w:hAnsi="Arial" w:cs="Arial"/>
          <w:noProof/>
          <w:sz w:val="24"/>
          <w:szCs w:val="24"/>
        </w:rPr>
        <w:t xml:space="preserve">талаар тусгана. </w:t>
      </w:r>
    </w:p>
    <w:p w14:paraId="72D1D17A" w14:textId="77777777" w:rsidR="000611F6" w:rsidRPr="00414AD1" w:rsidRDefault="000611F6" w:rsidP="00C7179C">
      <w:pPr>
        <w:spacing w:after="0" w:line="240" w:lineRule="auto"/>
        <w:jc w:val="both"/>
        <w:rPr>
          <w:rFonts w:ascii="Arial" w:hAnsi="Arial" w:cs="Arial"/>
          <w:noProof/>
          <w:sz w:val="24"/>
          <w:szCs w:val="24"/>
        </w:rPr>
      </w:pPr>
    </w:p>
    <w:p w14:paraId="240B84CA" w14:textId="43956913" w:rsidR="00C7179C" w:rsidRPr="00414AD1" w:rsidRDefault="00C7179C" w:rsidP="00B54536">
      <w:pPr>
        <w:spacing w:after="0" w:line="240" w:lineRule="auto"/>
        <w:ind w:firstLine="720"/>
        <w:jc w:val="both"/>
        <w:rPr>
          <w:rFonts w:ascii="Arial" w:hAnsi="Arial" w:cs="Arial"/>
          <w:noProof/>
          <w:sz w:val="24"/>
          <w:szCs w:val="24"/>
        </w:rPr>
      </w:pPr>
      <w:r w:rsidRPr="00414AD1">
        <w:rPr>
          <w:rFonts w:ascii="Arial" w:hAnsi="Arial" w:cs="Arial"/>
          <w:noProof/>
          <w:sz w:val="24"/>
          <w:szCs w:val="24"/>
        </w:rPr>
        <w:t>Мөн ц</w:t>
      </w:r>
      <w:r w:rsidR="00B841F7" w:rsidRPr="00414AD1">
        <w:rPr>
          <w:rFonts w:ascii="Arial" w:hAnsi="Arial" w:cs="Arial"/>
          <w:noProof/>
          <w:sz w:val="24"/>
          <w:szCs w:val="24"/>
        </w:rPr>
        <w:t xml:space="preserve">ацраг идэвхт ашигт малтмалын </w:t>
      </w:r>
      <w:r w:rsidRPr="00414AD1">
        <w:rPr>
          <w:rFonts w:ascii="Arial" w:hAnsi="Arial" w:cs="Arial"/>
          <w:noProof/>
          <w:sz w:val="24"/>
          <w:szCs w:val="24"/>
        </w:rPr>
        <w:t>тусгай зөвшөөрлийг Засгийн газрын зөвшөөрлийн дагуу олгох талаар тусгана.</w:t>
      </w:r>
    </w:p>
    <w:p w14:paraId="66D4052B" w14:textId="77777777" w:rsidR="00B841F7" w:rsidRPr="00414AD1" w:rsidRDefault="00B841F7" w:rsidP="00B54536">
      <w:pPr>
        <w:spacing w:after="0" w:line="240" w:lineRule="auto"/>
        <w:rPr>
          <w:rFonts w:ascii="Arial" w:hAnsi="Arial" w:cs="Arial"/>
          <w:sz w:val="24"/>
          <w:szCs w:val="24"/>
        </w:rPr>
      </w:pPr>
    </w:p>
    <w:p w14:paraId="6ED740B9" w14:textId="77777777" w:rsidR="00B841F7" w:rsidRPr="00414AD1" w:rsidRDefault="00B841F7" w:rsidP="00B54536">
      <w:pPr>
        <w:spacing w:after="0" w:line="240" w:lineRule="auto"/>
        <w:ind w:firstLine="720"/>
        <w:jc w:val="both"/>
        <w:rPr>
          <w:rFonts w:ascii="Arial" w:hAnsi="Arial" w:cs="Arial"/>
          <w:b/>
          <w:bCs/>
          <w:sz w:val="24"/>
          <w:szCs w:val="24"/>
        </w:rPr>
      </w:pPr>
      <w:r w:rsidRPr="00414AD1">
        <w:rPr>
          <w:rFonts w:ascii="Arial" w:hAnsi="Arial" w:cs="Arial"/>
          <w:b/>
          <w:bCs/>
          <w:sz w:val="24"/>
          <w:szCs w:val="24"/>
        </w:rPr>
        <w:t>Зөвшөөрлийн тухай хуульд өөрчлөлт оруулах тухай хуулийн төсөл</w:t>
      </w:r>
    </w:p>
    <w:p w14:paraId="6B2DCAEC" w14:textId="77777777" w:rsidR="000611F6" w:rsidRPr="00414AD1" w:rsidRDefault="000611F6" w:rsidP="00B54536">
      <w:pPr>
        <w:spacing w:after="0" w:line="240" w:lineRule="auto"/>
        <w:ind w:firstLine="720"/>
        <w:jc w:val="both"/>
        <w:rPr>
          <w:rFonts w:ascii="Arial" w:hAnsi="Arial" w:cs="Arial"/>
          <w:b/>
          <w:bCs/>
          <w:sz w:val="24"/>
          <w:szCs w:val="24"/>
        </w:rPr>
      </w:pPr>
    </w:p>
    <w:p w14:paraId="3C79940C" w14:textId="01AA9182" w:rsidR="00C7179C" w:rsidRPr="00414AD1" w:rsidRDefault="00C7179C" w:rsidP="00C7179C">
      <w:pPr>
        <w:spacing w:after="0" w:line="240" w:lineRule="auto"/>
        <w:ind w:firstLine="720"/>
        <w:jc w:val="both"/>
        <w:rPr>
          <w:rFonts w:ascii="Arial" w:eastAsia="Arial" w:hAnsi="Arial" w:cs="Arial"/>
          <w:sz w:val="24"/>
          <w:szCs w:val="24"/>
        </w:rPr>
      </w:pPr>
      <w:r w:rsidRPr="00414AD1">
        <w:rPr>
          <w:rFonts w:ascii="Arial" w:eastAsia="Arial" w:hAnsi="Arial" w:cs="Arial"/>
          <w:sz w:val="24"/>
          <w:szCs w:val="24"/>
        </w:rPr>
        <w:t>Ц</w:t>
      </w:r>
      <w:r w:rsidR="00B841F7" w:rsidRPr="00414AD1">
        <w:rPr>
          <w:rFonts w:ascii="Arial" w:eastAsia="Arial" w:hAnsi="Arial" w:cs="Arial"/>
          <w:sz w:val="24"/>
          <w:szCs w:val="24"/>
        </w:rPr>
        <w:t>ацрагийн үүсгүүртэй холбоотой тусгай зөвшөөрлийг Боловсролын асуудал эрхэлсэн төрийн захиргааны төв байгууллага олго</w:t>
      </w:r>
      <w:r w:rsidRPr="00414AD1">
        <w:rPr>
          <w:rFonts w:ascii="Arial" w:eastAsia="Arial" w:hAnsi="Arial" w:cs="Arial"/>
          <w:sz w:val="24"/>
          <w:szCs w:val="24"/>
        </w:rPr>
        <w:t>х зохицуулалтыг Аж үйлдвэр, эрдэс баялгийн асуудал эрхэлсэн төрийн захиргааны төв байгууллагын эрхлэх асуудалд хамруулахаар тусгана.</w:t>
      </w:r>
    </w:p>
    <w:p w14:paraId="33E736C1" w14:textId="77777777" w:rsidR="00B841F7" w:rsidRPr="00414AD1" w:rsidRDefault="00B841F7" w:rsidP="00C7179C">
      <w:pPr>
        <w:spacing w:after="0" w:line="240" w:lineRule="auto"/>
        <w:jc w:val="both"/>
        <w:rPr>
          <w:rFonts w:ascii="Arial" w:hAnsi="Arial" w:cs="Arial"/>
          <w:noProof/>
          <w:sz w:val="24"/>
          <w:szCs w:val="24"/>
        </w:rPr>
      </w:pPr>
    </w:p>
    <w:p w14:paraId="482C5BC9" w14:textId="07EC08FA" w:rsidR="00B841F7" w:rsidRPr="00907BD0" w:rsidRDefault="000611F6" w:rsidP="000611F6">
      <w:pPr>
        <w:spacing w:after="0" w:line="240" w:lineRule="auto"/>
        <w:ind w:firstLine="720"/>
        <w:jc w:val="both"/>
        <w:rPr>
          <w:rFonts w:ascii="Arial" w:eastAsia="Arial" w:hAnsi="Arial" w:cs="Arial"/>
          <w:b/>
          <w:bCs/>
          <w:sz w:val="24"/>
          <w:szCs w:val="24"/>
        </w:rPr>
      </w:pPr>
      <w:r w:rsidRPr="00907BD0">
        <w:rPr>
          <w:rFonts w:ascii="Arial" w:eastAsia="Arial" w:hAnsi="Arial" w:cs="Arial"/>
          <w:b/>
          <w:bCs/>
          <w:sz w:val="24"/>
          <w:szCs w:val="24"/>
        </w:rPr>
        <w:t>Монгол Улсын Их Хурлын 2024 оны 13 дугаар тогтоолд нэмэлт оруулах тухай тогтоолын төсөл</w:t>
      </w:r>
    </w:p>
    <w:p w14:paraId="5E329D06" w14:textId="77777777" w:rsidR="000611F6" w:rsidRPr="00414AD1" w:rsidRDefault="000611F6" w:rsidP="000611F6">
      <w:pPr>
        <w:spacing w:after="0" w:line="240" w:lineRule="auto"/>
        <w:ind w:firstLine="720"/>
        <w:jc w:val="both"/>
        <w:rPr>
          <w:rFonts w:ascii="Arial" w:eastAsia="Arial" w:hAnsi="Arial" w:cs="Arial"/>
          <w:sz w:val="24"/>
          <w:szCs w:val="24"/>
        </w:rPr>
      </w:pPr>
    </w:p>
    <w:p w14:paraId="3F8940EC" w14:textId="3338ADE7" w:rsidR="000611F6" w:rsidRPr="00414AD1" w:rsidRDefault="00C7179C" w:rsidP="000611F6">
      <w:pPr>
        <w:spacing w:after="0" w:line="240" w:lineRule="auto"/>
        <w:ind w:firstLine="720"/>
        <w:jc w:val="both"/>
        <w:rPr>
          <w:rFonts w:ascii="Arial" w:hAnsi="Arial" w:cs="Arial"/>
          <w:sz w:val="24"/>
          <w:szCs w:val="24"/>
        </w:rPr>
      </w:pPr>
      <w:r w:rsidRPr="00414AD1">
        <w:rPr>
          <w:rFonts w:ascii="Arial" w:hAnsi="Arial" w:cs="Arial"/>
          <w:sz w:val="24"/>
          <w:szCs w:val="24"/>
        </w:rPr>
        <w:t xml:space="preserve">Цөмийн энергийн тухай хуульд өөрчлөлт оруулах хуулийн төсөлтэй уялдуулан </w:t>
      </w:r>
      <w:r w:rsidR="000611F6" w:rsidRPr="00414AD1">
        <w:rPr>
          <w:rFonts w:ascii="Arial" w:hAnsi="Arial" w:cs="Arial"/>
          <w:sz w:val="24"/>
          <w:szCs w:val="24"/>
        </w:rPr>
        <w:t>Монгол Улсын Их Хурлын 2024 оны 07 дугаар сарын 10-ны өдрийн 13 дугаар тогтоолын хавсралтаар баталсан “Төрийн захиргааны байгууллагын тогтолцоо, бүтцийн ерөнхий бүдүүвч”-ийн Аж үйлдвэр, эрдэс баялгийн сайдын эрхлэх асуудлын хүрээний “Засгийн газрын хэрэгжүүлэгч агентлаг” хэсэгт</w:t>
      </w:r>
      <w:r w:rsidR="000611F6" w:rsidRPr="00414AD1">
        <w:rPr>
          <w:rFonts w:ascii="Arial" w:hAnsi="Arial" w:cs="Arial"/>
          <w:i/>
          <w:iCs/>
          <w:sz w:val="24"/>
          <w:szCs w:val="24"/>
        </w:rPr>
        <w:t xml:space="preserve"> </w:t>
      </w:r>
      <w:r w:rsidR="000611F6" w:rsidRPr="00414AD1">
        <w:rPr>
          <w:rFonts w:ascii="Arial" w:hAnsi="Arial" w:cs="Arial"/>
          <w:sz w:val="24"/>
          <w:szCs w:val="24"/>
        </w:rPr>
        <w:t>“-Цөмийн энергийн газар” гэж нэмэхээр тусгана.</w:t>
      </w:r>
    </w:p>
    <w:p w14:paraId="17F21B9A" w14:textId="316EF4A5" w:rsidR="00574C40" w:rsidRPr="00414AD1" w:rsidRDefault="00B841F7" w:rsidP="00ED2E66">
      <w:pPr>
        <w:spacing w:after="0" w:line="240" w:lineRule="auto"/>
        <w:jc w:val="center"/>
        <w:rPr>
          <w:rFonts w:ascii="Arial" w:hAnsi="Arial" w:cs="Arial"/>
          <w:sz w:val="24"/>
          <w:szCs w:val="24"/>
        </w:rPr>
      </w:pPr>
      <w:r w:rsidRPr="00414AD1">
        <w:rPr>
          <w:rFonts w:ascii="Arial" w:hAnsi="Arial" w:cs="Arial"/>
          <w:sz w:val="24"/>
          <w:szCs w:val="24"/>
        </w:rPr>
        <w:t>--ооОоо--</w:t>
      </w:r>
    </w:p>
    <w:sectPr w:rsidR="00574C40" w:rsidRPr="00414AD1" w:rsidSect="00E12E9D">
      <w:pgSz w:w="11900" w:h="16840"/>
      <w:pgMar w:top="1134" w:right="851"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709C" w14:textId="77777777" w:rsidR="002A3465" w:rsidRDefault="002A3465" w:rsidP="00B841F7">
      <w:pPr>
        <w:spacing w:after="0" w:line="240" w:lineRule="auto"/>
      </w:pPr>
      <w:r>
        <w:separator/>
      </w:r>
    </w:p>
  </w:endnote>
  <w:endnote w:type="continuationSeparator" w:id="0">
    <w:p w14:paraId="2C106076" w14:textId="77777777" w:rsidR="002A3465" w:rsidRDefault="002A3465" w:rsidP="00B841F7">
      <w:pPr>
        <w:spacing w:after="0" w:line="240" w:lineRule="auto"/>
      </w:pPr>
      <w:r>
        <w:continuationSeparator/>
      </w:r>
    </w:p>
  </w:endnote>
  <w:endnote w:type="continuationNotice" w:id="1">
    <w:p w14:paraId="4A19C61C" w14:textId="77777777" w:rsidR="002A3465" w:rsidRDefault="002A3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6CE6" w14:textId="77777777" w:rsidR="002A3465" w:rsidRDefault="002A3465" w:rsidP="00B841F7">
      <w:pPr>
        <w:spacing w:after="0" w:line="240" w:lineRule="auto"/>
      </w:pPr>
      <w:r>
        <w:separator/>
      </w:r>
    </w:p>
  </w:footnote>
  <w:footnote w:type="continuationSeparator" w:id="0">
    <w:p w14:paraId="4AF7BF78" w14:textId="77777777" w:rsidR="002A3465" w:rsidRDefault="002A3465" w:rsidP="00B841F7">
      <w:pPr>
        <w:spacing w:after="0" w:line="240" w:lineRule="auto"/>
      </w:pPr>
      <w:r>
        <w:continuationSeparator/>
      </w:r>
    </w:p>
  </w:footnote>
  <w:footnote w:type="continuationNotice" w:id="1">
    <w:p w14:paraId="4E9F0A2F" w14:textId="77777777" w:rsidR="002A3465" w:rsidRDefault="002A34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332"/>
    <w:multiLevelType w:val="hybridMultilevel"/>
    <w:tmpl w:val="12164424"/>
    <w:lvl w:ilvl="0" w:tplc="7318E00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82313F"/>
    <w:multiLevelType w:val="multilevel"/>
    <w:tmpl w:val="7C880796"/>
    <w:lvl w:ilvl="0">
      <w:start w:val="1"/>
      <w:numFmt w:val="decimal"/>
      <w:lvlText w:val="%1."/>
      <w:lvlJc w:val="left"/>
      <w:pPr>
        <w:ind w:left="390" w:hanging="390"/>
      </w:pPr>
      <w:rPr>
        <w:rFonts w:hint="default"/>
      </w:rPr>
    </w:lvl>
    <w:lvl w:ilvl="1">
      <w:start w:val="1"/>
      <w:numFmt w:val="decimal"/>
      <w:suff w:val="nothing"/>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93885544">
    <w:abstractNumId w:val="1"/>
  </w:num>
  <w:num w:numId="2" w16cid:durableId="12914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A"/>
    <w:rsid w:val="00016817"/>
    <w:rsid w:val="00021400"/>
    <w:rsid w:val="00040D2D"/>
    <w:rsid w:val="000611F6"/>
    <w:rsid w:val="00063EFE"/>
    <w:rsid w:val="0007792A"/>
    <w:rsid w:val="00095164"/>
    <w:rsid w:val="000A0195"/>
    <w:rsid w:val="000D1D66"/>
    <w:rsid w:val="000D401B"/>
    <w:rsid w:val="000D774F"/>
    <w:rsid w:val="000E2856"/>
    <w:rsid w:val="000F23BF"/>
    <w:rsid w:val="000F35C4"/>
    <w:rsid w:val="00107FB3"/>
    <w:rsid w:val="0011163D"/>
    <w:rsid w:val="00123C2F"/>
    <w:rsid w:val="00136F0C"/>
    <w:rsid w:val="00137C2D"/>
    <w:rsid w:val="00137E8C"/>
    <w:rsid w:val="0014033B"/>
    <w:rsid w:val="00142AC2"/>
    <w:rsid w:val="00152FB8"/>
    <w:rsid w:val="00175D25"/>
    <w:rsid w:val="0017786B"/>
    <w:rsid w:val="001815C9"/>
    <w:rsid w:val="00193915"/>
    <w:rsid w:val="00194F2F"/>
    <w:rsid w:val="001A194A"/>
    <w:rsid w:val="001A786D"/>
    <w:rsid w:val="001B4FEB"/>
    <w:rsid w:val="001D442F"/>
    <w:rsid w:val="001E0500"/>
    <w:rsid w:val="001E3060"/>
    <w:rsid w:val="001F798D"/>
    <w:rsid w:val="002119E4"/>
    <w:rsid w:val="002137B8"/>
    <w:rsid w:val="00254E02"/>
    <w:rsid w:val="002A3465"/>
    <w:rsid w:val="002B557B"/>
    <w:rsid w:val="002D121F"/>
    <w:rsid w:val="002D6AF7"/>
    <w:rsid w:val="002F5940"/>
    <w:rsid w:val="002F6C80"/>
    <w:rsid w:val="003016A3"/>
    <w:rsid w:val="00313242"/>
    <w:rsid w:val="00313505"/>
    <w:rsid w:val="003150F5"/>
    <w:rsid w:val="00333EB1"/>
    <w:rsid w:val="00334B06"/>
    <w:rsid w:val="00337232"/>
    <w:rsid w:val="00337C53"/>
    <w:rsid w:val="00344966"/>
    <w:rsid w:val="00351A33"/>
    <w:rsid w:val="00374C82"/>
    <w:rsid w:val="0038498F"/>
    <w:rsid w:val="003941F6"/>
    <w:rsid w:val="003A1239"/>
    <w:rsid w:val="003C05A0"/>
    <w:rsid w:val="003C3DDC"/>
    <w:rsid w:val="003C48F0"/>
    <w:rsid w:val="003C4F2C"/>
    <w:rsid w:val="003D4059"/>
    <w:rsid w:val="003D4224"/>
    <w:rsid w:val="003D4326"/>
    <w:rsid w:val="003D5CC2"/>
    <w:rsid w:val="003D78EA"/>
    <w:rsid w:val="003D7E1C"/>
    <w:rsid w:val="00414AD1"/>
    <w:rsid w:val="00425298"/>
    <w:rsid w:val="004319D4"/>
    <w:rsid w:val="00470D3A"/>
    <w:rsid w:val="00476089"/>
    <w:rsid w:val="00480D6D"/>
    <w:rsid w:val="00486946"/>
    <w:rsid w:val="00487DF4"/>
    <w:rsid w:val="0049665C"/>
    <w:rsid w:val="004A206A"/>
    <w:rsid w:val="004C5A4F"/>
    <w:rsid w:val="004D698C"/>
    <w:rsid w:val="004D733A"/>
    <w:rsid w:val="005109AD"/>
    <w:rsid w:val="005154ED"/>
    <w:rsid w:val="00526F9A"/>
    <w:rsid w:val="005701CC"/>
    <w:rsid w:val="00574C40"/>
    <w:rsid w:val="005870D4"/>
    <w:rsid w:val="005904E3"/>
    <w:rsid w:val="00592E64"/>
    <w:rsid w:val="005D0C92"/>
    <w:rsid w:val="005E166E"/>
    <w:rsid w:val="006046BC"/>
    <w:rsid w:val="00617589"/>
    <w:rsid w:val="00623BFB"/>
    <w:rsid w:val="006257DF"/>
    <w:rsid w:val="0068433C"/>
    <w:rsid w:val="00696A58"/>
    <w:rsid w:val="006B4FCD"/>
    <w:rsid w:val="006B5837"/>
    <w:rsid w:val="006B7A56"/>
    <w:rsid w:val="006C2259"/>
    <w:rsid w:val="006C5327"/>
    <w:rsid w:val="006C70B8"/>
    <w:rsid w:val="006E35BE"/>
    <w:rsid w:val="006E5CBD"/>
    <w:rsid w:val="006F4BF4"/>
    <w:rsid w:val="006F79E8"/>
    <w:rsid w:val="00700469"/>
    <w:rsid w:val="00700600"/>
    <w:rsid w:val="007177E4"/>
    <w:rsid w:val="00732DB4"/>
    <w:rsid w:val="00733256"/>
    <w:rsid w:val="0073786E"/>
    <w:rsid w:val="00752FF0"/>
    <w:rsid w:val="00763F2B"/>
    <w:rsid w:val="00773D23"/>
    <w:rsid w:val="00776377"/>
    <w:rsid w:val="00782FF7"/>
    <w:rsid w:val="00787589"/>
    <w:rsid w:val="00790A49"/>
    <w:rsid w:val="00797B3A"/>
    <w:rsid w:val="007C0361"/>
    <w:rsid w:val="007C50D3"/>
    <w:rsid w:val="007D1BE1"/>
    <w:rsid w:val="007D47E7"/>
    <w:rsid w:val="007E6BA9"/>
    <w:rsid w:val="007F2247"/>
    <w:rsid w:val="008041EC"/>
    <w:rsid w:val="00826CE2"/>
    <w:rsid w:val="008415BC"/>
    <w:rsid w:val="00845477"/>
    <w:rsid w:val="00846764"/>
    <w:rsid w:val="00870498"/>
    <w:rsid w:val="00871207"/>
    <w:rsid w:val="00876A0E"/>
    <w:rsid w:val="00882774"/>
    <w:rsid w:val="00887496"/>
    <w:rsid w:val="008A2EAE"/>
    <w:rsid w:val="008A5C6B"/>
    <w:rsid w:val="008A7085"/>
    <w:rsid w:val="0090625C"/>
    <w:rsid w:val="00907BD0"/>
    <w:rsid w:val="00912A45"/>
    <w:rsid w:val="009262DF"/>
    <w:rsid w:val="00927625"/>
    <w:rsid w:val="00935EF1"/>
    <w:rsid w:val="00950666"/>
    <w:rsid w:val="009647A1"/>
    <w:rsid w:val="0099293A"/>
    <w:rsid w:val="00995A24"/>
    <w:rsid w:val="009A35A0"/>
    <w:rsid w:val="009C1D73"/>
    <w:rsid w:val="009C2B29"/>
    <w:rsid w:val="009C528E"/>
    <w:rsid w:val="009F0B77"/>
    <w:rsid w:val="009F7DD7"/>
    <w:rsid w:val="00A127E2"/>
    <w:rsid w:val="00A17ECC"/>
    <w:rsid w:val="00A27C79"/>
    <w:rsid w:val="00A310D3"/>
    <w:rsid w:val="00A37B58"/>
    <w:rsid w:val="00A42C58"/>
    <w:rsid w:val="00A43AAF"/>
    <w:rsid w:val="00A660F8"/>
    <w:rsid w:val="00A733CA"/>
    <w:rsid w:val="00A803DA"/>
    <w:rsid w:val="00A847D1"/>
    <w:rsid w:val="00A8509B"/>
    <w:rsid w:val="00A919D9"/>
    <w:rsid w:val="00A94E28"/>
    <w:rsid w:val="00A95373"/>
    <w:rsid w:val="00AA63C7"/>
    <w:rsid w:val="00AC53F8"/>
    <w:rsid w:val="00AC6AEA"/>
    <w:rsid w:val="00AD6352"/>
    <w:rsid w:val="00AE47A4"/>
    <w:rsid w:val="00AF47D2"/>
    <w:rsid w:val="00B00681"/>
    <w:rsid w:val="00B236FB"/>
    <w:rsid w:val="00B24665"/>
    <w:rsid w:val="00B336AE"/>
    <w:rsid w:val="00B41DE5"/>
    <w:rsid w:val="00B541FB"/>
    <w:rsid w:val="00B54536"/>
    <w:rsid w:val="00B5525C"/>
    <w:rsid w:val="00B55BA0"/>
    <w:rsid w:val="00B71598"/>
    <w:rsid w:val="00B841F7"/>
    <w:rsid w:val="00BA1E36"/>
    <w:rsid w:val="00BA3551"/>
    <w:rsid w:val="00BD0672"/>
    <w:rsid w:val="00BD0C26"/>
    <w:rsid w:val="00BE45BF"/>
    <w:rsid w:val="00BF010C"/>
    <w:rsid w:val="00BF1D95"/>
    <w:rsid w:val="00BF38E8"/>
    <w:rsid w:val="00C15E36"/>
    <w:rsid w:val="00C176C6"/>
    <w:rsid w:val="00C260A3"/>
    <w:rsid w:val="00C55415"/>
    <w:rsid w:val="00C7179C"/>
    <w:rsid w:val="00C72345"/>
    <w:rsid w:val="00C80AFA"/>
    <w:rsid w:val="00C93332"/>
    <w:rsid w:val="00C96264"/>
    <w:rsid w:val="00CA334E"/>
    <w:rsid w:val="00CA6859"/>
    <w:rsid w:val="00CC11AB"/>
    <w:rsid w:val="00CC6CDA"/>
    <w:rsid w:val="00CE0A22"/>
    <w:rsid w:val="00CE4B6D"/>
    <w:rsid w:val="00CF6566"/>
    <w:rsid w:val="00D0485F"/>
    <w:rsid w:val="00D12746"/>
    <w:rsid w:val="00D164B9"/>
    <w:rsid w:val="00D37CFD"/>
    <w:rsid w:val="00D52924"/>
    <w:rsid w:val="00D57F86"/>
    <w:rsid w:val="00D6765F"/>
    <w:rsid w:val="00D73778"/>
    <w:rsid w:val="00D82D4F"/>
    <w:rsid w:val="00D90D40"/>
    <w:rsid w:val="00DA0C0D"/>
    <w:rsid w:val="00DA361F"/>
    <w:rsid w:val="00DB5651"/>
    <w:rsid w:val="00DC008C"/>
    <w:rsid w:val="00DC3E02"/>
    <w:rsid w:val="00DD0689"/>
    <w:rsid w:val="00DD366D"/>
    <w:rsid w:val="00DD6B4F"/>
    <w:rsid w:val="00DD6C5D"/>
    <w:rsid w:val="00DE1A21"/>
    <w:rsid w:val="00DE3030"/>
    <w:rsid w:val="00DF01BA"/>
    <w:rsid w:val="00DF4E52"/>
    <w:rsid w:val="00DF7F53"/>
    <w:rsid w:val="00E07B85"/>
    <w:rsid w:val="00E12AE1"/>
    <w:rsid w:val="00E12E9D"/>
    <w:rsid w:val="00E20450"/>
    <w:rsid w:val="00E36303"/>
    <w:rsid w:val="00E44FFB"/>
    <w:rsid w:val="00E7411B"/>
    <w:rsid w:val="00E9144B"/>
    <w:rsid w:val="00E94485"/>
    <w:rsid w:val="00E9675C"/>
    <w:rsid w:val="00EB3296"/>
    <w:rsid w:val="00EB6EDD"/>
    <w:rsid w:val="00EC77D2"/>
    <w:rsid w:val="00EC7D9A"/>
    <w:rsid w:val="00ED2E66"/>
    <w:rsid w:val="00EE1454"/>
    <w:rsid w:val="00EE666D"/>
    <w:rsid w:val="00EF1BE2"/>
    <w:rsid w:val="00EF1C3C"/>
    <w:rsid w:val="00F514E9"/>
    <w:rsid w:val="00F518AE"/>
    <w:rsid w:val="00F52DDA"/>
    <w:rsid w:val="00F5578E"/>
    <w:rsid w:val="00F56075"/>
    <w:rsid w:val="00F5618E"/>
    <w:rsid w:val="00F61E30"/>
    <w:rsid w:val="00F744C3"/>
    <w:rsid w:val="00F7507B"/>
    <w:rsid w:val="00F800DD"/>
    <w:rsid w:val="00F97B7C"/>
    <w:rsid w:val="00FB10BE"/>
    <w:rsid w:val="00FC19FB"/>
    <w:rsid w:val="00FC6FA2"/>
    <w:rsid w:val="00FF44BB"/>
    <w:rsid w:val="00FF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BAE10"/>
  <w15:chartTrackingRefBased/>
  <w15:docId w15:val="{B26182D7-BD20-4714-8A3F-D4B8118D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3A"/>
    <w:pPr>
      <w:spacing w:after="160" w:line="259" w:lineRule="auto"/>
    </w:pPr>
    <w:rPr>
      <w:rFonts w:ascii="Calibri" w:eastAsia="Calibri" w:hAnsi="Calibri" w:cs="Calibri"/>
      <w:kern w:val="0"/>
      <w:sz w:val="22"/>
      <w:szCs w:val="22"/>
      <w:lang w:val="mn-MN"/>
      <w14:ligatures w14:val="none"/>
    </w:rPr>
  </w:style>
  <w:style w:type="paragraph" w:styleId="Heading1">
    <w:name w:val="heading 1"/>
    <w:basedOn w:val="Normal"/>
    <w:next w:val="Normal"/>
    <w:link w:val="Heading1Char"/>
    <w:uiPriority w:val="9"/>
    <w:qFormat/>
    <w:rsid w:val="00797B3A"/>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B3A"/>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B3A"/>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4A"/>
    <w:pPr>
      <w:ind w:left="720"/>
      <w:contextualSpacing/>
    </w:pPr>
  </w:style>
  <w:style w:type="paragraph" w:styleId="NoSpacing">
    <w:name w:val="No Spacing"/>
    <w:uiPriority w:val="1"/>
    <w:qFormat/>
    <w:rsid w:val="001A194A"/>
  </w:style>
  <w:style w:type="character" w:customStyle="1" w:styleId="Heading1Char">
    <w:name w:val="Heading 1 Char"/>
    <w:basedOn w:val="DefaultParagraphFont"/>
    <w:link w:val="Heading1"/>
    <w:uiPriority w:val="9"/>
    <w:rsid w:val="00797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3A"/>
    <w:rPr>
      <w:rFonts w:eastAsiaTheme="majorEastAsia" w:cstheme="majorBidi"/>
      <w:color w:val="272727" w:themeColor="text1" w:themeTint="D8"/>
    </w:rPr>
  </w:style>
  <w:style w:type="paragraph" w:styleId="Title">
    <w:name w:val="Title"/>
    <w:basedOn w:val="Normal"/>
    <w:next w:val="Normal"/>
    <w:link w:val="TitleChar"/>
    <w:uiPriority w:val="10"/>
    <w:qFormat/>
    <w:rsid w:val="00797B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3A"/>
    <w:pPr>
      <w:spacing w:before="160"/>
      <w:jc w:val="center"/>
    </w:pPr>
    <w:rPr>
      <w:i/>
      <w:iCs/>
      <w:color w:val="404040" w:themeColor="text1" w:themeTint="BF"/>
    </w:rPr>
  </w:style>
  <w:style w:type="character" w:customStyle="1" w:styleId="QuoteChar">
    <w:name w:val="Quote Char"/>
    <w:basedOn w:val="DefaultParagraphFont"/>
    <w:link w:val="Quote"/>
    <w:uiPriority w:val="29"/>
    <w:rsid w:val="00797B3A"/>
    <w:rPr>
      <w:i/>
      <w:iCs/>
      <w:color w:val="404040" w:themeColor="text1" w:themeTint="BF"/>
    </w:rPr>
  </w:style>
  <w:style w:type="character" w:styleId="IntenseEmphasis">
    <w:name w:val="Intense Emphasis"/>
    <w:basedOn w:val="DefaultParagraphFont"/>
    <w:uiPriority w:val="21"/>
    <w:qFormat/>
    <w:rsid w:val="00797B3A"/>
    <w:rPr>
      <w:i/>
      <w:iCs/>
      <w:color w:val="2F5496" w:themeColor="accent1" w:themeShade="BF"/>
    </w:rPr>
  </w:style>
  <w:style w:type="paragraph" w:styleId="IntenseQuote">
    <w:name w:val="Intense Quote"/>
    <w:basedOn w:val="Normal"/>
    <w:next w:val="Normal"/>
    <w:link w:val="IntenseQuoteChar"/>
    <w:uiPriority w:val="30"/>
    <w:qFormat/>
    <w:rsid w:val="00797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B3A"/>
    <w:rPr>
      <w:i/>
      <w:iCs/>
      <w:color w:val="2F5496" w:themeColor="accent1" w:themeShade="BF"/>
    </w:rPr>
  </w:style>
  <w:style w:type="character" w:styleId="IntenseReference">
    <w:name w:val="Intense Reference"/>
    <w:basedOn w:val="DefaultParagraphFont"/>
    <w:uiPriority w:val="32"/>
    <w:qFormat/>
    <w:rsid w:val="00797B3A"/>
    <w:rPr>
      <w:b/>
      <w:bCs/>
      <w:smallCaps/>
      <w:color w:val="2F5496" w:themeColor="accent1" w:themeShade="BF"/>
      <w:spacing w:val="5"/>
    </w:rPr>
  </w:style>
  <w:style w:type="table" w:styleId="TableGrid">
    <w:name w:val="Table Grid"/>
    <w:basedOn w:val="TableNormal"/>
    <w:uiPriority w:val="39"/>
    <w:rsid w:val="00797B3A"/>
    <w:pPr>
      <w:spacing w:after="0"/>
    </w:pPr>
    <w:rPr>
      <w:rFonts w:ascii="Calibri" w:eastAsia="Calibri" w:hAnsi="Calibri" w:cs="Calibri"/>
      <w:kern w:val="0"/>
      <w:sz w:val="22"/>
      <w:szCs w:val="22"/>
      <w:lang w:val="mn-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B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F23BF"/>
    <w:pPr>
      <w:spacing w:after="0"/>
    </w:pPr>
    <w:rPr>
      <w:rFonts w:ascii="Calibri" w:eastAsia="Calibri" w:hAnsi="Calibri" w:cs="Calibri"/>
      <w:kern w:val="0"/>
      <w:sz w:val="22"/>
      <w:szCs w:val="22"/>
      <w:lang w:val="mn-MN"/>
      <w14:ligatures w14:val="none"/>
    </w:rPr>
  </w:style>
  <w:style w:type="paragraph" w:styleId="BodyText">
    <w:name w:val="Body Text"/>
    <w:basedOn w:val="Normal"/>
    <w:link w:val="BodyTextChar"/>
    <w:uiPriority w:val="1"/>
    <w:qFormat/>
    <w:rsid w:val="00B55BA0"/>
    <w:pPr>
      <w:widowControl w:val="0"/>
      <w:autoSpaceDE w:val="0"/>
      <w:autoSpaceDN w:val="0"/>
      <w:spacing w:after="0" w:line="240" w:lineRule="auto"/>
      <w:ind w:left="100" w:firstLine="360"/>
      <w:jc w:val="both"/>
    </w:pPr>
    <w:rPr>
      <w:rFonts w:ascii="Microsoft Sans Serif" w:eastAsia="Microsoft Sans Serif" w:hAnsi="Microsoft Sans Serif" w:cs="Microsoft Sans Serif"/>
      <w:lang w:val="ru-RU"/>
    </w:rPr>
  </w:style>
  <w:style w:type="character" w:customStyle="1" w:styleId="BodyTextChar">
    <w:name w:val="Body Text Char"/>
    <w:basedOn w:val="DefaultParagraphFont"/>
    <w:link w:val="BodyText"/>
    <w:uiPriority w:val="1"/>
    <w:rsid w:val="00B55BA0"/>
    <w:rPr>
      <w:rFonts w:ascii="Microsoft Sans Serif" w:eastAsia="Microsoft Sans Serif" w:hAnsi="Microsoft Sans Serif" w:cs="Microsoft Sans Serif"/>
      <w:kern w:val="0"/>
      <w:sz w:val="22"/>
      <w:szCs w:val="22"/>
      <w:lang w:val="ru-RU"/>
      <w14:ligatures w14:val="none"/>
    </w:rPr>
  </w:style>
  <w:style w:type="character" w:styleId="Strong">
    <w:name w:val="Strong"/>
    <w:basedOn w:val="DefaultParagraphFont"/>
    <w:uiPriority w:val="22"/>
    <w:qFormat/>
    <w:rsid w:val="00EE1454"/>
    <w:rPr>
      <w:b/>
      <w:bCs/>
    </w:rPr>
  </w:style>
  <w:style w:type="paragraph" w:styleId="Header">
    <w:name w:val="header"/>
    <w:basedOn w:val="Normal"/>
    <w:link w:val="HeaderChar"/>
    <w:uiPriority w:val="99"/>
    <w:unhideWhenUsed/>
    <w:rsid w:val="00B84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1F7"/>
    <w:rPr>
      <w:rFonts w:ascii="Calibri" w:eastAsia="Calibri" w:hAnsi="Calibri" w:cs="Calibri"/>
      <w:kern w:val="0"/>
      <w:sz w:val="22"/>
      <w:szCs w:val="22"/>
      <w:lang w:val="mn-MN"/>
      <w14:ligatures w14:val="none"/>
    </w:rPr>
  </w:style>
  <w:style w:type="paragraph" w:styleId="Footer">
    <w:name w:val="footer"/>
    <w:basedOn w:val="Normal"/>
    <w:link w:val="FooterChar"/>
    <w:uiPriority w:val="99"/>
    <w:unhideWhenUsed/>
    <w:rsid w:val="00B8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F7"/>
    <w:rPr>
      <w:rFonts w:ascii="Calibri" w:eastAsia="Calibri" w:hAnsi="Calibri" w:cs="Calibri"/>
      <w:kern w:val="0"/>
      <w:sz w:val="22"/>
      <w:szCs w:val="22"/>
      <w:lang w:val="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83718">
      <w:bodyDiv w:val="1"/>
      <w:marLeft w:val="0"/>
      <w:marRight w:val="0"/>
      <w:marTop w:val="0"/>
      <w:marBottom w:val="0"/>
      <w:divBdr>
        <w:top w:val="none" w:sz="0" w:space="0" w:color="auto"/>
        <w:left w:val="none" w:sz="0" w:space="0" w:color="auto"/>
        <w:bottom w:val="none" w:sz="0" w:space="0" w:color="auto"/>
        <w:right w:val="none" w:sz="0" w:space="0" w:color="auto"/>
      </w:divBdr>
    </w:div>
    <w:div w:id="1035082709">
      <w:bodyDiv w:val="1"/>
      <w:marLeft w:val="0"/>
      <w:marRight w:val="0"/>
      <w:marTop w:val="0"/>
      <w:marBottom w:val="0"/>
      <w:divBdr>
        <w:top w:val="none" w:sz="0" w:space="0" w:color="auto"/>
        <w:left w:val="none" w:sz="0" w:space="0" w:color="auto"/>
        <w:bottom w:val="none" w:sz="0" w:space="0" w:color="auto"/>
        <w:right w:val="none" w:sz="0" w:space="0" w:color="auto"/>
      </w:divBdr>
    </w:div>
    <w:div w:id="16483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723D-5F49-F849-9741-39DFD02E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Төрбат</cp:lastModifiedBy>
  <cp:revision>33</cp:revision>
  <cp:lastPrinted>2025-03-27T04:43:00Z</cp:lastPrinted>
  <dcterms:created xsi:type="dcterms:W3CDTF">2025-03-25T22:45:00Z</dcterms:created>
  <dcterms:modified xsi:type="dcterms:W3CDTF">2025-03-28T04:09:00Z</dcterms:modified>
</cp:coreProperties>
</file>