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40AE" w14:textId="76DFF9E3" w:rsidR="00980CCA" w:rsidRPr="00612CBD" w:rsidRDefault="00C9531D" w:rsidP="00980CCA">
      <w:pPr>
        <w:spacing w:after="0" w:line="259" w:lineRule="auto"/>
        <w:ind w:left="848" w:firstLine="0"/>
        <w:jc w:val="center"/>
        <w:rPr>
          <w:rFonts w:asciiTheme="minorBidi" w:hAnsiTheme="minorBidi" w:cstheme="minorBidi"/>
        </w:rPr>
      </w:pPr>
      <w:r>
        <w:rPr>
          <w:rFonts w:asciiTheme="minorBidi" w:hAnsiTheme="minorBidi" w:cstheme="minorBidi"/>
          <w:b/>
          <w:lang w:val="mn-MN"/>
        </w:rPr>
        <w:t xml:space="preserve">ТОВЧ </w:t>
      </w:r>
      <w:r w:rsidR="00980CCA" w:rsidRPr="00612CBD">
        <w:rPr>
          <w:rFonts w:asciiTheme="minorBidi" w:hAnsiTheme="minorBidi" w:cstheme="minorBidi"/>
          <w:b/>
        </w:rPr>
        <w:t xml:space="preserve">ТАНИЛЦУУЛГА </w:t>
      </w:r>
    </w:p>
    <w:p w14:paraId="30791B12" w14:textId="77777777" w:rsidR="00980CCA" w:rsidRPr="00612CBD" w:rsidRDefault="00980CCA" w:rsidP="00980CCA">
      <w:pPr>
        <w:spacing w:after="19" w:line="259" w:lineRule="auto"/>
        <w:ind w:left="915" w:firstLine="0"/>
        <w:jc w:val="center"/>
        <w:rPr>
          <w:rFonts w:asciiTheme="minorBidi" w:hAnsiTheme="minorBidi" w:cstheme="minorBidi"/>
        </w:rPr>
      </w:pPr>
      <w:r w:rsidRPr="00612CBD">
        <w:rPr>
          <w:rFonts w:asciiTheme="minorBidi" w:hAnsiTheme="minorBidi" w:cstheme="minorBidi"/>
          <w:b/>
        </w:rPr>
        <w:t xml:space="preserve"> </w:t>
      </w:r>
    </w:p>
    <w:p w14:paraId="56EB3F52" w14:textId="71962858" w:rsidR="00980CCA" w:rsidRPr="003912B5" w:rsidRDefault="00980CCA" w:rsidP="002A3338">
      <w:pPr>
        <w:tabs>
          <w:tab w:val="left" w:pos="142"/>
          <w:tab w:val="left" w:pos="426"/>
          <w:tab w:val="left" w:pos="567"/>
          <w:tab w:val="left" w:pos="851"/>
          <w:tab w:val="left" w:pos="5529"/>
        </w:tabs>
        <w:ind w:left="4111" w:right="-2" w:firstLine="0"/>
      </w:pPr>
      <w:proofErr w:type="spellStart"/>
      <w:r>
        <w:t>Шүүхийн</w:t>
      </w:r>
      <w:proofErr w:type="spellEnd"/>
      <w:r>
        <w:t xml:space="preserve"> </w:t>
      </w:r>
      <w:proofErr w:type="spellStart"/>
      <w:r>
        <w:t>шийдвэр</w:t>
      </w:r>
      <w:proofErr w:type="spellEnd"/>
      <w:r>
        <w:t xml:space="preserve"> </w:t>
      </w:r>
      <w:proofErr w:type="spellStart"/>
      <w:r>
        <w:t>гүйцэтгэх</w:t>
      </w:r>
      <w:proofErr w:type="spellEnd"/>
      <w:r>
        <w:t xml:space="preserve"> </w:t>
      </w:r>
      <w:proofErr w:type="spellStart"/>
      <w:r>
        <w:t>байгууллага</w:t>
      </w:r>
      <w:proofErr w:type="spellEnd"/>
      <w:r>
        <w:t xml:space="preserve">, </w:t>
      </w:r>
      <w:proofErr w:type="spellStart"/>
      <w:r>
        <w:t>шийдвэр</w:t>
      </w:r>
      <w:proofErr w:type="spellEnd"/>
      <w:r>
        <w:t xml:space="preserve"> </w:t>
      </w:r>
      <w:proofErr w:type="spellStart"/>
      <w:r>
        <w:t>гүйцэтгэгчийн</w:t>
      </w:r>
      <w:proofErr w:type="spellEnd"/>
      <w:r>
        <w:t xml:space="preserve"> </w:t>
      </w:r>
      <w:proofErr w:type="spellStart"/>
      <w:r>
        <w:t>эрх</w:t>
      </w:r>
      <w:proofErr w:type="spellEnd"/>
      <w:r>
        <w:t xml:space="preserve"> </w:t>
      </w:r>
      <w:proofErr w:type="spellStart"/>
      <w:r>
        <w:t>зүйн</w:t>
      </w:r>
      <w:proofErr w:type="spellEnd"/>
      <w:r>
        <w:t xml:space="preserve"> </w:t>
      </w:r>
      <w:proofErr w:type="spellStart"/>
      <w:proofErr w:type="gramStart"/>
      <w:r>
        <w:t>байдлын</w:t>
      </w:r>
      <w:proofErr w:type="spellEnd"/>
      <w:r>
        <w:t xml:space="preserve"> </w:t>
      </w:r>
      <w:r w:rsidRPr="003912B5">
        <w:t xml:space="preserve"> </w:t>
      </w:r>
      <w:proofErr w:type="spellStart"/>
      <w:r w:rsidRPr="003912B5">
        <w:t>тухай</w:t>
      </w:r>
      <w:proofErr w:type="spellEnd"/>
      <w:proofErr w:type="gramEnd"/>
      <w:r w:rsidRPr="003912B5">
        <w:t xml:space="preserve"> </w:t>
      </w:r>
      <w:proofErr w:type="spellStart"/>
      <w:r w:rsidRPr="003912B5">
        <w:t>хуул</w:t>
      </w:r>
      <w:r w:rsidR="002A3338">
        <w:t>ь</w:t>
      </w:r>
      <w:proofErr w:type="spellEnd"/>
      <w:r w:rsidR="002A3338">
        <w:t xml:space="preserve"> /</w:t>
      </w:r>
      <w:proofErr w:type="spellStart"/>
      <w:r w:rsidR="002A7852">
        <w:t>Ш</w:t>
      </w:r>
      <w:r w:rsidR="002A3338">
        <w:t>инэчилсэн</w:t>
      </w:r>
      <w:proofErr w:type="spellEnd"/>
      <w:r w:rsidR="002A3338">
        <w:t xml:space="preserve"> </w:t>
      </w:r>
      <w:proofErr w:type="spellStart"/>
      <w:r w:rsidR="002A3338">
        <w:t>найруулга</w:t>
      </w:r>
      <w:proofErr w:type="spellEnd"/>
      <w:r w:rsidR="002A3338">
        <w:t>/-</w:t>
      </w:r>
      <w:proofErr w:type="spellStart"/>
      <w:r w:rsidR="002A7852">
        <w:t>ийн</w:t>
      </w:r>
      <w:proofErr w:type="spellEnd"/>
      <w:r w:rsidR="002A3338">
        <w:t xml:space="preserve"> </w:t>
      </w:r>
      <w:proofErr w:type="spellStart"/>
      <w:r w:rsidRPr="003912B5">
        <w:t>төслийн</w:t>
      </w:r>
      <w:proofErr w:type="spellEnd"/>
      <w:r w:rsidRPr="003912B5">
        <w:t xml:space="preserve"> </w:t>
      </w:r>
      <w:proofErr w:type="spellStart"/>
      <w:r w:rsidRPr="003912B5">
        <w:t>талаар</w:t>
      </w:r>
      <w:proofErr w:type="spellEnd"/>
    </w:p>
    <w:p w14:paraId="19E91431" w14:textId="77777777" w:rsidR="00980CCA" w:rsidRPr="004317BB" w:rsidRDefault="00980CCA" w:rsidP="00980CCA">
      <w:pPr>
        <w:tabs>
          <w:tab w:val="left" w:pos="142"/>
          <w:tab w:val="left" w:pos="426"/>
          <w:tab w:val="left" w:pos="567"/>
          <w:tab w:val="left" w:pos="851"/>
        </w:tabs>
        <w:ind w:right="240" w:firstLine="709"/>
        <w:jc w:val="right"/>
        <w:rPr>
          <w:rFonts w:asciiTheme="minorBidi" w:hAnsiTheme="minorBidi" w:cstheme="minorBidi"/>
        </w:rPr>
      </w:pPr>
    </w:p>
    <w:p w14:paraId="1DB868C1" w14:textId="77777777" w:rsidR="00980CCA" w:rsidRPr="00EF589C" w:rsidRDefault="00980CCA" w:rsidP="00980CCA">
      <w:pPr>
        <w:spacing w:after="0" w:line="240" w:lineRule="auto"/>
        <w:ind w:left="0" w:firstLine="709"/>
        <w:rPr>
          <w:rFonts w:eastAsia="Times New Roman"/>
          <w:kern w:val="0"/>
          <w:shd w:val="clear" w:color="auto" w:fill="FFFFFF"/>
          <w:lang w:val="mn-MN"/>
          <w14:ligatures w14:val="none"/>
        </w:rPr>
      </w:pPr>
      <w:bookmarkStart w:id="0" w:name="_Hlk195610271"/>
      <w:r w:rsidRPr="00EF589C">
        <w:rPr>
          <w:rFonts w:eastAsia="Times New Roman"/>
          <w:kern w:val="0"/>
          <w:lang w:val="mn-MN" w:eastAsia="en-US"/>
          <w14:ligatures w14:val="none"/>
        </w:rPr>
        <w:t>Монгол Улсын Үндсэн хуулийн</w:t>
      </w:r>
      <w:r w:rsidRPr="00EF589C">
        <w:rPr>
          <w:rFonts w:eastAsia="Times New Roman"/>
          <w:kern w:val="0"/>
          <w:vertAlign w:val="superscript"/>
          <w:lang w:val="mn-MN" w:eastAsia="en-US"/>
          <w14:ligatures w14:val="none"/>
        </w:rPr>
        <w:footnoteReference w:id="1"/>
      </w:r>
      <w:r w:rsidRPr="00EF589C">
        <w:rPr>
          <w:rFonts w:eastAsia="Times New Roman"/>
          <w:kern w:val="0"/>
          <w:lang w:val="mn-MN" w:eastAsia="en-US"/>
          <w14:ligatures w14:val="none"/>
        </w:rPr>
        <w:t xml:space="preserve"> Арван есдүгээр зүйлийн 1 дэх хэсэгт “</w:t>
      </w:r>
      <w:r w:rsidRPr="00EF589C">
        <w:rPr>
          <w:rFonts w:eastAsia="Times New Roman"/>
          <w:kern w:val="0"/>
          <w:shd w:val="clear" w:color="auto" w:fill="FFFFFF"/>
          <w:lang w:val="mn-MN" w:eastAsia="en-US"/>
          <w14:ligatures w14:val="none"/>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EF589C">
        <w:rPr>
          <w:rFonts w:eastAsia="Times New Roman"/>
          <w:kern w:val="0"/>
          <w:lang w:val="mn-MN" w:eastAsia="en-US"/>
          <w14:ligatures w14:val="none"/>
        </w:rPr>
        <w:t>” гэж, мөн Монгол</w:t>
      </w:r>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Улсын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шүүхийн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тухай</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хуулийн</w:t>
      </w:r>
      <w:proofErr w:type="spellEnd"/>
      <w:r w:rsidRPr="00EF589C">
        <w:rPr>
          <w:rFonts w:eastAsia="Times New Roman"/>
          <w:kern w:val="0"/>
          <w:lang w:val="x-none" w:eastAsia="en-US"/>
          <w14:ligatures w14:val="none"/>
        </w:rPr>
        <w:t xml:space="preserve"> 4 </w:t>
      </w:r>
      <w:proofErr w:type="spellStart"/>
      <w:r w:rsidRPr="00EF589C">
        <w:rPr>
          <w:rFonts w:eastAsia="Times New Roman"/>
          <w:kern w:val="0"/>
          <w:lang w:val="x-none" w:eastAsia="en-US"/>
          <w14:ligatures w14:val="none"/>
        </w:rPr>
        <w:t>дүгээр</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зүйлд</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шүүхийн</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эрхэм</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lang w:val="x-none" w:eastAsia="en-US"/>
          <w14:ligatures w14:val="none"/>
        </w:rPr>
        <w:t>зорилгыг</w:t>
      </w:r>
      <w:proofErr w:type="spellEnd"/>
      <w:r w:rsidRPr="00EF589C">
        <w:rPr>
          <w:rFonts w:eastAsia="Times New Roman"/>
          <w:kern w:val="0"/>
          <w:lang w:val="x-none" w:eastAsia="en-US"/>
          <w14:ligatures w14:val="none"/>
        </w:rPr>
        <w:t xml:space="preserve"> </w:t>
      </w:r>
      <w:proofErr w:type="spellStart"/>
      <w:r w:rsidRPr="00EF589C">
        <w:rPr>
          <w:rFonts w:eastAsia="Times New Roman"/>
          <w:kern w:val="0"/>
          <w:shd w:val="clear" w:color="auto" w:fill="FFFFFF"/>
          <w:lang w:val="x-none"/>
          <w14:ligatures w14:val="none"/>
        </w:rPr>
        <w:t>х</w:t>
      </w:r>
      <w:r w:rsidRPr="00EF589C">
        <w:rPr>
          <w:rFonts w:eastAsia="Times New Roman"/>
          <w:kern w:val="0"/>
          <w:shd w:val="clear" w:color="auto" w:fill="FFFFFF"/>
          <w:lang w:val="mn-MN"/>
          <w14:ligatures w14:val="none"/>
        </w:rPr>
        <w:t>үний</w:t>
      </w:r>
      <w:proofErr w:type="spellEnd"/>
      <w:r w:rsidRPr="00EF589C">
        <w:rPr>
          <w:rFonts w:eastAsia="Times New Roman"/>
          <w:kern w:val="0"/>
          <w:shd w:val="clear" w:color="auto" w:fill="FFFFFF"/>
          <w:lang w:val="mn-MN"/>
          <w14:ligatures w14:val="none"/>
        </w:rPr>
        <w:t xml:space="preserve"> эрх, эрх чөлөөг хамгаалах, зөрчигдсөн эрхийг сэргээн эдлүүлэх,  шударга шүүхээр шүүлгэх иргэний эрхийг хангах гэж тус тус заажээ. </w:t>
      </w:r>
    </w:p>
    <w:p w14:paraId="46977C7E" w14:textId="77777777" w:rsidR="00980CCA" w:rsidRPr="00EF589C" w:rsidRDefault="00980CCA" w:rsidP="00980CCA">
      <w:pPr>
        <w:spacing w:after="0" w:line="240" w:lineRule="auto"/>
        <w:ind w:left="0" w:firstLine="0"/>
        <w:rPr>
          <w:rFonts w:eastAsia="Times New Roman"/>
          <w:kern w:val="0"/>
          <w:shd w:val="clear" w:color="auto" w:fill="FFFFFF"/>
          <w:lang w:val="mn-MN"/>
          <w14:ligatures w14:val="none"/>
        </w:rPr>
      </w:pPr>
    </w:p>
    <w:p w14:paraId="749EB22E" w14:textId="77777777" w:rsidR="00980CCA" w:rsidRPr="00980CCA" w:rsidRDefault="00980CCA" w:rsidP="00980CCA">
      <w:pPr>
        <w:spacing w:after="0" w:line="240" w:lineRule="auto"/>
        <w:ind w:left="0" w:firstLine="0"/>
        <w:rPr>
          <w:rFonts w:eastAsia="Times New Roman"/>
          <w:noProof/>
          <w:color w:val="auto"/>
          <w:kern w:val="0"/>
          <w:lang w:val="mn-MN" w:eastAsia="en-US" w:bidi="ar-DZ"/>
          <w14:ligatures w14:val="none"/>
        </w:rPr>
      </w:pPr>
      <w:r w:rsidRPr="00980CCA">
        <w:rPr>
          <w:rFonts w:eastAsia="Times New Roman"/>
          <w:noProof/>
          <w:color w:val="auto"/>
          <w:kern w:val="0"/>
          <w:lang w:val="mn-MN" w:eastAsia="en-US" w:bidi="ar-DZ"/>
          <w14:ligatures w14:val="none"/>
        </w:rPr>
        <w:tab/>
        <w:t>Монгол Улсын Үндсэн хуулийн</w:t>
      </w:r>
      <w:r w:rsidRPr="00980CCA">
        <w:rPr>
          <w:rFonts w:eastAsia="Times New Roman"/>
          <w:noProof/>
          <w:color w:val="auto"/>
          <w:kern w:val="0"/>
          <w:vertAlign w:val="superscript"/>
          <w:lang w:val="mn-MN" w:eastAsia="en-US" w:bidi="ar-DZ"/>
          <w14:ligatures w14:val="none"/>
        </w:rPr>
        <w:footnoteReference w:id="2"/>
      </w:r>
      <w:r w:rsidRPr="00980CCA">
        <w:rPr>
          <w:rFonts w:eastAsia="Times New Roman"/>
          <w:noProof/>
          <w:color w:val="auto"/>
          <w:kern w:val="0"/>
          <w:lang w:val="mn-MN" w:eastAsia="en-US" w:bidi="ar-DZ"/>
          <w14:ligatures w14:val="none"/>
        </w:rPr>
        <w:t xml:space="preserve">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мөн Монгол</w:t>
      </w:r>
      <w:r w:rsidRPr="00980CCA">
        <w:rPr>
          <w:rFonts w:eastAsia="Times New Roman"/>
          <w:noProof/>
          <w:color w:val="auto"/>
          <w:kern w:val="0"/>
          <w:lang w:val="x-none" w:eastAsia="en-US" w:bidi="ar-DZ"/>
          <w14:ligatures w14:val="none"/>
        </w:rPr>
        <w:t xml:space="preserve"> Улсын шүүхийн тухай хуулийн 4 дүгээр зүйлд шүүхийн эрхэм зорилгыг х</w:t>
      </w:r>
      <w:r w:rsidRPr="00980CCA">
        <w:rPr>
          <w:rFonts w:eastAsia="Times New Roman"/>
          <w:noProof/>
          <w:color w:val="auto"/>
          <w:kern w:val="0"/>
          <w:lang w:val="mn-MN" w:eastAsia="en-US" w:bidi="ar-DZ"/>
          <w14:ligatures w14:val="none"/>
        </w:rPr>
        <w:t xml:space="preserve">үний эрх, эрх чөлөөг хамгаалах, зөрчигдсөн эрхийг сэргээн эдлүүлэх,  шударга шүүхээр шүүлгэх иргэний эрхийг хангах гэж тус тус заажээ. </w:t>
      </w:r>
    </w:p>
    <w:p w14:paraId="072679A3" w14:textId="77777777" w:rsidR="00980CCA" w:rsidRPr="00980CCA" w:rsidRDefault="00980CCA" w:rsidP="00980CCA">
      <w:pPr>
        <w:spacing w:after="0" w:line="240" w:lineRule="auto"/>
        <w:ind w:left="0" w:firstLine="0"/>
        <w:rPr>
          <w:rFonts w:eastAsia="Times New Roman"/>
          <w:noProof/>
          <w:color w:val="auto"/>
          <w:kern w:val="0"/>
          <w:lang w:val="mn-MN" w:eastAsia="en-US" w:bidi="ar-DZ"/>
          <w14:ligatures w14:val="none"/>
        </w:rPr>
      </w:pPr>
    </w:p>
    <w:p w14:paraId="6A151D7B" w14:textId="77777777" w:rsidR="00980CCA" w:rsidRPr="00980CCA" w:rsidRDefault="00980CCA" w:rsidP="00980CCA">
      <w:pPr>
        <w:spacing w:after="0" w:line="240" w:lineRule="auto"/>
        <w:ind w:left="0" w:firstLine="0"/>
        <w:rPr>
          <w:rFonts w:eastAsia="Times New Roman"/>
          <w:noProof/>
          <w:color w:val="auto"/>
          <w:kern w:val="0"/>
          <w:lang w:val="mn-MN" w:eastAsia="en-US" w:bidi="ar-DZ"/>
          <w14:ligatures w14:val="none"/>
        </w:rPr>
      </w:pPr>
      <w:bookmarkStart w:id="1" w:name="_Hlk195621380"/>
      <w:r w:rsidRPr="00980CCA">
        <w:rPr>
          <w:rFonts w:eastAsia="Times New Roman"/>
          <w:noProof/>
          <w:color w:val="auto"/>
          <w:kern w:val="0"/>
          <w:lang w:val="mn-MN" w:eastAsia="en-US" w:bidi="ar-DZ"/>
          <w14:ligatures w14:val="none"/>
        </w:rPr>
        <w:tab/>
      </w:r>
      <w:bookmarkEnd w:id="1"/>
      <w:r w:rsidRPr="00980CCA">
        <w:rPr>
          <w:rFonts w:eastAsia="Times New Roman"/>
          <w:noProof/>
          <w:color w:val="auto"/>
          <w:kern w:val="0"/>
          <w:lang w:val="mn-MN" w:eastAsia="en-US" w:bidi="ar-DZ"/>
          <w14:ligatures w14:val="none"/>
        </w:rPr>
        <w:t>Монгол Улсын хууль тогтомжийг 2028 он хүртэл боловсронгуй болгох үндсэн чиглэлийн</w:t>
      </w:r>
      <w:r w:rsidRPr="00980CCA">
        <w:rPr>
          <w:rFonts w:eastAsia="Times New Roman"/>
          <w:noProof/>
          <w:color w:val="auto"/>
          <w:kern w:val="0"/>
          <w:vertAlign w:val="superscript"/>
          <w:lang w:val="mn-MN" w:eastAsia="en-US" w:bidi="ar-DZ"/>
          <w14:ligatures w14:val="none"/>
        </w:rPr>
        <w:footnoteReference w:id="3"/>
      </w:r>
      <w:r w:rsidRPr="00980CCA">
        <w:rPr>
          <w:rFonts w:eastAsia="Times New Roman"/>
          <w:noProof/>
          <w:color w:val="auto"/>
          <w:kern w:val="0"/>
          <w:lang w:val="mn-MN" w:eastAsia="en-US" w:bidi="ar-DZ"/>
          <w14:ligatures w14:val="none"/>
        </w:rPr>
        <w:t xml:space="preserve"> 47-д Шүүхийн шийдвэр гүйцэтгэх тухай хуулийн шинэчилсэн найруулгын төслийг боловсруулахаар, Монгол Улсын Засгийн газрын 2024-2028 оны үйл ажиллагааны хөтөлбөрийн</w:t>
      </w:r>
      <w:r w:rsidRPr="00980CCA">
        <w:rPr>
          <w:rFonts w:eastAsia="Times New Roman"/>
          <w:noProof/>
          <w:color w:val="auto"/>
          <w:kern w:val="0"/>
          <w:vertAlign w:val="superscript"/>
          <w:lang w:val="mn-MN" w:eastAsia="en-US" w:bidi="ar-DZ"/>
          <w14:ligatures w14:val="none"/>
        </w:rPr>
        <w:footnoteReference w:id="4"/>
      </w:r>
      <w:r w:rsidRPr="00980CCA">
        <w:rPr>
          <w:rFonts w:eastAsia="Times New Roman"/>
          <w:noProof/>
          <w:color w:val="auto"/>
          <w:kern w:val="0"/>
          <w:lang w:val="mn-MN" w:eastAsia="en-US" w:bidi="ar-DZ"/>
          <w14:ligatures w14:val="none"/>
        </w:rPr>
        <w:t xml:space="preserve"> 3.2.2.7-д “… иргэний шүүхийн шийдвэр гүйцэтгэл, … эрх зүйн орчныг боловсронгуй болгоно.” гэж заасны дагуу иргэн, захиргааны шүүхийн шийдвэр гүйцэтгэх ажиллагааг сайжруулах хууль, эрх зүй, зохион байгуулалтын цогц арга хэмжээг авах, шүүхийн шийдвэр гүйцэтгэх ажиллагааны үндэслэл, журмыг тогтоож, олон улсын сайн жишигт хүргэх” гэж тус тус заасан. </w:t>
      </w:r>
    </w:p>
    <w:p w14:paraId="4718EB86" w14:textId="77777777" w:rsidR="00980CCA" w:rsidRPr="00980CCA" w:rsidRDefault="00980CCA" w:rsidP="00980CCA">
      <w:pPr>
        <w:spacing w:after="0" w:line="240" w:lineRule="auto"/>
        <w:ind w:left="0" w:firstLine="0"/>
        <w:rPr>
          <w:rFonts w:eastAsia="Times New Roman"/>
          <w:noProof/>
          <w:color w:val="auto"/>
          <w:kern w:val="0"/>
          <w:lang w:val="mn-MN" w:eastAsia="en-US" w:bidi="ar-DZ"/>
          <w14:ligatures w14:val="none"/>
        </w:rPr>
      </w:pPr>
    </w:p>
    <w:p w14:paraId="2210467A" w14:textId="18317B6A" w:rsidR="00980CCA" w:rsidRPr="00980CCA" w:rsidRDefault="00980CCA" w:rsidP="00980CCA">
      <w:pPr>
        <w:spacing w:after="0" w:line="240" w:lineRule="auto"/>
        <w:ind w:left="0" w:firstLine="0"/>
        <w:rPr>
          <w:rFonts w:eastAsia="Times New Roman"/>
          <w:noProof/>
          <w:color w:val="auto"/>
          <w:kern w:val="0"/>
          <w:lang w:val="mn-MN" w:eastAsia="en-US" w:bidi="ar-DZ"/>
          <w14:ligatures w14:val="none"/>
        </w:rPr>
      </w:pPr>
      <w:r w:rsidRPr="00980CCA">
        <w:rPr>
          <w:rFonts w:eastAsia="Times New Roman"/>
          <w:noProof/>
          <w:color w:val="auto"/>
          <w:kern w:val="0"/>
          <w:lang w:val="mn-MN" w:eastAsia="en-US" w:bidi="ar-DZ"/>
          <w14:ligatures w14:val="none"/>
        </w:rPr>
        <w:tab/>
        <w:t xml:space="preserve">Иймд иргэний шийдвэр гүйцэтгэх албаны тогтолцоо, иргэний шийдвэр гүйцэтгэгчийн эрх зүйн байдлыг олон улсын жишигт нийцүүлэх үүднээс уг хуулийн төслийг боловсруулах </w:t>
      </w:r>
      <w:r>
        <w:rPr>
          <w:rFonts w:eastAsia="Times New Roman"/>
          <w:noProof/>
          <w:color w:val="auto"/>
          <w:kern w:val="0"/>
          <w:lang w:val="mn-MN" w:eastAsia="en-US" w:bidi="ar-DZ"/>
          <w14:ligatures w14:val="none"/>
        </w:rPr>
        <w:t xml:space="preserve">үндэслэл бүрдсэн. </w:t>
      </w:r>
      <w:r w:rsidRPr="00980CCA">
        <w:rPr>
          <w:rFonts w:eastAsia="Times New Roman"/>
          <w:noProof/>
          <w:color w:val="auto"/>
          <w:kern w:val="0"/>
          <w:lang w:val="mn-MN" w:eastAsia="en-US" w:bidi="ar-DZ"/>
          <w14:ligatures w14:val="none"/>
        </w:rPr>
        <w:t xml:space="preserve"> </w:t>
      </w:r>
    </w:p>
    <w:p w14:paraId="4C485A00" w14:textId="77777777" w:rsidR="00980CCA" w:rsidRPr="00EF589C" w:rsidRDefault="00980CCA" w:rsidP="00980CCA">
      <w:pPr>
        <w:spacing w:after="0" w:line="240" w:lineRule="auto"/>
        <w:ind w:left="0" w:firstLine="0"/>
        <w:rPr>
          <w:rFonts w:eastAsia="Times New Roman"/>
          <w:kern w:val="0"/>
          <w:shd w:val="clear" w:color="auto" w:fill="FFFFFF"/>
          <w:lang w:val="mn-MN" w:eastAsia="en-US"/>
          <w14:ligatures w14:val="none"/>
        </w:rPr>
      </w:pPr>
    </w:p>
    <w:bookmarkEnd w:id="0"/>
    <w:p w14:paraId="0EB18A92" w14:textId="6B86D701" w:rsidR="00980CCA" w:rsidRDefault="00980CCA" w:rsidP="00980CCA">
      <w:pPr>
        <w:ind w:left="-15" w:firstLine="735"/>
        <w:rPr>
          <w:rFonts w:asciiTheme="minorBidi" w:hAnsiTheme="minorBidi" w:cstheme="minorBidi"/>
          <w:lang w:val="mn-MN"/>
        </w:rPr>
      </w:pPr>
      <w:r>
        <w:rPr>
          <w:rFonts w:asciiTheme="minorBidi" w:hAnsiTheme="minorBidi" w:cstheme="minorBidi"/>
          <w:lang w:val="mn-MN"/>
        </w:rPr>
        <w:t xml:space="preserve">Хуулийн төслийг хуулийн хэрэгжилтийн үр дагаварт хийсэн үнэлгээнд үндэслэн </w:t>
      </w:r>
      <w:r w:rsidR="002A3338">
        <w:rPr>
          <w:rFonts w:asciiTheme="minorBidi" w:hAnsiTheme="minorBidi" w:cstheme="minorBidi"/>
          <w:lang w:val="mn-MN"/>
        </w:rPr>
        <w:t xml:space="preserve">Хууль зүй, дотоод хэргийн сайдын 2025 оны А/104 дүгээр тушаалаар байгуулсан Ажлын хэсгээс </w:t>
      </w:r>
      <w:r>
        <w:rPr>
          <w:rFonts w:asciiTheme="minorBidi" w:hAnsiTheme="minorBidi" w:cstheme="minorBidi"/>
          <w:lang w:val="mn-MN"/>
        </w:rPr>
        <w:t xml:space="preserve">боловсруулсан. </w:t>
      </w:r>
    </w:p>
    <w:p w14:paraId="4C1DAAFA" w14:textId="77777777" w:rsidR="00980CCA" w:rsidRDefault="00980CCA" w:rsidP="00980CCA">
      <w:pPr>
        <w:ind w:left="-15" w:firstLine="735"/>
        <w:rPr>
          <w:rFonts w:asciiTheme="minorBidi" w:hAnsiTheme="minorBidi" w:cstheme="minorBidi"/>
          <w:lang w:val="mn-MN"/>
        </w:rPr>
      </w:pPr>
    </w:p>
    <w:p w14:paraId="16850A0C" w14:textId="77777777" w:rsidR="00980CCA" w:rsidRPr="00177351" w:rsidRDefault="00980CCA" w:rsidP="00980CCA">
      <w:pPr>
        <w:spacing w:after="0" w:line="240" w:lineRule="auto"/>
        <w:ind w:left="0" w:firstLine="720"/>
        <w:rPr>
          <w:rFonts w:eastAsia="Times New Roman"/>
          <w:noProof/>
          <w:color w:val="auto"/>
          <w:kern w:val="0"/>
          <w:lang w:val="bs-Latn-BA" w:eastAsia="en-US"/>
          <w14:ligatures w14:val="none"/>
        </w:rPr>
      </w:pPr>
      <w:r w:rsidRPr="00177351">
        <w:rPr>
          <w:rFonts w:eastAsia="Times New Roman"/>
          <w:noProof/>
          <w:color w:val="auto"/>
          <w:kern w:val="0"/>
          <w:lang w:val="bs-Latn-BA" w:eastAsia="en-US"/>
          <w14:ligatures w14:val="none"/>
        </w:rPr>
        <w:t xml:space="preserve">Шүүхийн шийдвэр гүйцэтгэх байгууллагын тогтолцоо, шийдвэр гүйцэтгэгчийн эрх зүйн байдлын тухай хуулийн төслийг дараах зарчмын шинжтэй өөрчлөлтийн хүрээнд боловсруулна. </w:t>
      </w:r>
    </w:p>
    <w:p w14:paraId="08DF30E6" w14:textId="77777777" w:rsidR="00980CCA" w:rsidRPr="00177351" w:rsidRDefault="00980CCA" w:rsidP="00980CCA">
      <w:pPr>
        <w:spacing w:after="0" w:line="240" w:lineRule="auto"/>
        <w:ind w:left="0" w:firstLine="720"/>
        <w:rPr>
          <w:rFonts w:eastAsia="Times New Roman"/>
          <w:noProof/>
          <w:color w:val="auto"/>
          <w:kern w:val="0"/>
          <w:lang w:val="bs-Latn-BA" w:eastAsia="en-US"/>
          <w14:ligatures w14:val="none"/>
        </w:rPr>
      </w:pPr>
    </w:p>
    <w:p w14:paraId="7563A66B" w14:textId="59CCA6E6" w:rsidR="00980CCA" w:rsidRPr="00177351" w:rsidRDefault="00980CCA" w:rsidP="00980CCA">
      <w:pPr>
        <w:spacing w:after="0" w:line="240" w:lineRule="auto"/>
        <w:ind w:left="0" w:firstLine="720"/>
        <w:rPr>
          <w:rFonts w:eastAsia="Times New Roman"/>
          <w:noProof/>
          <w:color w:val="auto"/>
          <w:kern w:val="0"/>
          <w:lang w:val="bs-Latn-BA" w:eastAsia="en-US"/>
          <w14:ligatures w14:val="none"/>
        </w:rPr>
      </w:pPr>
      <w:r w:rsidRPr="00177351">
        <w:rPr>
          <w:rFonts w:eastAsia="Times New Roman"/>
          <w:noProof/>
          <w:color w:val="auto"/>
          <w:kern w:val="0"/>
          <w:lang w:val="bs-Latn-BA" w:eastAsia="en-US"/>
          <w14:ligatures w14:val="none"/>
        </w:rPr>
        <w:t xml:space="preserve">Шүүхийн шийдвэр гүйцэтгэх байгууллага Засгийн газрын агентлаг хэвээрээ байхаар, ингэхдээ эрүү, зөрчлийн хэргийн шийдвэр гүйцэтгэх ажиллагаа нь төрийн цэргийн алба хаагчдаас бүрдэхээр, харин иргэний болон захиргааны хэргийн шийдвэр </w:t>
      </w:r>
      <w:r w:rsidRPr="00177351">
        <w:rPr>
          <w:rFonts w:eastAsia="Times New Roman"/>
          <w:noProof/>
          <w:color w:val="auto"/>
          <w:kern w:val="0"/>
          <w:lang w:val="bs-Latn-BA" w:eastAsia="en-US"/>
          <w14:ligatures w14:val="none"/>
        </w:rPr>
        <w:lastRenderedPageBreak/>
        <w:t>гүйцэтгэх ажиллагааг хэрэгжүүлэгч байгууллага нь тус байгууллагын харьяа алба байхаар, гэсэн хэдий ч төрийн цэргийн алба хаагчийн статусгүй зөвхөн төрийн албан хаагчийн цалин хөлс авах, шийдвэр гүйцэтгэх ажиллагааны урамшуулал авахаар тусгалаа.</w:t>
      </w:r>
      <w:r w:rsidR="003E2BF7">
        <w:rPr>
          <w:rFonts w:eastAsia="Times New Roman"/>
          <w:noProof/>
          <w:color w:val="auto"/>
          <w:kern w:val="0"/>
          <w:lang w:val="bs-Latn-BA" w:eastAsia="en-US"/>
          <w14:ligatures w14:val="none"/>
        </w:rPr>
        <w:t xml:space="preserve"> Ингэснээр төсөвт үүсэх зардал хэмнэх юм. </w:t>
      </w:r>
    </w:p>
    <w:p w14:paraId="6FC2B35A" w14:textId="77777777" w:rsidR="00980CCA" w:rsidRPr="00980CCA" w:rsidRDefault="00980CCA" w:rsidP="002A3338">
      <w:pPr>
        <w:spacing w:after="0" w:line="259" w:lineRule="auto"/>
        <w:ind w:left="0" w:firstLine="0"/>
        <w:jc w:val="left"/>
        <w:rPr>
          <w:rFonts w:asciiTheme="minorBidi" w:hAnsiTheme="minorBidi" w:cstheme="minorBidi"/>
          <w:lang w:val="bs-Latn-BA"/>
        </w:rPr>
      </w:pPr>
    </w:p>
    <w:p w14:paraId="1B6789E5" w14:textId="4559DB61" w:rsidR="00980CCA" w:rsidRDefault="00980CCA" w:rsidP="00980CCA">
      <w:pPr>
        <w:ind w:left="-15"/>
        <w:rPr>
          <w:rFonts w:asciiTheme="minorBidi" w:hAnsiTheme="minorBidi" w:cstheme="minorBidi"/>
          <w:lang w:val="mn-MN"/>
        </w:rPr>
      </w:pPr>
      <w:r w:rsidRPr="00177351">
        <w:rPr>
          <w:rFonts w:asciiTheme="minorBidi" w:hAnsiTheme="minorBidi" w:cstheme="minorBidi"/>
          <w:lang w:val="mn-MN"/>
        </w:rPr>
        <w:t xml:space="preserve">Иймд хуулийн төслөөр </w:t>
      </w:r>
      <w:r>
        <w:rPr>
          <w:rFonts w:asciiTheme="minorBidi" w:hAnsiTheme="minorBidi" w:cstheme="minorBidi"/>
          <w:lang w:val="mn-MN"/>
        </w:rPr>
        <w:t xml:space="preserve">шүүхийн шийдвэр гүйцэтгэх байгууллага, тэр дундаа иргэний шийдвэр гүйцэтгэх албыг шийдвэр гүйцэтгэх ажиллагааны онцлог, олон улсын жишигт нийцүүлж, цэргийн албаны хууль тогтоомж хамаарахгүй, урамшуулалд суурилсан шуурхай, үр дүнтэй тогтолцоог ялгамжтай байдлаар бий болгосон зохицуулалтыг тусгалаа. </w:t>
      </w:r>
    </w:p>
    <w:p w14:paraId="5268DD60" w14:textId="77777777" w:rsidR="00901694" w:rsidRDefault="00901694" w:rsidP="00980CCA">
      <w:pPr>
        <w:ind w:left="-15"/>
        <w:rPr>
          <w:rFonts w:asciiTheme="minorBidi" w:hAnsiTheme="minorBidi" w:cstheme="minorBidi"/>
          <w:lang w:val="mn-MN"/>
        </w:rPr>
      </w:pPr>
    </w:p>
    <w:p w14:paraId="04678D25" w14:textId="2CC4D46A" w:rsidR="00901694" w:rsidRDefault="00901694" w:rsidP="00901694">
      <w:pPr>
        <w:ind w:left="-15"/>
        <w:rPr>
          <w:rFonts w:asciiTheme="minorBidi" w:hAnsiTheme="minorBidi" w:cstheme="minorBidi"/>
          <w:lang w:val="mn-MN"/>
        </w:rPr>
      </w:pPr>
      <w:r>
        <w:rPr>
          <w:rFonts w:asciiTheme="minorBidi" w:hAnsiTheme="minorBidi" w:cstheme="minorBidi"/>
          <w:lang w:val="mn-MN"/>
        </w:rPr>
        <w:t xml:space="preserve">Хуулийн төсөлд санал авахаар Хууль зүй, дотоод хэргийн сайдын 2025 оны 04 дүгээр сарын 22-ны өдрийн 1/2075 тоот албан бичиг хүргүүлж, холбогдох </w:t>
      </w:r>
      <w:r w:rsidR="00EC693D">
        <w:rPr>
          <w:rFonts w:asciiTheme="minorBidi" w:hAnsiTheme="minorBidi" w:cstheme="minorBidi"/>
          <w:lang w:val="mn-MN"/>
        </w:rPr>
        <w:t xml:space="preserve">төрийн болон төрийн бус </w:t>
      </w:r>
      <w:r>
        <w:rPr>
          <w:rFonts w:asciiTheme="minorBidi" w:hAnsiTheme="minorBidi" w:cstheme="minorBidi"/>
          <w:lang w:val="mn-MN"/>
        </w:rPr>
        <w:t>байгууллагаас санал авч, холбогдох саналыг тусгав.</w:t>
      </w:r>
    </w:p>
    <w:p w14:paraId="3E3B0F28" w14:textId="77777777" w:rsidR="00901694" w:rsidRDefault="00901694" w:rsidP="00901694">
      <w:pPr>
        <w:ind w:left="-15"/>
        <w:rPr>
          <w:rFonts w:asciiTheme="minorBidi" w:hAnsiTheme="minorBidi" w:cstheme="minorBidi"/>
          <w:lang w:val="mn-MN"/>
        </w:rPr>
      </w:pPr>
    </w:p>
    <w:p w14:paraId="639AD703" w14:textId="6B2DF612" w:rsidR="00901694" w:rsidRPr="00177351" w:rsidRDefault="00901694" w:rsidP="00901694">
      <w:pPr>
        <w:ind w:left="-15"/>
        <w:rPr>
          <w:rFonts w:asciiTheme="minorBidi" w:hAnsiTheme="minorBidi" w:cstheme="minorBidi"/>
          <w:lang w:val="mn-MN"/>
        </w:rPr>
      </w:pPr>
      <w:r>
        <w:rPr>
          <w:rFonts w:asciiTheme="minorBidi" w:hAnsiTheme="minorBidi" w:cstheme="minorBidi"/>
          <w:lang w:val="mn-MN"/>
        </w:rPr>
        <w:t xml:space="preserve">Мөн хуулийн төслийн хэлэлцүүлгийг 4 удаа зохион байгуулж, хэлэлцүүлэгт оролцогчдын санал, хүсэлтийг хуулийн төсөлд харгалзан үзэж, тусгав. </w:t>
      </w:r>
    </w:p>
    <w:p w14:paraId="2319E196" w14:textId="51F1BE6F" w:rsidR="00980CCA" w:rsidRPr="00177351" w:rsidRDefault="00980CCA" w:rsidP="002A3338">
      <w:pPr>
        <w:spacing w:after="0" w:line="259" w:lineRule="auto"/>
        <w:ind w:left="915" w:firstLine="0"/>
        <w:jc w:val="center"/>
        <w:rPr>
          <w:rFonts w:asciiTheme="minorBidi" w:hAnsiTheme="minorBidi" w:cstheme="minorBidi"/>
          <w:lang w:val="mn-MN"/>
        </w:rPr>
      </w:pPr>
      <w:r w:rsidRPr="00177351">
        <w:rPr>
          <w:rFonts w:asciiTheme="minorBidi" w:hAnsiTheme="minorBidi" w:cstheme="minorBidi"/>
          <w:lang w:val="mn-MN"/>
        </w:rPr>
        <w:t xml:space="preserve">  </w:t>
      </w:r>
    </w:p>
    <w:p w14:paraId="32EFF95B" w14:textId="77777777" w:rsidR="00980CCA" w:rsidRPr="00177351" w:rsidRDefault="00980CCA" w:rsidP="00980CCA">
      <w:pPr>
        <w:spacing w:after="0" w:line="259" w:lineRule="auto"/>
        <w:ind w:left="915" w:firstLine="0"/>
        <w:jc w:val="center"/>
        <w:rPr>
          <w:rFonts w:asciiTheme="minorBidi" w:hAnsiTheme="minorBidi" w:cstheme="minorBidi"/>
          <w:lang w:val="mn-MN"/>
        </w:rPr>
      </w:pPr>
      <w:r w:rsidRPr="00177351">
        <w:rPr>
          <w:rFonts w:asciiTheme="minorBidi" w:hAnsiTheme="minorBidi" w:cstheme="minorBidi"/>
          <w:lang w:val="mn-MN"/>
        </w:rPr>
        <w:t xml:space="preserve"> </w:t>
      </w:r>
    </w:p>
    <w:p w14:paraId="1204CC04" w14:textId="77777777" w:rsidR="006B771B" w:rsidRPr="009844F9" w:rsidRDefault="006B771B" w:rsidP="006B771B">
      <w:pPr>
        <w:ind w:left="3600" w:firstLine="720"/>
        <w:rPr>
          <w:color w:val="000000" w:themeColor="text1"/>
          <w:lang w:val="mn-MN"/>
        </w:rPr>
      </w:pPr>
      <w:r w:rsidRPr="00074ED6">
        <w:rPr>
          <w:color w:val="000000" w:themeColor="text1"/>
          <w:lang w:val="mn-MN"/>
        </w:rPr>
        <w:t>---оОо---</w:t>
      </w:r>
    </w:p>
    <w:p w14:paraId="0812B961" w14:textId="7FC72827" w:rsidR="00980CCA" w:rsidRPr="00901694" w:rsidRDefault="00980CCA" w:rsidP="00980CCA">
      <w:pPr>
        <w:spacing w:after="0" w:line="259" w:lineRule="auto"/>
        <w:ind w:left="852" w:firstLine="0"/>
        <w:jc w:val="left"/>
        <w:rPr>
          <w:rFonts w:asciiTheme="minorBidi" w:hAnsiTheme="minorBidi" w:cstheme="minorBidi"/>
          <w:lang w:val="mn-MN"/>
        </w:rPr>
      </w:pPr>
    </w:p>
    <w:p w14:paraId="515E7203" w14:textId="77777777" w:rsidR="00980CCA" w:rsidRPr="00901694" w:rsidRDefault="00980CCA" w:rsidP="00980CCA">
      <w:pPr>
        <w:spacing w:after="0" w:line="259" w:lineRule="auto"/>
        <w:ind w:left="852" w:firstLine="0"/>
        <w:jc w:val="left"/>
        <w:rPr>
          <w:rFonts w:asciiTheme="minorBidi" w:hAnsiTheme="minorBidi" w:cstheme="minorBidi"/>
          <w:lang w:val="mn-MN"/>
        </w:rPr>
      </w:pPr>
      <w:r w:rsidRPr="00901694">
        <w:rPr>
          <w:rFonts w:asciiTheme="minorBidi" w:hAnsiTheme="minorBidi" w:cstheme="minorBidi"/>
          <w:lang w:val="mn-MN"/>
        </w:rPr>
        <w:t xml:space="preserve"> </w:t>
      </w:r>
    </w:p>
    <w:p w14:paraId="2F48CAA3" w14:textId="77777777" w:rsidR="00980CCA" w:rsidRPr="00901694" w:rsidRDefault="00980CCA" w:rsidP="00980CCA">
      <w:pPr>
        <w:spacing w:after="0" w:line="259" w:lineRule="auto"/>
        <w:ind w:left="852" w:firstLine="0"/>
        <w:jc w:val="left"/>
        <w:rPr>
          <w:rFonts w:asciiTheme="minorBidi" w:hAnsiTheme="minorBidi" w:cstheme="minorBidi"/>
          <w:lang w:val="mn-MN"/>
        </w:rPr>
      </w:pPr>
      <w:r w:rsidRPr="00901694">
        <w:rPr>
          <w:rFonts w:asciiTheme="minorBidi" w:hAnsiTheme="minorBidi" w:cstheme="minorBidi"/>
          <w:lang w:val="mn-MN"/>
        </w:rPr>
        <w:t xml:space="preserve"> </w:t>
      </w:r>
    </w:p>
    <w:p w14:paraId="1692981F" w14:textId="77777777" w:rsidR="00980CCA" w:rsidRPr="00901694" w:rsidRDefault="00980CCA" w:rsidP="00980CCA">
      <w:pPr>
        <w:spacing w:after="0" w:line="259" w:lineRule="auto"/>
        <w:ind w:left="852" w:firstLine="0"/>
        <w:jc w:val="left"/>
        <w:rPr>
          <w:rFonts w:asciiTheme="minorBidi" w:hAnsiTheme="minorBidi" w:cstheme="minorBidi"/>
          <w:lang w:val="mn-MN"/>
        </w:rPr>
      </w:pPr>
      <w:r w:rsidRPr="00901694">
        <w:rPr>
          <w:rFonts w:asciiTheme="minorBidi" w:hAnsiTheme="minorBidi" w:cstheme="minorBidi"/>
          <w:lang w:val="mn-MN"/>
        </w:rPr>
        <w:t xml:space="preserve"> </w:t>
      </w:r>
    </w:p>
    <w:p w14:paraId="10E2ACFD" w14:textId="77777777" w:rsidR="00980CCA" w:rsidRPr="00901694" w:rsidRDefault="00980CCA" w:rsidP="00980CCA">
      <w:pPr>
        <w:spacing w:after="0" w:line="259" w:lineRule="auto"/>
        <w:ind w:left="852" w:firstLine="0"/>
        <w:jc w:val="left"/>
        <w:rPr>
          <w:rFonts w:asciiTheme="minorBidi" w:hAnsiTheme="minorBidi" w:cstheme="minorBidi"/>
          <w:lang w:val="mn-MN"/>
        </w:rPr>
      </w:pPr>
      <w:r w:rsidRPr="00901694">
        <w:rPr>
          <w:rFonts w:asciiTheme="minorBidi" w:hAnsiTheme="minorBidi" w:cstheme="minorBidi"/>
          <w:lang w:val="mn-MN"/>
        </w:rPr>
        <w:t xml:space="preserve"> </w:t>
      </w:r>
    </w:p>
    <w:p w14:paraId="63132393" w14:textId="77777777" w:rsidR="00980CCA" w:rsidRPr="00901694" w:rsidRDefault="00980CCA" w:rsidP="00980CCA">
      <w:pPr>
        <w:rPr>
          <w:rFonts w:asciiTheme="minorBidi" w:hAnsiTheme="minorBidi" w:cstheme="minorBidi"/>
          <w:lang w:val="mn-MN"/>
        </w:rPr>
      </w:pPr>
    </w:p>
    <w:p w14:paraId="7048AB0C" w14:textId="77777777" w:rsidR="00980CCA" w:rsidRPr="00901694" w:rsidRDefault="00980CCA" w:rsidP="00980CCA">
      <w:pPr>
        <w:rPr>
          <w:lang w:val="mn-MN"/>
        </w:rPr>
      </w:pPr>
    </w:p>
    <w:p w14:paraId="17F70B4F" w14:textId="77777777" w:rsidR="00C26315" w:rsidRPr="00901694" w:rsidRDefault="00C26315">
      <w:pPr>
        <w:rPr>
          <w:lang w:val="mn-MN"/>
        </w:rPr>
      </w:pPr>
    </w:p>
    <w:sectPr w:rsidR="00C26315" w:rsidRPr="00901694" w:rsidSect="00E8074F">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EE16" w14:textId="77777777" w:rsidR="00673177" w:rsidRDefault="00673177" w:rsidP="00980CCA">
      <w:pPr>
        <w:spacing w:after="0" w:line="240" w:lineRule="auto"/>
      </w:pPr>
      <w:r>
        <w:separator/>
      </w:r>
    </w:p>
  </w:endnote>
  <w:endnote w:type="continuationSeparator" w:id="0">
    <w:p w14:paraId="08D4CE0E" w14:textId="77777777" w:rsidR="00673177" w:rsidRDefault="00673177" w:rsidP="0098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A3E7" w14:textId="77777777" w:rsidR="00673177" w:rsidRDefault="00673177" w:rsidP="00980CCA">
      <w:pPr>
        <w:spacing w:after="0" w:line="240" w:lineRule="auto"/>
      </w:pPr>
      <w:r>
        <w:separator/>
      </w:r>
    </w:p>
  </w:footnote>
  <w:footnote w:type="continuationSeparator" w:id="0">
    <w:p w14:paraId="3AFB9ECE" w14:textId="77777777" w:rsidR="00673177" w:rsidRDefault="00673177" w:rsidP="00980CCA">
      <w:pPr>
        <w:spacing w:after="0" w:line="240" w:lineRule="auto"/>
      </w:pPr>
      <w:r>
        <w:continuationSeparator/>
      </w:r>
    </w:p>
  </w:footnote>
  <w:footnote w:id="1">
    <w:p w14:paraId="2ED6D3BC" w14:textId="77777777" w:rsidR="00980CCA" w:rsidRPr="00DF6BE6" w:rsidRDefault="00980CCA" w:rsidP="00980CCA">
      <w:pPr>
        <w:pStyle w:val="FootnoteText"/>
        <w:ind w:hanging="5329"/>
        <w:rPr>
          <w:szCs w:val="25"/>
          <w:lang w:bidi="mn-Mong-CN"/>
        </w:rPr>
      </w:pPr>
      <w:r w:rsidRPr="00DF6BE6">
        <w:rPr>
          <w:rStyle w:val="FootnoteReference"/>
        </w:rPr>
        <w:footnoteRef/>
      </w:r>
      <w:r w:rsidRPr="00DF6BE6">
        <w:t xml:space="preserve"> </w:t>
      </w:r>
      <w:r w:rsidRPr="00DF6BE6">
        <w:rPr>
          <w:lang w:val="mn-MN"/>
        </w:rPr>
        <w:t xml:space="preserve">Монгол Улсын Үндсэн хууль </w:t>
      </w:r>
      <w:r w:rsidRPr="00DF6BE6">
        <w:rPr>
          <w:szCs w:val="25"/>
          <w:lang w:bidi="mn-Mong-CN"/>
        </w:rPr>
        <w:t>“</w:t>
      </w:r>
      <w:r w:rsidRPr="00DF6BE6">
        <w:rPr>
          <w:szCs w:val="25"/>
          <w:lang w:val="mn-MN" w:bidi="mn-Mong-CN"/>
        </w:rPr>
        <w:t>Төрийн мэдээлэл</w:t>
      </w:r>
      <w:r w:rsidRPr="00DF6BE6">
        <w:rPr>
          <w:szCs w:val="25"/>
          <w:lang w:bidi="mn-Mong-CN"/>
        </w:rPr>
        <w:t xml:space="preserve">” </w:t>
      </w:r>
      <w:proofErr w:type="spellStart"/>
      <w:r w:rsidRPr="00DF6BE6">
        <w:rPr>
          <w:szCs w:val="25"/>
          <w:lang w:bidi="mn-Mong-CN"/>
        </w:rPr>
        <w:t>эмхэтгэлийн</w:t>
      </w:r>
      <w:proofErr w:type="spellEnd"/>
      <w:r w:rsidRPr="00DF6BE6">
        <w:rPr>
          <w:szCs w:val="25"/>
          <w:lang w:bidi="mn-Mong-CN"/>
        </w:rPr>
        <w:t xml:space="preserve"> 1992 </w:t>
      </w:r>
      <w:proofErr w:type="spellStart"/>
      <w:r w:rsidRPr="00DF6BE6">
        <w:rPr>
          <w:szCs w:val="25"/>
          <w:lang w:bidi="mn-Mong-CN"/>
        </w:rPr>
        <w:t>оны</w:t>
      </w:r>
      <w:proofErr w:type="spellEnd"/>
      <w:r w:rsidRPr="00DF6BE6">
        <w:rPr>
          <w:szCs w:val="25"/>
          <w:lang w:bidi="mn-Mong-CN"/>
        </w:rPr>
        <w:t xml:space="preserve"> 1 </w:t>
      </w:r>
      <w:proofErr w:type="spellStart"/>
      <w:r w:rsidRPr="00DF6BE6">
        <w:rPr>
          <w:szCs w:val="25"/>
          <w:lang w:bidi="mn-Mong-CN"/>
        </w:rPr>
        <w:t>дугаарт</w:t>
      </w:r>
      <w:proofErr w:type="spellEnd"/>
      <w:r w:rsidRPr="00DF6BE6">
        <w:rPr>
          <w:szCs w:val="25"/>
          <w:lang w:bidi="mn-Mong-CN"/>
        </w:rPr>
        <w:t xml:space="preserve"> </w:t>
      </w:r>
      <w:proofErr w:type="spellStart"/>
      <w:r w:rsidRPr="00DF6BE6">
        <w:rPr>
          <w:szCs w:val="25"/>
          <w:lang w:bidi="mn-Mong-CN"/>
        </w:rPr>
        <w:t>нийтлэгдсэн</w:t>
      </w:r>
      <w:proofErr w:type="spellEnd"/>
      <w:r w:rsidRPr="00DF6BE6">
        <w:rPr>
          <w:szCs w:val="25"/>
          <w:lang w:bidi="mn-Mong-CN"/>
        </w:rPr>
        <w:t xml:space="preserve">. </w:t>
      </w:r>
    </w:p>
  </w:footnote>
  <w:footnote w:id="2">
    <w:p w14:paraId="0F3CB995" w14:textId="77777777" w:rsidR="00980CCA" w:rsidRPr="00DF6BE6" w:rsidRDefault="00980CCA" w:rsidP="00980CCA">
      <w:pPr>
        <w:pStyle w:val="FootnoteText"/>
        <w:ind w:hanging="5329"/>
        <w:rPr>
          <w:szCs w:val="25"/>
          <w:lang w:bidi="mn-Mong-CN"/>
        </w:rPr>
      </w:pPr>
      <w:r w:rsidRPr="00DF6BE6">
        <w:rPr>
          <w:rStyle w:val="FootnoteReference"/>
        </w:rPr>
        <w:footnoteRef/>
      </w:r>
      <w:r w:rsidRPr="00DF6BE6">
        <w:t xml:space="preserve"> </w:t>
      </w:r>
      <w:r w:rsidRPr="00DF6BE6">
        <w:rPr>
          <w:lang w:val="mn-MN"/>
        </w:rPr>
        <w:t xml:space="preserve">Монгол Улсын Үндсэн хууль </w:t>
      </w:r>
      <w:r w:rsidRPr="00DF6BE6">
        <w:rPr>
          <w:szCs w:val="25"/>
          <w:lang w:bidi="mn-Mong-CN"/>
        </w:rPr>
        <w:t>“</w:t>
      </w:r>
      <w:r w:rsidRPr="00DF6BE6">
        <w:rPr>
          <w:szCs w:val="25"/>
          <w:lang w:val="mn-MN" w:bidi="mn-Mong-CN"/>
        </w:rPr>
        <w:t>Төрийн мэдээлэл</w:t>
      </w:r>
      <w:r w:rsidRPr="00DF6BE6">
        <w:rPr>
          <w:szCs w:val="25"/>
          <w:lang w:bidi="mn-Mong-CN"/>
        </w:rPr>
        <w:t xml:space="preserve">” </w:t>
      </w:r>
      <w:proofErr w:type="spellStart"/>
      <w:r w:rsidRPr="00DF6BE6">
        <w:rPr>
          <w:szCs w:val="25"/>
          <w:lang w:bidi="mn-Mong-CN"/>
        </w:rPr>
        <w:t>эмхэтгэлийн</w:t>
      </w:r>
      <w:proofErr w:type="spellEnd"/>
      <w:r w:rsidRPr="00DF6BE6">
        <w:rPr>
          <w:szCs w:val="25"/>
          <w:lang w:bidi="mn-Mong-CN"/>
        </w:rPr>
        <w:t xml:space="preserve"> 1992 </w:t>
      </w:r>
      <w:proofErr w:type="spellStart"/>
      <w:r w:rsidRPr="00DF6BE6">
        <w:rPr>
          <w:szCs w:val="25"/>
          <w:lang w:bidi="mn-Mong-CN"/>
        </w:rPr>
        <w:t>оны</w:t>
      </w:r>
      <w:proofErr w:type="spellEnd"/>
      <w:r w:rsidRPr="00DF6BE6">
        <w:rPr>
          <w:szCs w:val="25"/>
          <w:lang w:bidi="mn-Mong-CN"/>
        </w:rPr>
        <w:t xml:space="preserve"> 1 </w:t>
      </w:r>
      <w:proofErr w:type="spellStart"/>
      <w:r w:rsidRPr="00DF6BE6">
        <w:rPr>
          <w:szCs w:val="25"/>
          <w:lang w:bidi="mn-Mong-CN"/>
        </w:rPr>
        <w:t>дугаарт</w:t>
      </w:r>
      <w:proofErr w:type="spellEnd"/>
      <w:r w:rsidRPr="00DF6BE6">
        <w:rPr>
          <w:szCs w:val="25"/>
          <w:lang w:bidi="mn-Mong-CN"/>
        </w:rPr>
        <w:t xml:space="preserve"> </w:t>
      </w:r>
      <w:proofErr w:type="spellStart"/>
      <w:r w:rsidRPr="00DF6BE6">
        <w:rPr>
          <w:szCs w:val="25"/>
          <w:lang w:bidi="mn-Mong-CN"/>
        </w:rPr>
        <w:t>нийтлэгдсэн</w:t>
      </w:r>
      <w:proofErr w:type="spellEnd"/>
      <w:r w:rsidRPr="00DF6BE6">
        <w:rPr>
          <w:szCs w:val="25"/>
          <w:lang w:bidi="mn-Mong-CN"/>
        </w:rPr>
        <w:t xml:space="preserve">. </w:t>
      </w:r>
    </w:p>
  </w:footnote>
  <w:footnote w:id="3">
    <w:p w14:paraId="27A83424" w14:textId="77777777" w:rsidR="00980CCA" w:rsidRPr="00F03DA7" w:rsidRDefault="00980CCA" w:rsidP="00980CCA">
      <w:pPr>
        <w:pStyle w:val="FootnoteText"/>
        <w:ind w:hanging="5329"/>
        <w:rPr>
          <w:lang w:val="mn-MN"/>
        </w:rPr>
      </w:pPr>
      <w:r w:rsidRPr="00F03DA7">
        <w:rPr>
          <w:rStyle w:val="FootnoteReference"/>
        </w:rPr>
        <w:footnoteRef/>
      </w:r>
      <w:r w:rsidRPr="00A709EB">
        <w:rPr>
          <w:lang w:val="mn-MN"/>
        </w:rPr>
        <w:t xml:space="preserve"> </w:t>
      </w:r>
      <w:r w:rsidRPr="00F03DA7">
        <w:rPr>
          <w:lang w:val="mn-MN"/>
        </w:rPr>
        <w:t>Монгол Улсын Засгийн газрын 2024 оны 181 дүгээр тогтоолын хавсралт.</w:t>
      </w:r>
    </w:p>
  </w:footnote>
  <w:footnote w:id="4">
    <w:p w14:paraId="7AE50697" w14:textId="77777777" w:rsidR="00980CCA" w:rsidRPr="00F03DA7" w:rsidRDefault="00980CCA" w:rsidP="00980CCA">
      <w:pPr>
        <w:pStyle w:val="FootnoteText"/>
        <w:ind w:hanging="5329"/>
        <w:rPr>
          <w:lang w:val="mn-MN"/>
        </w:rPr>
      </w:pPr>
      <w:r w:rsidRPr="00F03DA7">
        <w:rPr>
          <w:rStyle w:val="FootnoteReference"/>
        </w:rPr>
        <w:footnoteRef/>
      </w:r>
      <w:r w:rsidRPr="00F03DA7">
        <w:rPr>
          <w:lang w:val="mn-MN"/>
        </w:rPr>
        <w:t xml:space="preserve"> Монгол Улсын Их Хурлын 2024 оны 21 дүгээр тогтоолын нэгдүгээр хавсралт.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CA"/>
    <w:rsid w:val="00052083"/>
    <w:rsid w:val="00157517"/>
    <w:rsid w:val="00172822"/>
    <w:rsid w:val="00221884"/>
    <w:rsid w:val="002A3338"/>
    <w:rsid w:val="002A7852"/>
    <w:rsid w:val="003D2460"/>
    <w:rsid w:val="003E2BF7"/>
    <w:rsid w:val="003F0277"/>
    <w:rsid w:val="004067EF"/>
    <w:rsid w:val="004E7B01"/>
    <w:rsid w:val="0053360F"/>
    <w:rsid w:val="00673177"/>
    <w:rsid w:val="0068012F"/>
    <w:rsid w:val="006B771B"/>
    <w:rsid w:val="007F5FDF"/>
    <w:rsid w:val="00901694"/>
    <w:rsid w:val="0096414B"/>
    <w:rsid w:val="00980CCA"/>
    <w:rsid w:val="009F3E5E"/>
    <w:rsid w:val="00A4557D"/>
    <w:rsid w:val="00A673EF"/>
    <w:rsid w:val="00A84C9A"/>
    <w:rsid w:val="00C26315"/>
    <w:rsid w:val="00C9531D"/>
    <w:rsid w:val="00D70C65"/>
    <w:rsid w:val="00E321E0"/>
    <w:rsid w:val="00E8074F"/>
    <w:rsid w:val="00E828A6"/>
    <w:rsid w:val="00EC693D"/>
    <w:rsid w:val="00F13572"/>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6E80"/>
  <w15:chartTrackingRefBased/>
  <w15:docId w15:val="{EA17038E-5207-4A73-9F2D-33E4870B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CA"/>
    <w:pPr>
      <w:spacing w:after="4" w:line="258" w:lineRule="auto"/>
      <w:ind w:left="5329" w:firstLine="842"/>
    </w:pPr>
    <w:rPr>
      <w:rFonts w:ascii="Arial" w:eastAsia="Arial" w:hAnsi="Arial" w:cs="Arial"/>
      <w:color w:val="000000"/>
      <w:kern w:val="2"/>
      <w:szCs w:val="24"/>
      <w:lang w:eastAsia="zh-CN"/>
      <w14:ligatures w14:val="standardContextual"/>
    </w:rPr>
  </w:style>
  <w:style w:type="paragraph" w:styleId="Heading1">
    <w:name w:val="heading 1"/>
    <w:basedOn w:val="Normal"/>
    <w:next w:val="Normal"/>
    <w:link w:val="Heading1Char"/>
    <w:uiPriority w:val="9"/>
    <w:qFormat/>
    <w:rsid w:val="00980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C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C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0C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0C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0C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0C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0C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C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C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0C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0C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0C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0C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0C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0C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CCA"/>
    <w:pPr>
      <w:numPr>
        <w:ilvl w:val="1"/>
      </w:numPr>
      <w:spacing w:after="160"/>
      <w:ind w:left="5329"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C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0C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0CCA"/>
    <w:rPr>
      <w:i/>
      <w:iCs/>
      <w:color w:val="404040" w:themeColor="text1" w:themeTint="BF"/>
    </w:rPr>
  </w:style>
  <w:style w:type="paragraph" w:styleId="ListParagraph">
    <w:name w:val="List Paragraph"/>
    <w:basedOn w:val="Normal"/>
    <w:uiPriority w:val="34"/>
    <w:qFormat/>
    <w:rsid w:val="00980CCA"/>
    <w:pPr>
      <w:ind w:left="720"/>
      <w:contextualSpacing/>
    </w:pPr>
  </w:style>
  <w:style w:type="character" w:styleId="IntenseEmphasis">
    <w:name w:val="Intense Emphasis"/>
    <w:basedOn w:val="DefaultParagraphFont"/>
    <w:uiPriority w:val="21"/>
    <w:qFormat/>
    <w:rsid w:val="00980CCA"/>
    <w:rPr>
      <w:i/>
      <w:iCs/>
      <w:color w:val="2F5496" w:themeColor="accent1" w:themeShade="BF"/>
    </w:rPr>
  </w:style>
  <w:style w:type="paragraph" w:styleId="IntenseQuote">
    <w:name w:val="Intense Quote"/>
    <w:basedOn w:val="Normal"/>
    <w:next w:val="Normal"/>
    <w:link w:val="IntenseQuoteChar"/>
    <w:uiPriority w:val="30"/>
    <w:qFormat/>
    <w:rsid w:val="00980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CCA"/>
    <w:rPr>
      <w:i/>
      <w:iCs/>
      <w:color w:val="2F5496" w:themeColor="accent1" w:themeShade="BF"/>
    </w:rPr>
  </w:style>
  <w:style w:type="character" w:styleId="IntenseReference">
    <w:name w:val="Intense Reference"/>
    <w:basedOn w:val="DefaultParagraphFont"/>
    <w:uiPriority w:val="32"/>
    <w:qFormat/>
    <w:rsid w:val="00980CCA"/>
    <w:rPr>
      <w:b/>
      <w:bCs/>
      <w:smallCaps/>
      <w:color w:val="2F5496" w:themeColor="accent1" w:themeShade="BF"/>
      <w:spacing w:val="5"/>
    </w:rPr>
  </w:style>
  <w:style w:type="paragraph" w:styleId="FootnoteText">
    <w:name w:val="footnote text"/>
    <w:basedOn w:val="Normal"/>
    <w:link w:val="FootnoteTextChar"/>
    <w:uiPriority w:val="99"/>
    <w:semiHidden/>
    <w:unhideWhenUsed/>
    <w:rsid w:val="00980C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0CCA"/>
    <w:rPr>
      <w:rFonts w:ascii="Arial" w:eastAsia="Arial" w:hAnsi="Arial" w:cs="Arial"/>
      <w:color w:val="000000"/>
      <w:kern w:val="2"/>
      <w:sz w:val="20"/>
      <w:szCs w:val="20"/>
      <w:lang w:eastAsia="zh-CN"/>
      <w14:ligatures w14:val="standardContextual"/>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basedOn w:val="DefaultParagraphFont"/>
    <w:link w:val="BVIfnrCharCharCharChar"/>
    <w:uiPriority w:val="99"/>
    <w:unhideWhenUsed/>
    <w:qFormat/>
    <w:rsid w:val="00980CCA"/>
    <w:rPr>
      <w:vertAlign w:val="superscript"/>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980CCA"/>
    <w:pPr>
      <w:spacing w:after="160" w:line="240" w:lineRule="exact"/>
      <w:ind w:left="0" w:firstLine="0"/>
      <w:jc w:val="left"/>
    </w:pPr>
    <w:rPr>
      <w:rFonts w:ascii="Times New Roman" w:eastAsiaTheme="minorHAnsi" w:hAnsi="Times New Roman" w:cstheme="minorBidi"/>
      <w:color w:val="auto"/>
      <w:kern w:val="0"/>
      <w:szCs w:val="22"/>
      <w:vertAlign w:val="superscript"/>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8</cp:revision>
  <cp:lastPrinted>2025-05-23T01:33:00Z</cp:lastPrinted>
  <dcterms:created xsi:type="dcterms:W3CDTF">2025-04-15T07:31:00Z</dcterms:created>
  <dcterms:modified xsi:type="dcterms:W3CDTF">2025-05-23T01:34:00Z</dcterms:modified>
</cp:coreProperties>
</file>