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2F4C9" w14:textId="77777777" w:rsidR="00B44273" w:rsidRPr="003912B5" w:rsidRDefault="00B44273" w:rsidP="00B44273">
      <w:pPr>
        <w:tabs>
          <w:tab w:val="left" w:pos="142"/>
          <w:tab w:val="left" w:pos="426"/>
          <w:tab w:val="left" w:pos="567"/>
          <w:tab w:val="left" w:pos="851"/>
        </w:tabs>
        <w:ind w:firstLine="709"/>
        <w:jc w:val="center"/>
        <w:rPr>
          <w:rFonts w:ascii="Arial" w:hAnsi="Arial" w:cs="Arial"/>
          <w:b/>
          <w:bCs/>
        </w:rPr>
      </w:pPr>
      <w:bookmarkStart w:id="0" w:name="_Hlk185438140"/>
      <w:bookmarkEnd w:id="0"/>
      <w:r>
        <w:rPr>
          <w:rFonts w:ascii="Arial" w:hAnsi="Arial" w:cs="Arial"/>
          <w:b/>
          <w:bCs/>
        </w:rPr>
        <w:t xml:space="preserve">ДЭЛГЭРЭНГҮЙ </w:t>
      </w:r>
      <w:r w:rsidRPr="003912B5">
        <w:rPr>
          <w:rFonts w:ascii="Arial" w:hAnsi="Arial" w:cs="Arial"/>
          <w:b/>
          <w:bCs/>
        </w:rPr>
        <w:t>ТАНИЛЦУУЛГА</w:t>
      </w:r>
    </w:p>
    <w:p w14:paraId="7D45645C" w14:textId="77777777" w:rsidR="00B44273" w:rsidRPr="003912B5" w:rsidRDefault="00B44273" w:rsidP="00B44273">
      <w:pPr>
        <w:pBdr>
          <w:top w:val="nil"/>
          <w:left w:val="nil"/>
          <w:bottom w:val="nil"/>
          <w:right w:val="nil"/>
          <w:between w:val="nil"/>
        </w:pBdr>
        <w:tabs>
          <w:tab w:val="left" w:pos="142"/>
          <w:tab w:val="left" w:pos="426"/>
          <w:tab w:val="left" w:pos="567"/>
          <w:tab w:val="left" w:pos="851"/>
          <w:tab w:val="left" w:pos="1080"/>
        </w:tabs>
        <w:spacing w:before="120"/>
        <w:ind w:firstLine="709"/>
        <w:jc w:val="both"/>
        <w:rPr>
          <w:rFonts w:ascii="Arial" w:hAnsi="Arial" w:cs="Arial"/>
        </w:rPr>
      </w:pPr>
    </w:p>
    <w:p w14:paraId="22D4753C" w14:textId="15AD9911" w:rsidR="00CF2556" w:rsidRDefault="00CF2556" w:rsidP="00CF2556">
      <w:pPr>
        <w:tabs>
          <w:tab w:val="left" w:pos="142"/>
          <w:tab w:val="left" w:pos="426"/>
          <w:tab w:val="left" w:pos="567"/>
          <w:tab w:val="left" w:pos="851"/>
        </w:tabs>
        <w:ind w:right="-144" w:firstLine="709"/>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sidR="00B44273">
        <w:rPr>
          <w:rFonts w:ascii="Arial" w:hAnsi="Arial" w:cs="Arial"/>
        </w:rPr>
        <w:t>Шүүхийн</w:t>
      </w:r>
      <w:proofErr w:type="spellEnd"/>
      <w:r w:rsidR="00B44273">
        <w:rPr>
          <w:rFonts w:ascii="Arial" w:hAnsi="Arial" w:cs="Arial"/>
        </w:rPr>
        <w:t xml:space="preserve"> </w:t>
      </w:r>
      <w:proofErr w:type="spellStart"/>
      <w:r w:rsidR="00B44273">
        <w:rPr>
          <w:rFonts w:ascii="Arial" w:hAnsi="Arial" w:cs="Arial"/>
        </w:rPr>
        <w:t>шийдвэр</w:t>
      </w:r>
      <w:proofErr w:type="spellEnd"/>
      <w:r w:rsidR="00B44273">
        <w:rPr>
          <w:rFonts w:ascii="Arial" w:hAnsi="Arial" w:cs="Arial"/>
        </w:rPr>
        <w:t xml:space="preserve"> </w:t>
      </w:r>
      <w:proofErr w:type="spellStart"/>
      <w:r w:rsidR="00B44273">
        <w:rPr>
          <w:rFonts w:ascii="Arial" w:hAnsi="Arial" w:cs="Arial"/>
        </w:rPr>
        <w:t>гүйцэтгэх</w:t>
      </w:r>
      <w:proofErr w:type="spellEnd"/>
      <w:r w:rsidR="00B44273">
        <w:rPr>
          <w:rFonts w:ascii="Arial" w:hAnsi="Arial" w:cs="Arial"/>
        </w:rPr>
        <w:t xml:space="preserve"> </w:t>
      </w:r>
      <w:proofErr w:type="spellStart"/>
      <w:r w:rsidR="00B44273">
        <w:rPr>
          <w:rFonts w:ascii="Arial" w:hAnsi="Arial" w:cs="Arial"/>
        </w:rPr>
        <w:t>байгууллага</w:t>
      </w:r>
      <w:proofErr w:type="spellEnd"/>
      <w:r w:rsidR="00B44273">
        <w:rPr>
          <w:rFonts w:ascii="Arial" w:hAnsi="Arial" w:cs="Arial"/>
        </w:rPr>
        <w:t xml:space="preserve">, </w:t>
      </w:r>
      <w:proofErr w:type="spellStart"/>
      <w:r w:rsidR="00B44273">
        <w:rPr>
          <w:rFonts w:ascii="Arial" w:hAnsi="Arial" w:cs="Arial"/>
        </w:rPr>
        <w:t>шийдвэр</w:t>
      </w:r>
      <w:proofErr w:type="spellEnd"/>
    </w:p>
    <w:p w14:paraId="44272B73" w14:textId="79ABDA10" w:rsidR="00CF2556" w:rsidRDefault="00CF2556" w:rsidP="00CF2556">
      <w:pPr>
        <w:tabs>
          <w:tab w:val="left" w:pos="142"/>
          <w:tab w:val="left" w:pos="426"/>
          <w:tab w:val="left" w:pos="567"/>
          <w:tab w:val="left" w:pos="851"/>
        </w:tabs>
        <w:ind w:left="1440" w:right="-144"/>
        <w:jc w:val="right"/>
        <w:rPr>
          <w:rFonts w:ascii="Arial" w:hAnsi="Arial" w:cs="Arial"/>
        </w:rPr>
      </w:pPr>
      <w:r>
        <w:rPr>
          <w:rFonts w:ascii="Arial" w:hAnsi="Arial" w:cs="Arial"/>
        </w:rPr>
        <w:tab/>
      </w:r>
      <w:r>
        <w:rPr>
          <w:rFonts w:ascii="Arial" w:hAnsi="Arial" w:cs="Arial"/>
        </w:rPr>
        <w:tab/>
      </w:r>
      <w:r>
        <w:rPr>
          <w:rFonts w:ascii="Arial" w:hAnsi="Arial" w:cs="Arial"/>
        </w:rPr>
        <w:tab/>
      </w:r>
      <w:r w:rsidR="00B44273">
        <w:rPr>
          <w:rFonts w:ascii="Arial" w:hAnsi="Arial" w:cs="Arial"/>
        </w:rPr>
        <w:t xml:space="preserve"> </w:t>
      </w:r>
      <w:proofErr w:type="spellStart"/>
      <w:r w:rsidR="00B44273">
        <w:rPr>
          <w:rFonts w:ascii="Arial" w:hAnsi="Arial" w:cs="Arial"/>
        </w:rPr>
        <w:t>гүйцэтгэгчийн</w:t>
      </w:r>
      <w:proofErr w:type="spellEnd"/>
      <w:r w:rsidR="00B44273">
        <w:rPr>
          <w:rFonts w:ascii="Arial" w:hAnsi="Arial" w:cs="Arial"/>
        </w:rPr>
        <w:t xml:space="preserve"> </w:t>
      </w:r>
      <w:proofErr w:type="spellStart"/>
      <w:r w:rsidR="00B44273">
        <w:rPr>
          <w:rFonts w:ascii="Arial" w:hAnsi="Arial" w:cs="Arial"/>
        </w:rPr>
        <w:t>эрх</w:t>
      </w:r>
      <w:proofErr w:type="spellEnd"/>
      <w:r w:rsidR="00B44273">
        <w:rPr>
          <w:rFonts w:ascii="Arial" w:hAnsi="Arial" w:cs="Arial"/>
        </w:rPr>
        <w:t xml:space="preserve"> </w:t>
      </w:r>
      <w:proofErr w:type="spellStart"/>
      <w:r w:rsidR="00B44273">
        <w:rPr>
          <w:rFonts w:ascii="Arial" w:hAnsi="Arial" w:cs="Arial"/>
        </w:rPr>
        <w:t>зүйн</w:t>
      </w:r>
      <w:proofErr w:type="spellEnd"/>
      <w:r w:rsidR="00B44273">
        <w:rPr>
          <w:rFonts w:ascii="Arial" w:hAnsi="Arial" w:cs="Arial"/>
        </w:rPr>
        <w:t xml:space="preserve"> </w:t>
      </w:r>
      <w:proofErr w:type="spellStart"/>
      <w:r w:rsidR="00B44273">
        <w:rPr>
          <w:rFonts w:ascii="Arial" w:hAnsi="Arial" w:cs="Arial"/>
        </w:rPr>
        <w:t>байдл</w:t>
      </w:r>
      <w:r>
        <w:rPr>
          <w:rFonts w:ascii="Arial" w:hAnsi="Arial" w:cs="Arial"/>
        </w:rPr>
        <w:t>ын</w:t>
      </w:r>
      <w:proofErr w:type="spellEnd"/>
      <w:r>
        <w:rPr>
          <w:rFonts w:ascii="Arial" w:hAnsi="Arial" w:cs="Arial"/>
        </w:rPr>
        <w:t xml:space="preserve"> </w:t>
      </w:r>
      <w:proofErr w:type="spellStart"/>
      <w:r w:rsidR="00B44273" w:rsidRPr="003912B5">
        <w:rPr>
          <w:rFonts w:ascii="Arial" w:hAnsi="Arial" w:cs="Arial"/>
        </w:rPr>
        <w:t>тухай</w:t>
      </w:r>
      <w:proofErr w:type="spellEnd"/>
      <w:r>
        <w:rPr>
          <w:rFonts w:ascii="Arial" w:hAnsi="Arial" w:cs="Arial"/>
        </w:rPr>
        <w:t xml:space="preserve"> </w:t>
      </w:r>
      <w:proofErr w:type="spellStart"/>
      <w:r>
        <w:rPr>
          <w:rFonts w:ascii="Arial" w:hAnsi="Arial" w:cs="Arial"/>
        </w:rPr>
        <w:t>хууль</w:t>
      </w:r>
      <w:proofErr w:type="spellEnd"/>
      <w:r>
        <w:rPr>
          <w:rFonts w:ascii="Arial" w:hAnsi="Arial" w:cs="Arial"/>
        </w:rPr>
        <w:t xml:space="preserve"> </w:t>
      </w:r>
    </w:p>
    <w:p w14:paraId="0DA4F304" w14:textId="13596D1E" w:rsidR="00B44273" w:rsidRPr="003912B5" w:rsidRDefault="00CF2556" w:rsidP="00CF2556">
      <w:pPr>
        <w:tabs>
          <w:tab w:val="left" w:pos="142"/>
          <w:tab w:val="left" w:pos="426"/>
          <w:tab w:val="left" w:pos="567"/>
          <w:tab w:val="left" w:pos="851"/>
        </w:tabs>
        <w:ind w:left="1440" w:right="-144"/>
        <w:jc w:val="right"/>
        <w:rPr>
          <w:rFonts w:ascii="Arial" w:hAnsi="Arial" w:cs="Arial"/>
        </w:rPr>
      </w:pPr>
      <w:r>
        <w:rPr>
          <w:rFonts w:ascii="Arial" w:hAnsi="Arial" w:cs="Arial"/>
        </w:rPr>
        <w:tab/>
      </w:r>
      <w:r>
        <w:rPr>
          <w:rFonts w:ascii="Arial" w:hAnsi="Arial" w:cs="Arial"/>
        </w:rPr>
        <w:tab/>
      </w:r>
      <w:r>
        <w:rPr>
          <w:rFonts w:ascii="Arial" w:hAnsi="Arial" w:cs="Arial"/>
        </w:rPr>
        <w:tab/>
        <w:t>/</w:t>
      </w:r>
      <w:proofErr w:type="spellStart"/>
      <w:r w:rsidR="002827CC">
        <w:rPr>
          <w:rFonts w:ascii="Arial" w:hAnsi="Arial" w:cs="Arial"/>
        </w:rPr>
        <w:t>Ш</w:t>
      </w:r>
      <w:r>
        <w:rPr>
          <w:rFonts w:ascii="Arial" w:hAnsi="Arial" w:cs="Arial"/>
        </w:rPr>
        <w:t>инэчилсэн</w:t>
      </w:r>
      <w:proofErr w:type="spellEnd"/>
      <w:r>
        <w:rPr>
          <w:rFonts w:ascii="Arial" w:hAnsi="Arial" w:cs="Arial"/>
        </w:rPr>
        <w:t xml:space="preserve"> </w:t>
      </w:r>
      <w:proofErr w:type="spellStart"/>
      <w:r>
        <w:rPr>
          <w:rFonts w:ascii="Arial" w:hAnsi="Arial" w:cs="Arial"/>
        </w:rPr>
        <w:t>найруулга</w:t>
      </w:r>
      <w:proofErr w:type="spellEnd"/>
      <w:r>
        <w:rPr>
          <w:rFonts w:ascii="Arial" w:hAnsi="Arial" w:cs="Arial"/>
        </w:rPr>
        <w:t>/-</w:t>
      </w:r>
      <w:proofErr w:type="spellStart"/>
      <w:r>
        <w:rPr>
          <w:rFonts w:ascii="Arial" w:hAnsi="Arial" w:cs="Arial"/>
        </w:rPr>
        <w:t>ийн</w:t>
      </w:r>
      <w:proofErr w:type="spellEnd"/>
      <w:r w:rsidR="00B44273" w:rsidRPr="003912B5">
        <w:rPr>
          <w:rFonts w:ascii="Arial" w:hAnsi="Arial" w:cs="Arial"/>
        </w:rPr>
        <w:t xml:space="preserve"> </w:t>
      </w:r>
      <w:proofErr w:type="spellStart"/>
      <w:r w:rsidR="00B44273" w:rsidRPr="003912B5">
        <w:rPr>
          <w:rFonts w:ascii="Arial" w:hAnsi="Arial" w:cs="Arial"/>
        </w:rPr>
        <w:t>төслийн</w:t>
      </w:r>
      <w:proofErr w:type="spellEnd"/>
      <w:r w:rsidR="00B44273" w:rsidRPr="003912B5">
        <w:rPr>
          <w:rFonts w:ascii="Arial" w:hAnsi="Arial" w:cs="Arial"/>
        </w:rPr>
        <w:t xml:space="preserve"> </w:t>
      </w:r>
      <w:proofErr w:type="spellStart"/>
      <w:r w:rsidR="00B44273" w:rsidRPr="003912B5">
        <w:rPr>
          <w:rFonts w:ascii="Arial" w:hAnsi="Arial" w:cs="Arial"/>
        </w:rPr>
        <w:t>талаар</w:t>
      </w:r>
      <w:proofErr w:type="spellEnd"/>
    </w:p>
    <w:p w14:paraId="0C0B8E17" w14:textId="77777777" w:rsidR="00B44273" w:rsidRPr="004317BB" w:rsidRDefault="00B44273" w:rsidP="00B44273">
      <w:pPr>
        <w:tabs>
          <w:tab w:val="left" w:pos="142"/>
          <w:tab w:val="left" w:pos="426"/>
          <w:tab w:val="left" w:pos="567"/>
          <w:tab w:val="left" w:pos="851"/>
        </w:tabs>
        <w:ind w:right="240" w:firstLine="709"/>
        <w:jc w:val="right"/>
        <w:rPr>
          <w:rFonts w:asciiTheme="minorBidi" w:hAnsiTheme="minorBidi" w:cstheme="minorBidi"/>
        </w:rPr>
      </w:pPr>
    </w:p>
    <w:p w14:paraId="3256AD39" w14:textId="77777777" w:rsidR="00B44273" w:rsidRPr="004317BB" w:rsidRDefault="00B44273" w:rsidP="00B44273">
      <w:pPr>
        <w:ind w:firstLine="709"/>
        <w:jc w:val="both"/>
        <w:rPr>
          <w:rFonts w:asciiTheme="minorBidi" w:hAnsiTheme="minorBidi" w:cstheme="minorBidi"/>
          <w:color w:val="000000" w:themeColor="text1"/>
          <w:shd w:val="clear" w:color="auto" w:fill="FFFFFF"/>
          <w:lang w:val="mn-MN" w:eastAsia="zh-CN"/>
        </w:rPr>
      </w:pPr>
      <w:r w:rsidRPr="004317BB">
        <w:rPr>
          <w:rFonts w:asciiTheme="minorBidi" w:hAnsiTheme="minorBidi" w:cstheme="minorBidi"/>
          <w:color w:val="000000" w:themeColor="text1"/>
          <w:lang w:val="mn-MN"/>
        </w:rPr>
        <w:t>Монгол Улсын Үндсэн хуулийн</w:t>
      </w:r>
      <w:r w:rsidRPr="004317BB">
        <w:rPr>
          <w:rStyle w:val="FootnoteReference"/>
          <w:rFonts w:asciiTheme="minorBidi" w:eastAsiaTheme="majorEastAsia" w:hAnsiTheme="minorBidi" w:cstheme="minorBidi"/>
          <w:color w:val="000000" w:themeColor="text1"/>
          <w:lang w:val="mn-MN"/>
        </w:rPr>
        <w:footnoteReference w:id="1"/>
      </w:r>
      <w:r w:rsidRPr="004317BB">
        <w:rPr>
          <w:rFonts w:asciiTheme="minorBidi" w:hAnsiTheme="minorBidi" w:cstheme="minorBidi"/>
          <w:color w:val="000000" w:themeColor="text1"/>
          <w:lang w:val="mn-MN"/>
        </w:rPr>
        <w:t xml:space="preserve"> Арван есдүгээр зүйлийн 1 дэх хэсэгт “</w:t>
      </w:r>
      <w:r w:rsidRPr="004317BB">
        <w:rPr>
          <w:rFonts w:asciiTheme="minorBidi" w:hAnsiTheme="minorBidi" w:cstheme="minorBidi"/>
          <w:color w:val="000000" w:themeColor="text1"/>
          <w:shd w:val="clear" w:color="auto" w:fill="FFFFFF"/>
          <w:lang w:val="mn-MN"/>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Pr="004317BB">
        <w:rPr>
          <w:rFonts w:asciiTheme="minorBidi" w:hAnsiTheme="minorBidi" w:cstheme="minorBidi"/>
          <w:color w:val="000000" w:themeColor="text1"/>
          <w:lang w:val="mn-MN"/>
        </w:rPr>
        <w:t>” гэж, мөн Монгол</w:t>
      </w:r>
      <w:r w:rsidRPr="004317BB">
        <w:rPr>
          <w:rFonts w:asciiTheme="minorBidi" w:hAnsiTheme="minorBidi" w:cstheme="minorBidi"/>
          <w:color w:val="000000" w:themeColor="text1"/>
          <w:lang w:val="x-none"/>
        </w:rPr>
        <w:t xml:space="preserve"> </w:t>
      </w:r>
      <w:proofErr w:type="spellStart"/>
      <w:r w:rsidRPr="004317BB">
        <w:rPr>
          <w:rFonts w:asciiTheme="minorBidi" w:hAnsiTheme="minorBidi" w:cstheme="minorBidi"/>
          <w:color w:val="000000" w:themeColor="text1"/>
          <w:lang w:val="x-none"/>
        </w:rPr>
        <w:t>Улсын</w:t>
      </w:r>
      <w:proofErr w:type="spellEnd"/>
      <w:r w:rsidRPr="004317BB">
        <w:rPr>
          <w:rFonts w:asciiTheme="minorBidi" w:hAnsiTheme="minorBidi" w:cstheme="minorBidi"/>
          <w:color w:val="000000" w:themeColor="text1"/>
          <w:lang w:val="x-none"/>
        </w:rPr>
        <w:t xml:space="preserve"> </w:t>
      </w:r>
      <w:proofErr w:type="spellStart"/>
      <w:r w:rsidRPr="004317BB">
        <w:rPr>
          <w:rFonts w:asciiTheme="minorBidi" w:hAnsiTheme="minorBidi" w:cstheme="minorBidi"/>
          <w:color w:val="000000" w:themeColor="text1"/>
          <w:lang w:val="x-none"/>
        </w:rPr>
        <w:t>шүүхийн</w:t>
      </w:r>
      <w:proofErr w:type="spellEnd"/>
      <w:r w:rsidRPr="004317BB">
        <w:rPr>
          <w:rFonts w:asciiTheme="minorBidi" w:hAnsiTheme="minorBidi" w:cstheme="minorBidi"/>
          <w:color w:val="000000" w:themeColor="text1"/>
          <w:lang w:val="x-none"/>
        </w:rPr>
        <w:t xml:space="preserve"> </w:t>
      </w:r>
      <w:proofErr w:type="spellStart"/>
      <w:r w:rsidRPr="004317BB">
        <w:rPr>
          <w:rFonts w:asciiTheme="minorBidi" w:hAnsiTheme="minorBidi" w:cstheme="minorBidi"/>
          <w:color w:val="000000" w:themeColor="text1"/>
          <w:lang w:val="x-none"/>
        </w:rPr>
        <w:t>тухай</w:t>
      </w:r>
      <w:proofErr w:type="spellEnd"/>
      <w:r w:rsidRPr="004317BB">
        <w:rPr>
          <w:rFonts w:asciiTheme="minorBidi" w:hAnsiTheme="minorBidi" w:cstheme="minorBidi"/>
          <w:color w:val="000000" w:themeColor="text1"/>
          <w:lang w:val="x-none"/>
        </w:rPr>
        <w:t xml:space="preserve"> </w:t>
      </w:r>
      <w:proofErr w:type="spellStart"/>
      <w:r w:rsidRPr="004317BB">
        <w:rPr>
          <w:rFonts w:asciiTheme="minorBidi" w:hAnsiTheme="minorBidi" w:cstheme="minorBidi"/>
          <w:color w:val="000000" w:themeColor="text1"/>
          <w:lang w:val="x-none"/>
        </w:rPr>
        <w:t>хуулийн</w:t>
      </w:r>
      <w:proofErr w:type="spellEnd"/>
      <w:r w:rsidRPr="004317BB">
        <w:rPr>
          <w:rFonts w:asciiTheme="minorBidi" w:hAnsiTheme="minorBidi" w:cstheme="minorBidi"/>
          <w:color w:val="000000" w:themeColor="text1"/>
          <w:lang w:val="x-none"/>
        </w:rPr>
        <w:t xml:space="preserve"> 4 </w:t>
      </w:r>
      <w:proofErr w:type="spellStart"/>
      <w:r w:rsidRPr="004317BB">
        <w:rPr>
          <w:rFonts w:asciiTheme="minorBidi" w:hAnsiTheme="minorBidi" w:cstheme="minorBidi"/>
          <w:color w:val="000000" w:themeColor="text1"/>
          <w:lang w:val="x-none"/>
        </w:rPr>
        <w:t>дүгээр</w:t>
      </w:r>
      <w:proofErr w:type="spellEnd"/>
      <w:r w:rsidRPr="004317BB">
        <w:rPr>
          <w:rFonts w:asciiTheme="minorBidi" w:hAnsiTheme="minorBidi" w:cstheme="minorBidi"/>
          <w:color w:val="000000" w:themeColor="text1"/>
          <w:lang w:val="x-none"/>
        </w:rPr>
        <w:t xml:space="preserve"> </w:t>
      </w:r>
      <w:proofErr w:type="spellStart"/>
      <w:r w:rsidRPr="004317BB">
        <w:rPr>
          <w:rFonts w:asciiTheme="minorBidi" w:hAnsiTheme="minorBidi" w:cstheme="minorBidi"/>
          <w:color w:val="000000" w:themeColor="text1"/>
          <w:lang w:val="x-none"/>
        </w:rPr>
        <w:t>зүйлд</w:t>
      </w:r>
      <w:proofErr w:type="spellEnd"/>
      <w:r w:rsidRPr="004317BB">
        <w:rPr>
          <w:rFonts w:asciiTheme="minorBidi" w:hAnsiTheme="minorBidi" w:cstheme="minorBidi"/>
          <w:color w:val="000000" w:themeColor="text1"/>
          <w:lang w:val="x-none"/>
        </w:rPr>
        <w:t xml:space="preserve"> </w:t>
      </w:r>
      <w:proofErr w:type="spellStart"/>
      <w:r w:rsidRPr="004317BB">
        <w:rPr>
          <w:rFonts w:asciiTheme="minorBidi" w:hAnsiTheme="minorBidi" w:cstheme="minorBidi"/>
          <w:color w:val="000000" w:themeColor="text1"/>
          <w:lang w:val="x-none"/>
        </w:rPr>
        <w:t>шүүхийн</w:t>
      </w:r>
      <w:proofErr w:type="spellEnd"/>
      <w:r w:rsidRPr="004317BB">
        <w:rPr>
          <w:rFonts w:asciiTheme="minorBidi" w:hAnsiTheme="minorBidi" w:cstheme="minorBidi"/>
          <w:color w:val="000000" w:themeColor="text1"/>
          <w:lang w:val="x-none"/>
        </w:rPr>
        <w:t xml:space="preserve"> </w:t>
      </w:r>
      <w:proofErr w:type="spellStart"/>
      <w:r w:rsidRPr="004317BB">
        <w:rPr>
          <w:rFonts w:asciiTheme="minorBidi" w:hAnsiTheme="minorBidi" w:cstheme="minorBidi"/>
          <w:color w:val="000000" w:themeColor="text1"/>
          <w:lang w:val="x-none"/>
        </w:rPr>
        <w:t>эрхэм</w:t>
      </w:r>
      <w:proofErr w:type="spellEnd"/>
      <w:r w:rsidRPr="004317BB">
        <w:rPr>
          <w:rFonts w:asciiTheme="minorBidi" w:hAnsiTheme="minorBidi" w:cstheme="minorBidi"/>
          <w:color w:val="000000" w:themeColor="text1"/>
          <w:lang w:val="x-none"/>
        </w:rPr>
        <w:t xml:space="preserve"> </w:t>
      </w:r>
      <w:proofErr w:type="spellStart"/>
      <w:r w:rsidRPr="004317BB">
        <w:rPr>
          <w:rFonts w:asciiTheme="minorBidi" w:hAnsiTheme="minorBidi" w:cstheme="minorBidi"/>
          <w:color w:val="000000" w:themeColor="text1"/>
          <w:lang w:val="x-none"/>
        </w:rPr>
        <w:t>зорилгыг</w:t>
      </w:r>
      <w:proofErr w:type="spellEnd"/>
      <w:r w:rsidRPr="004317BB">
        <w:rPr>
          <w:rFonts w:asciiTheme="minorBidi" w:hAnsiTheme="minorBidi" w:cstheme="minorBidi"/>
          <w:color w:val="000000" w:themeColor="text1"/>
          <w:lang w:val="x-none"/>
        </w:rPr>
        <w:t xml:space="preserve"> </w:t>
      </w:r>
      <w:proofErr w:type="spellStart"/>
      <w:r w:rsidRPr="004317BB">
        <w:rPr>
          <w:rFonts w:asciiTheme="minorBidi" w:hAnsiTheme="minorBidi" w:cstheme="minorBidi"/>
          <w:color w:val="000000" w:themeColor="text1"/>
          <w:shd w:val="clear" w:color="auto" w:fill="FFFFFF"/>
          <w:lang w:val="x-none" w:eastAsia="zh-CN"/>
        </w:rPr>
        <w:t>х</w:t>
      </w:r>
      <w:r w:rsidRPr="004317BB">
        <w:rPr>
          <w:rFonts w:asciiTheme="minorBidi" w:hAnsiTheme="minorBidi" w:cstheme="minorBidi"/>
          <w:color w:val="000000" w:themeColor="text1"/>
          <w:shd w:val="clear" w:color="auto" w:fill="FFFFFF"/>
          <w:lang w:val="mn-MN" w:eastAsia="zh-CN"/>
        </w:rPr>
        <w:t>үний</w:t>
      </w:r>
      <w:proofErr w:type="spellEnd"/>
      <w:r w:rsidRPr="004317BB">
        <w:rPr>
          <w:rFonts w:asciiTheme="minorBidi" w:hAnsiTheme="minorBidi" w:cstheme="minorBidi"/>
          <w:color w:val="000000" w:themeColor="text1"/>
          <w:shd w:val="clear" w:color="auto" w:fill="FFFFFF"/>
          <w:lang w:val="mn-MN" w:eastAsia="zh-CN"/>
        </w:rPr>
        <w:t xml:space="preserve"> эрх, эрх чөлөөг хамгаалах, зөрчигдсөн эрхийг сэргээн эдлүүлэх,  шударга шүүхээр шүүлгэх иргэний эрхийг хангах гэж тус тус заажээ. </w:t>
      </w:r>
    </w:p>
    <w:p w14:paraId="42402545" w14:textId="77777777" w:rsidR="00B44273" w:rsidRPr="004317BB" w:rsidRDefault="00B44273" w:rsidP="00B44273">
      <w:pPr>
        <w:jc w:val="both"/>
        <w:rPr>
          <w:rFonts w:asciiTheme="minorBidi" w:eastAsia="Arial" w:hAnsiTheme="minorBidi" w:cstheme="minorBidi"/>
          <w:lang w:eastAsia="mn-MN"/>
        </w:rPr>
      </w:pPr>
    </w:p>
    <w:p w14:paraId="1FC31201" w14:textId="63E572A8" w:rsidR="00B44273" w:rsidRPr="004317BB" w:rsidRDefault="00B44273" w:rsidP="00B44273">
      <w:pPr>
        <w:ind w:firstLine="720"/>
        <w:jc w:val="both"/>
        <w:rPr>
          <w:rFonts w:asciiTheme="minorBidi" w:eastAsia="Arial" w:hAnsiTheme="minorBidi" w:cstheme="minorBidi"/>
          <w:lang w:val="mn-MN" w:eastAsia="mn-MN"/>
        </w:rPr>
      </w:pPr>
      <w:r w:rsidRPr="004317BB">
        <w:rPr>
          <w:rFonts w:asciiTheme="minorBidi" w:eastAsia="Arial" w:hAnsiTheme="minorBidi" w:cstheme="minorBidi"/>
          <w:lang w:val="mn-MN" w:eastAsia="mn-MN"/>
        </w:rPr>
        <w:t>Шүүхийн шийдвэр гүйцэтгэх байгууллгын тогтолцоо, шийдвэр гүйцэтгэгчийн эрх зүйн байдлын тухай хуулийн төслийг боловсруул</w:t>
      </w:r>
      <w:r>
        <w:rPr>
          <w:rFonts w:asciiTheme="minorBidi" w:eastAsia="Arial" w:hAnsiTheme="minorBidi" w:cstheme="minorBidi"/>
          <w:lang w:val="mn-MN" w:eastAsia="mn-MN"/>
        </w:rPr>
        <w:t xml:space="preserve">ахдаа </w:t>
      </w:r>
      <w:r w:rsidRPr="004317BB">
        <w:rPr>
          <w:rFonts w:asciiTheme="minorBidi" w:eastAsia="Arial" w:hAnsiTheme="minorBidi" w:cstheme="minorBidi"/>
          <w:lang w:val="mn-MN" w:eastAsia="mn-MN"/>
        </w:rPr>
        <w:t>иргэний болон захиргааны хэргийн шүүхийн шийдвэр гүйцэтгэх ажиллагааны удаашралыг арилгахад чиглэсэн тогтолцоо</w:t>
      </w:r>
      <w:r>
        <w:rPr>
          <w:rFonts w:asciiTheme="minorBidi" w:eastAsia="Arial" w:hAnsiTheme="minorBidi" w:cstheme="minorBidi"/>
          <w:lang w:val="mn-MN" w:eastAsia="mn-MN"/>
        </w:rPr>
        <w:t xml:space="preserve">г </w:t>
      </w:r>
      <w:r w:rsidRPr="004317BB">
        <w:rPr>
          <w:rFonts w:asciiTheme="minorBidi" w:eastAsia="Arial" w:hAnsiTheme="minorBidi" w:cstheme="minorBidi"/>
          <w:lang w:val="mn-MN" w:eastAsia="mn-MN"/>
        </w:rPr>
        <w:t xml:space="preserve">шуурхай, үр дүнтэй болгоход чиглэсэн зохицуулалтыг бий болголоо. </w:t>
      </w:r>
    </w:p>
    <w:p w14:paraId="199678BF" w14:textId="77777777" w:rsidR="00B44273" w:rsidRPr="004317BB" w:rsidRDefault="00B44273" w:rsidP="00B44273">
      <w:pPr>
        <w:ind w:firstLine="720"/>
        <w:jc w:val="both"/>
        <w:rPr>
          <w:rFonts w:asciiTheme="minorBidi" w:eastAsia="Arial" w:hAnsiTheme="minorBidi" w:cstheme="minorBidi"/>
          <w:lang w:val="mn-MN" w:eastAsia="mn-MN"/>
        </w:rPr>
      </w:pPr>
    </w:p>
    <w:p w14:paraId="1127BB9E" w14:textId="094A7E78" w:rsidR="00B44273" w:rsidRDefault="00B44273" w:rsidP="00B44273">
      <w:pPr>
        <w:ind w:firstLine="720"/>
        <w:jc w:val="both"/>
        <w:rPr>
          <w:rFonts w:asciiTheme="minorBidi" w:hAnsiTheme="minorBidi" w:cstheme="minorBidi"/>
          <w:noProof/>
          <w:lang w:val="mn-MN"/>
        </w:rPr>
      </w:pPr>
      <w:r>
        <w:rPr>
          <w:rFonts w:asciiTheme="minorBidi" w:hAnsiTheme="minorBidi" w:cstheme="minorBidi"/>
          <w:noProof/>
          <w:lang w:val="mn-MN"/>
        </w:rPr>
        <w:t>Ш</w:t>
      </w:r>
      <w:r w:rsidRPr="004317BB">
        <w:rPr>
          <w:rFonts w:asciiTheme="minorBidi" w:hAnsiTheme="minorBidi" w:cstheme="minorBidi"/>
          <w:noProof/>
          <w:lang w:val="mn-MN"/>
        </w:rPr>
        <w:t>үүхийн шийдвэр гүйцэтгэх</w:t>
      </w:r>
      <w:r>
        <w:rPr>
          <w:rFonts w:asciiTheme="minorBidi" w:hAnsiTheme="minorBidi" w:cstheme="minorBidi"/>
          <w:noProof/>
          <w:lang w:val="mn-MN"/>
        </w:rPr>
        <w:t xml:space="preserve"> байгууллагын тогтолцоо, шийдвэр гүйцэтгэгчийн эрх зүйн байдлын</w:t>
      </w:r>
      <w:r w:rsidRPr="004317BB">
        <w:rPr>
          <w:rFonts w:asciiTheme="minorBidi" w:hAnsiTheme="minorBidi" w:cstheme="minorBidi"/>
          <w:noProof/>
          <w:lang w:val="mn-MN"/>
        </w:rPr>
        <w:t xml:space="preserve"> тухай хуу</w:t>
      </w:r>
      <w:r w:rsidR="00CF2556">
        <w:rPr>
          <w:rFonts w:asciiTheme="minorBidi" w:hAnsiTheme="minorBidi" w:cstheme="minorBidi"/>
          <w:noProof/>
          <w:lang w:val="mn-MN"/>
        </w:rPr>
        <w:t>ль /</w:t>
      </w:r>
      <w:r w:rsidR="002827CC">
        <w:rPr>
          <w:rFonts w:asciiTheme="minorBidi" w:hAnsiTheme="minorBidi" w:cstheme="minorBidi"/>
          <w:noProof/>
          <w:lang w:val="mn-MN"/>
        </w:rPr>
        <w:t>Ш</w:t>
      </w:r>
      <w:r w:rsidR="00CF2556">
        <w:rPr>
          <w:rFonts w:asciiTheme="minorBidi" w:hAnsiTheme="minorBidi" w:cstheme="minorBidi"/>
          <w:noProof/>
          <w:lang w:val="mn-MN"/>
        </w:rPr>
        <w:t>инэчилсэн найруулга/-ийн</w:t>
      </w:r>
      <w:r w:rsidRPr="004317BB">
        <w:rPr>
          <w:rFonts w:asciiTheme="minorBidi" w:hAnsiTheme="minorBidi" w:cstheme="minorBidi"/>
          <w:noProof/>
          <w:lang w:val="mn-MN"/>
        </w:rPr>
        <w:t xml:space="preserve"> төсөл нь </w:t>
      </w:r>
      <w:r>
        <w:rPr>
          <w:rFonts w:asciiTheme="minorBidi" w:hAnsiTheme="minorBidi" w:cstheme="minorBidi"/>
          <w:noProof/>
          <w:lang w:val="mn-MN"/>
        </w:rPr>
        <w:t>7</w:t>
      </w:r>
      <w:r w:rsidRPr="004317BB">
        <w:rPr>
          <w:rFonts w:asciiTheme="minorBidi" w:hAnsiTheme="minorBidi" w:cstheme="minorBidi"/>
          <w:noProof/>
          <w:lang w:val="mn-MN"/>
        </w:rPr>
        <w:t xml:space="preserve"> бүлэг, </w:t>
      </w:r>
      <w:r>
        <w:rPr>
          <w:rFonts w:asciiTheme="minorBidi" w:hAnsiTheme="minorBidi" w:cstheme="minorBidi"/>
          <w:noProof/>
          <w:lang w:val="mn-MN"/>
        </w:rPr>
        <w:t>42</w:t>
      </w:r>
      <w:r w:rsidRPr="004317BB">
        <w:rPr>
          <w:rFonts w:asciiTheme="minorBidi" w:hAnsiTheme="minorBidi" w:cstheme="minorBidi"/>
          <w:noProof/>
          <w:lang w:val="mn-MN"/>
        </w:rPr>
        <w:t xml:space="preserve"> зүйлтэй. </w:t>
      </w:r>
    </w:p>
    <w:p w14:paraId="2EFA60A7" w14:textId="77777777" w:rsidR="00B44273" w:rsidRDefault="00B44273" w:rsidP="00B44273">
      <w:pPr>
        <w:jc w:val="both"/>
        <w:rPr>
          <w:rFonts w:asciiTheme="minorBidi" w:hAnsiTheme="minorBidi" w:cstheme="minorBidi"/>
          <w:noProof/>
          <w:lang w:val="mn-MN"/>
        </w:rPr>
      </w:pPr>
    </w:p>
    <w:p w14:paraId="565AB8B7" w14:textId="77777777" w:rsidR="00B44273" w:rsidRPr="007C7DAE" w:rsidRDefault="00B44273" w:rsidP="00B44273">
      <w:pPr>
        <w:jc w:val="center"/>
        <w:rPr>
          <w:rFonts w:asciiTheme="minorBidi" w:hAnsiTheme="minorBidi" w:cstheme="minorBidi"/>
          <w:b/>
          <w:bCs/>
          <w:noProof/>
          <w:lang w:val="bs-Latn-BA"/>
        </w:rPr>
      </w:pPr>
      <w:r>
        <w:rPr>
          <w:rFonts w:asciiTheme="minorBidi" w:hAnsiTheme="minorBidi" w:cstheme="minorBidi"/>
          <w:b/>
          <w:bCs/>
          <w:noProof/>
          <w:lang w:val="bs-Latn-BA"/>
        </w:rPr>
        <w:t>Н</w:t>
      </w:r>
      <w:r w:rsidRPr="007C7DAE">
        <w:rPr>
          <w:rFonts w:asciiTheme="minorBidi" w:hAnsiTheme="minorBidi" w:cstheme="minorBidi"/>
          <w:b/>
          <w:bCs/>
          <w:noProof/>
          <w:lang w:val="bs-Latn-BA"/>
        </w:rPr>
        <w:t>эгдүгээр бүлэг</w:t>
      </w:r>
    </w:p>
    <w:p w14:paraId="716D1A58" w14:textId="77777777" w:rsidR="00B44273" w:rsidRPr="007C7DAE" w:rsidRDefault="00B44273" w:rsidP="00B44273">
      <w:pPr>
        <w:jc w:val="center"/>
        <w:rPr>
          <w:rFonts w:asciiTheme="minorBidi" w:hAnsiTheme="minorBidi" w:cstheme="minorBidi"/>
          <w:b/>
          <w:bCs/>
          <w:noProof/>
          <w:lang w:val="bs-Latn-BA"/>
        </w:rPr>
      </w:pPr>
      <w:r>
        <w:rPr>
          <w:rFonts w:asciiTheme="minorBidi" w:hAnsiTheme="minorBidi" w:cstheme="minorBidi"/>
          <w:b/>
          <w:bCs/>
          <w:noProof/>
          <w:lang w:val="bs-Latn-BA"/>
        </w:rPr>
        <w:t>Н</w:t>
      </w:r>
      <w:r w:rsidRPr="007C7DAE">
        <w:rPr>
          <w:rFonts w:asciiTheme="minorBidi" w:hAnsiTheme="minorBidi" w:cstheme="minorBidi"/>
          <w:b/>
          <w:bCs/>
          <w:noProof/>
          <w:lang w:val="bs-Latn-BA"/>
        </w:rPr>
        <w:t>ийтлэг үндэслэл</w:t>
      </w:r>
    </w:p>
    <w:p w14:paraId="0198A852" w14:textId="77777777" w:rsidR="00B44273" w:rsidRPr="001C1AA8" w:rsidRDefault="00B44273" w:rsidP="00B44273">
      <w:pPr>
        <w:jc w:val="both"/>
        <w:rPr>
          <w:noProof/>
          <w:lang w:val="bs-Latn-BA"/>
        </w:rPr>
      </w:pPr>
    </w:p>
    <w:p w14:paraId="587DF920" w14:textId="77777777" w:rsidR="00B44273" w:rsidRDefault="00B44273" w:rsidP="00B44273">
      <w:pPr>
        <w:ind w:firstLine="720"/>
        <w:jc w:val="both"/>
        <w:rPr>
          <w:rFonts w:asciiTheme="minorBidi" w:hAnsiTheme="minorBidi" w:cstheme="minorBidi"/>
          <w:noProof/>
          <w:lang w:val="bs-Latn-BA"/>
        </w:rPr>
      </w:pPr>
      <w:r w:rsidRPr="007C7DAE">
        <w:rPr>
          <w:rFonts w:asciiTheme="minorBidi" w:hAnsiTheme="minorBidi" w:cstheme="minorBidi"/>
          <w:noProof/>
          <w:lang w:val="bs-Latn-BA"/>
        </w:rPr>
        <w:t xml:space="preserve">Уг бүлэгт хуулийн зорилт, </w:t>
      </w:r>
      <w:r>
        <w:rPr>
          <w:rFonts w:asciiTheme="minorBidi" w:hAnsiTheme="minorBidi" w:cstheme="minorBidi"/>
          <w:noProof/>
          <w:lang w:val="bs-Latn-BA"/>
        </w:rPr>
        <w:t xml:space="preserve">хууль тогтоомж, </w:t>
      </w:r>
      <w:r w:rsidRPr="007C7DAE">
        <w:rPr>
          <w:rFonts w:asciiTheme="minorBidi" w:hAnsiTheme="minorBidi" w:cstheme="minorBidi"/>
          <w:noProof/>
          <w:lang w:val="bs-Latn-BA"/>
        </w:rPr>
        <w:t>үйлчлэх хүрээг тусгалаа. Ингэхдээ хуулийн зорилт нь</w:t>
      </w:r>
      <w:r>
        <w:rPr>
          <w:rFonts w:asciiTheme="minorBidi" w:hAnsiTheme="minorBidi" w:cstheme="minorBidi"/>
          <w:noProof/>
          <w:lang w:val="bs-Latn-BA"/>
        </w:rPr>
        <w:t xml:space="preserve"> </w:t>
      </w:r>
      <w:r w:rsidRPr="007C7DAE">
        <w:rPr>
          <w:rFonts w:asciiTheme="minorBidi" w:hAnsiTheme="minorBidi" w:cstheme="minorBidi"/>
          <w:noProof/>
          <w:lang w:val="bs-Latn-BA"/>
        </w:rPr>
        <w:t>шүүхийн шийдвэр гүйцэтгэх байгууллагын тогтолцоо, үйл ажиллагаа, зохион байгуулалт, шүүхийн шийдвэр гүйцэтгэх байгууллагын алба хаагчийн эрх зүйн байдал, шүүхийн шийдвэр гүйцэтгэх байгууллагын харьяа иргэний шийдвэр гүйцэтгэх албаны үйл ажиллагаа, зохион байгуулалт, иргэний шийдвэр гүйцэтгэгчийн эрх зүйн байдлыг тогтоохтой холбогдон үүсэх харилцааг зохицуулахад орши</w:t>
      </w:r>
      <w:r>
        <w:rPr>
          <w:rFonts w:asciiTheme="minorBidi" w:hAnsiTheme="minorBidi" w:cstheme="minorBidi"/>
          <w:noProof/>
          <w:lang w:val="bs-Latn-BA"/>
        </w:rPr>
        <w:t>хоор тусгасан.</w:t>
      </w:r>
    </w:p>
    <w:p w14:paraId="73CB2853" w14:textId="77777777" w:rsidR="00B44273" w:rsidRDefault="00B44273" w:rsidP="00B44273">
      <w:pPr>
        <w:ind w:firstLine="720"/>
        <w:jc w:val="both"/>
        <w:rPr>
          <w:rFonts w:asciiTheme="minorBidi" w:hAnsiTheme="minorBidi" w:cstheme="minorBidi"/>
          <w:noProof/>
          <w:lang w:val="bs-Latn-BA"/>
        </w:rPr>
      </w:pPr>
    </w:p>
    <w:p w14:paraId="53D6EC71" w14:textId="77777777" w:rsidR="00B44273" w:rsidRDefault="00B44273" w:rsidP="00B44273">
      <w:pPr>
        <w:ind w:firstLine="720"/>
        <w:jc w:val="both"/>
        <w:rPr>
          <w:rFonts w:asciiTheme="minorBidi" w:hAnsiTheme="minorBidi" w:cstheme="minorBidi"/>
          <w:noProof/>
          <w:lang w:val="bs-Latn-BA"/>
        </w:rPr>
      </w:pPr>
      <w:r w:rsidRPr="007C7DAE">
        <w:rPr>
          <w:rFonts w:asciiTheme="minorBidi" w:hAnsiTheme="minorBidi" w:cstheme="minorBidi"/>
          <w:noProof/>
          <w:lang w:val="bs-Latn-BA"/>
        </w:rPr>
        <w:t>Мөн шүүхийн шийдвэр гүйцэтгэх байгууллага Засгийн газрын агентлаг хэвээрээ байхаар, ингэхдээ эрүү, зөрчлийн хэргийн шийдвэр гүйцэтгэх ажиллагаа нь төрийн цэргийн алба хаагчдаас бүрдэхээр, харин иргэний болон захиргааны хэргийн шийдвэр гүйцэтгэх ажиллагааг хэрэгжүүлэгч байгууллага нь тус байгууллагын харьяа алба байхаар, гэсэн хэдий ч төрийн цэргийн алба хаагчийн статусгүй зөвхөн төрийн албан хаагчийн цалин хөлс авах, мөн нэмэлтээр шийдвэр гүйцэтгэх ажиллагааны урамшуулал авахаар тусгалаа.</w:t>
      </w:r>
    </w:p>
    <w:p w14:paraId="7739814A" w14:textId="77777777" w:rsidR="00B44273" w:rsidRDefault="00B44273" w:rsidP="00B44273">
      <w:pPr>
        <w:ind w:firstLine="720"/>
        <w:jc w:val="both"/>
        <w:rPr>
          <w:rFonts w:asciiTheme="minorBidi" w:hAnsiTheme="minorBidi" w:cstheme="minorBidi"/>
          <w:noProof/>
          <w:lang w:val="bs-Latn-BA"/>
        </w:rPr>
      </w:pPr>
    </w:p>
    <w:p w14:paraId="7421F6B4" w14:textId="77777777" w:rsidR="00B44273" w:rsidRPr="00ED3791" w:rsidRDefault="00B44273" w:rsidP="00B44273">
      <w:pPr>
        <w:ind w:firstLine="720"/>
        <w:jc w:val="both"/>
        <w:rPr>
          <w:rFonts w:ascii="Arial" w:hAnsi="Arial" w:cs="Arial"/>
          <w:b/>
          <w:bCs/>
          <w:lang w:val="mn-MN" w:eastAsia="zh-CN"/>
        </w:rPr>
      </w:pPr>
      <w:r w:rsidRPr="00ED3791">
        <w:rPr>
          <w:rFonts w:ascii="Arial" w:hAnsi="Arial" w:cs="Arial"/>
          <w:b/>
          <w:bCs/>
          <w:lang w:val="mn-MN" w:eastAsia="zh-CN"/>
        </w:rPr>
        <w:t>Шийдвэр гүйцэтгэх байгууллагын албан хаагчид</w:t>
      </w:r>
    </w:p>
    <w:p w14:paraId="56025D49" w14:textId="77777777" w:rsidR="00B44273" w:rsidRPr="00ED3791" w:rsidRDefault="00B44273" w:rsidP="00B44273">
      <w:pPr>
        <w:ind w:firstLine="720"/>
        <w:jc w:val="both"/>
        <w:rPr>
          <w:rFonts w:ascii="Arial" w:hAnsi="Arial" w:cs="Arial"/>
          <w:lang w:val="mn-MN" w:eastAsia="zh-CN"/>
        </w:rPr>
      </w:pPr>
    </w:p>
    <w:p w14:paraId="33C1AA23" w14:textId="77777777" w:rsidR="00B44273" w:rsidRPr="00ED3791" w:rsidRDefault="00B44273" w:rsidP="00B44273">
      <w:pPr>
        <w:ind w:firstLine="720"/>
        <w:jc w:val="both"/>
        <w:rPr>
          <w:rFonts w:ascii="Arial" w:hAnsi="Arial" w:cs="Arial"/>
          <w:lang w:val="mn-MN" w:eastAsia="zh-CN"/>
        </w:rPr>
      </w:pPr>
      <w:r w:rsidRPr="00ED3791">
        <w:rPr>
          <w:rFonts w:ascii="Arial" w:hAnsi="Arial" w:cs="Arial"/>
          <w:lang w:val="mn-MN" w:eastAsia="zh-CN"/>
        </w:rPr>
        <w:t xml:space="preserve">2025 оны байдлаар Шүүхийн шийдвэр гүйцэтгэх алба буюу иргэний, захиргааны, зөрчлийн шийдвэр гүйцэтгэх албанд нийт 460 алба хаагч ажилладаг бөгөөд ахлах шийдвэр гүйцэтгэгч 56, шийдвэр гүйцэтгэгч 244, захиргаа, мэргэжлийн удирдлага 26, санхүү үйлчилгээ 42, тоо бүртгэл, лавлагаа мэдээлэл 17, харуул, хамгаалалт 6, эрэн сурвалжлах 9 албан хаагч ажиллаж байна. </w:t>
      </w:r>
    </w:p>
    <w:p w14:paraId="27A8DAC8" w14:textId="77777777" w:rsidR="00B44273" w:rsidRPr="00ED3791" w:rsidRDefault="00B44273" w:rsidP="00B44273">
      <w:pPr>
        <w:spacing w:before="240"/>
        <w:ind w:right="-23" w:firstLine="720"/>
        <w:jc w:val="both"/>
        <w:rPr>
          <w:rFonts w:ascii="Arial" w:hAnsi="Arial" w:cs="Arial"/>
          <w:szCs w:val="28"/>
          <w:lang w:val="mn-MN" w:eastAsia="zh-CN"/>
        </w:rPr>
      </w:pPr>
      <w:r w:rsidRPr="00ED3791">
        <w:rPr>
          <w:rFonts w:ascii="Arial" w:hAnsi="Arial" w:cs="Arial"/>
          <w:lang w:val="mn-MN" w:eastAsia="zh-CN"/>
        </w:rPr>
        <w:lastRenderedPageBreak/>
        <w:t>2023 оны байдлаар Монгол Улсын хэмжээнд 244 шийдвэр гүйцэтгэгч байсан. 118 нь нийслэлд, 126 нь орон нутагт байдаг. Ахлах шийдвэр гүйцэтгэгч 47 байна. /1 ахлах зөрчил шалгадаг,/ нийслэлд 18 ахлах, үүний 5 нь ерөнхий шийдвэр гүйцэтгэгчид ирсэн гомдол, хүсэлтийг хянадаг байсан байна.</w:t>
      </w:r>
    </w:p>
    <w:p w14:paraId="13DDEADF" w14:textId="77777777" w:rsidR="00B44273" w:rsidRPr="00ED3791" w:rsidRDefault="00B44273" w:rsidP="00B44273">
      <w:pPr>
        <w:ind w:firstLine="720"/>
        <w:jc w:val="both"/>
        <w:rPr>
          <w:rFonts w:ascii="Arial" w:hAnsi="Arial" w:cs="Arial"/>
          <w:lang w:val="mn-MN" w:eastAsia="zh-CN"/>
        </w:rPr>
      </w:pPr>
    </w:p>
    <w:p w14:paraId="43883A0A" w14:textId="77777777" w:rsidR="00B44273" w:rsidRPr="00ED3791" w:rsidRDefault="00B44273" w:rsidP="00B44273">
      <w:pPr>
        <w:ind w:firstLine="720"/>
        <w:jc w:val="both"/>
        <w:rPr>
          <w:rFonts w:ascii="Arial" w:hAnsi="Arial" w:cs="Arial"/>
          <w:lang w:val="mn-MN" w:eastAsia="zh-CN"/>
        </w:rPr>
      </w:pPr>
      <w:r w:rsidRPr="00ED3791">
        <w:rPr>
          <w:rFonts w:ascii="Arial" w:hAnsi="Arial" w:cs="Arial"/>
          <w:lang w:val="mn-MN" w:eastAsia="zh-CN"/>
        </w:rPr>
        <w:t>Улмаар Хууль зүй, дотоод хэргийн сайдын 2025 оны А/23 тоот тушаалын хавсралтаар батлагдсан шийдвэр гүйцэтгэх ажиллагаа явуулах тойргийн тооны дагуу 304 шийдвэр гүйцэтгэгчтай байхаар буюу 2021 оноос хойш 244</w:t>
      </w:r>
      <w:r w:rsidRPr="00ED3791">
        <w:rPr>
          <w:rStyle w:val="FootnoteReference"/>
          <w:rFonts w:ascii="Arial" w:eastAsiaTheme="majorEastAsia" w:hAnsi="Arial" w:cs="Arial"/>
          <w:lang w:val="mn-MN" w:eastAsia="zh-CN"/>
        </w:rPr>
        <w:footnoteReference w:id="2"/>
      </w:r>
      <w:r w:rsidRPr="00ED3791">
        <w:rPr>
          <w:rFonts w:ascii="Arial" w:hAnsi="Arial" w:cs="Arial"/>
          <w:lang w:val="mn-MN" w:eastAsia="zh-CN"/>
        </w:rPr>
        <w:t xml:space="preserve"> байснаас 60-аар нэмэгджээ.</w:t>
      </w:r>
      <w:r w:rsidRPr="00ED3791">
        <w:rPr>
          <w:rStyle w:val="FootnoteReference"/>
          <w:rFonts w:ascii="Arial" w:eastAsiaTheme="majorEastAsia" w:hAnsi="Arial" w:cs="Arial"/>
          <w:lang w:val="mn-MN" w:eastAsia="zh-CN"/>
        </w:rPr>
        <w:footnoteReference w:id="3"/>
      </w:r>
      <w:r w:rsidRPr="00ED3791">
        <w:rPr>
          <w:rFonts w:ascii="Arial" w:hAnsi="Arial" w:cs="Arial"/>
          <w:lang w:val="mn-MN" w:eastAsia="zh-CN"/>
        </w:rPr>
        <w:t xml:space="preserve"> </w:t>
      </w:r>
    </w:p>
    <w:p w14:paraId="5C2760FB" w14:textId="77777777" w:rsidR="00B44273" w:rsidRPr="00ED3791" w:rsidRDefault="00B44273" w:rsidP="00B44273">
      <w:pPr>
        <w:ind w:firstLine="720"/>
        <w:jc w:val="both"/>
        <w:rPr>
          <w:rFonts w:ascii="Arial" w:hAnsi="Arial" w:cs="Arial"/>
          <w:lang w:val="mn-MN" w:eastAsia="zh-CN"/>
        </w:rPr>
      </w:pPr>
    </w:p>
    <w:p w14:paraId="6DC064BB" w14:textId="77777777" w:rsidR="00B44273" w:rsidRPr="00ED3791" w:rsidRDefault="00B44273" w:rsidP="00B44273">
      <w:pPr>
        <w:ind w:firstLine="720"/>
        <w:jc w:val="both"/>
        <w:rPr>
          <w:rFonts w:ascii="Arial" w:hAnsi="Arial" w:cs="Arial"/>
          <w:b/>
          <w:bCs/>
          <w:lang w:val="mn-MN" w:eastAsia="zh-CN"/>
        </w:rPr>
      </w:pPr>
      <w:r w:rsidRPr="00ED3791">
        <w:rPr>
          <w:rFonts w:ascii="Arial" w:hAnsi="Arial" w:cs="Arial"/>
          <w:b/>
          <w:bCs/>
          <w:lang w:val="mn-MN" w:eastAsia="zh-CN"/>
        </w:rPr>
        <w:t xml:space="preserve">Шийдвэр гүйцэтгэгчийн цалин </w:t>
      </w:r>
    </w:p>
    <w:p w14:paraId="08E55B30" w14:textId="77777777" w:rsidR="00B44273" w:rsidRPr="00ED3791" w:rsidRDefault="00B44273" w:rsidP="00B44273">
      <w:pPr>
        <w:ind w:firstLine="720"/>
        <w:jc w:val="both"/>
        <w:rPr>
          <w:rFonts w:ascii="Arial" w:hAnsi="Arial" w:cs="Arial"/>
          <w:lang w:val="mn-MN" w:eastAsia="zh-CN"/>
        </w:rPr>
      </w:pPr>
    </w:p>
    <w:p w14:paraId="61E800A6" w14:textId="77777777" w:rsidR="00B44273" w:rsidRPr="00ED3791" w:rsidRDefault="00B44273" w:rsidP="00B44273">
      <w:pPr>
        <w:ind w:firstLine="720"/>
        <w:jc w:val="both"/>
        <w:rPr>
          <w:rFonts w:ascii="Arial" w:eastAsia="MS Mincho" w:hAnsi="Arial" w:cs="Arial"/>
          <w:bCs/>
          <w:iCs/>
          <w:color w:val="000000"/>
          <w:lang w:val="mn-MN" w:eastAsia="zh-CN"/>
        </w:rPr>
      </w:pPr>
      <w:r w:rsidRPr="00ED3791">
        <w:rPr>
          <w:rFonts w:ascii="Arial" w:hAnsi="Arial" w:cs="Arial"/>
          <w:lang w:val="mn-MN" w:eastAsia="zh-CN"/>
        </w:rPr>
        <w:t xml:space="preserve">Цалин хөлсний тухайд Дэслэгч цолтой шийдвэр гүйцэтгэгчийн цалин хөлсийг тооцож үзвэл гарт олгох цалин  </w:t>
      </w:r>
      <w:r w:rsidRPr="00ED3791">
        <w:rPr>
          <w:rFonts w:ascii="Arial" w:eastAsia="MS Mincho" w:hAnsi="Arial" w:cs="Arial"/>
          <w:bCs/>
          <w:iCs/>
          <w:color w:val="000000"/>
          <w:lang w:val="mn-MN" w:eastAsia="zh-CN"/>
        </w:rPr>
        <w:t xml:space="preserve">2,318,892 төгрөг байна. </w:t>
      </w:r>
    </w:p>
    <w:p w14:paraId="1C6DD3B2" w14:textId="77777777" w:rsidR="00B44273" w:rsidRPr="00ED3791" w:rsidRDefault="00B44273" w:rsidP="00B44273">
      <w:pPr>
        <w:ind w:firstLine="720"/>
        <w:jc w:val="both"/>
        <w:rPr>
          <w:rFonts w:ascii="Arial" w:hAnsi="Arial" w:cs="Arial"/>
          <w:lang w:val="mn-MN" w:eastAsia="zh-CN"/>
        </w:rPr>
      </w:pPr>
    </w:p>
    <w:tbl>
      <w:tblPr>
        <w:tblStyle w:val="TableGrid"/>
        <w:tblW w:w="9493" w:type="dxa"/>
        <w:tblLook w:val="04A0" w:firstRow="1" w:lastRow="0" w:firstColumn="1" w:lastColumn="0" w:noHBand="0" w:noVBand="1"/>
      </w:tblPr>
      <w:tblGrid>
        <w:gridCol w:w="1696"/>
        <w:gridCol w:w="3119"/>
        <w:gridCol w:w="2168"/>
        <w:gridCol w:w="2510"/>
      </w:tblGrid>
      <w:tr w:rsidR="00B44273" w:rsidRPr="00ED3791" w14:paraId="1E01945B" w14:textId="77777777" w:rsidTr="00BC6043">
        <w:tc>
          <w:tcPr>
            <w:tcW w:w="1696" w:type="dxa"/>
          </w:tcPr>
          <w:p w14:paraId="3C5F2304" w14:textId="77777777" w:rsidR="00B44273" w:rsidRPr="00ED3791" w:rsidRDefault="00B44273" w:rsidP="00BC6043">
            <w:pPr>
              <w:contextualSpacing/>
              <w:jc w:val="center"/>
              <w:rPr>
                <w:rFonts w:ascii="Arial" w:eastAsia="MS Mincho" w:hAnsi="Arial" w:cs="Arial"/>
                <w:color w:val="000000"/>
                <w:lang w:val="mn-MN" w:eastAsia="zh-CN"/>
              </w:rPr>
            </w:pPr>
            <w:r w:rsidRPr="00ED3791">
              <w:rPr>
                <w:rFonts w:ascii="Arial" w:eastAsia="MS Mincho" w:hAnsi="Arial" w:cs="Arial"/>
                <w:color w:val="000000"/>
                <w:lang w:val="mn-MN" w:eastAsia="zh-CN"/>
              </w:rPr>
              <w:t>Үндсэн цалин</w:t>
            </w:r>
          </w:p>
        </w:tc>
        <w:tc>
          <w:tcPr>
            <w:tcW w:w="3119" w:type="dxa"/>
          </w:tcPr>
          <w:p w14:paraId="28CF11A4" w14:textId="77777777" w:rsidR="00B44273" w:rsidRPr="00ED3791" w:rsidRDefault="00B44273" w:rsidP="00BC6043">
            <w:pPr>
              <w:jc w:val="center"/>
              <w:rPr>
                <w:rFonts w:ascii="Arial" w:hAnsi="Arial" w:cs="Arial"/>
                <w:lang w:val="mn-MN" w:eastAsia="zh-CN"/>
              </w:rPr>
            </w:pPr>
            <w:r w:rsidRPr="00ED3791">
              <w:rPr>
                <w:rFonts w:ascii="Arial" w:eastAsia="MS Mincho" w:hAnsi="Arial" w:cs="Arial"/>
                <w:color w:val="000000"/>
                <w:lang w:val="mn-MN" w:eastAsia="zh-CN"/>
              </w:rPr>
              <w:t>Нэмэгдэл</w:t>
            </w:r>
          </w:p>
        </w:tc>
        <w:tc>
          <w:tcPr>
            <w:tcW w:w="2168" w:type="dxa"/>
          </w:tcPr>
          <w:p w14:paraId="2AE49B78" w14:textId="77777777" w:rsidR="00B44273" w:rsidRPr="00ED3791" w:rsidRDefault="00B44273" w:rsidP="00BC6043">
            <w:pPr>
              <w:jc w:val="center"/>
              <w:rPr>
                <w:rFonts w:ascii="Arial" w:hAnsi="Arial" w:cs="Arial"/>
                <w:lang w:val="mn-MN" w:eastAsia="zh-CN"/>
              </w:rPr>
            </w:pPr>
            <w:r w:rsidRPr="00ED3791">
              <w:rPr>
                <w:rFonts w:ascii="Arial" w:hAnsi="Arial" w:cs="Arial"/>
                <w:lang w:val="mn-MN" w:eastAsia="zh-CN"/>
              </w:rPr>
              <w:t>Эрүүл мэндийн даатгал</w:t>
            </w:r>
          </w:p>
        </w:tc>
        <w:tc>
          <w:tcPr>
            <w:tcW w:w="2510" w:type="dxa"/>
          </w:tcPr>
          <w:p w14:paraId="1F2D0ABC" w14:textId="77777777" w:rsidR="00B44273" w:rsidRPr="00ED3791" w:rsidRDefault="00B44273" w:rsidP="00BC6043">
            <w:pPr>
              <w:jc w:val="center"/>
              <w:rPr>
                <w:rFonts w:ascii="Arial" w:hAnsi="Arial" w:cs="Arial"/>
                <w:lang w:val="mn-MN" w:eastAsia="zh-CN"/>
              </w:rPr>
            </w:pPr>
            <w:r w:rsidRPr="00ED3791">
              <w:rPr>
                <w:rFonts w:ascii="Arial" w:hAnsi="Arial" w:cs="Arial"/>
                <w:lang w:val="mn-MN" w:eastAsia="zh-CN"/>
              </w:rPr>
              <w:t>Татвар</w:t>
            </w:r>
          </w:p>
        </w:tc>
      </w:tr>
      <w:tr w:rsidR="00B44273" w:rsidRPr="00ED3791" w14:paraId="6E7B51BF" w14:textId="77777777" w:rsidTr="00BC6043">
        <w:trPr>
          <w:trHeight w:val="1428"/>
        </w:trPr>
        <w:tc>
          <w:tcPr>
            <w:tcW w:w="1696" w:type="dxa"/>
          </w:tcPr>
          <w:p w14:paraId="3DA53A87" w14:textId="77777777" w:rsidR="00B44273" w:rsidRPr="00ED3791" w:rsidRDefault="00B44273" w:rsidP="00BC6043">
            <w:pPr>
              <w:jc w:val="center"/>
              <w:rPr>
                <w:rFonts w:ascii="Arial" w:hAnsi="Arial" w:cs="Arial"/>
                <w:bCs/>
                <w:lang w:val="mn-MN" w:eastAsia="zh-CN"/>
              </w:rPr>
            </w:pPr>
          </w:p>
          <w:p w14:paraId="06C33439" w14:textId="77777777" w:rsidR="00B44273" w:rsidRPr="00ED3791" w:rsidRDefault="00B44273" w:rsidP="00BC6043">
            <w:pPr>
              <w:jc w:val="center"/>
              <w:rPr>
                <w:rFonts w:ascii="Arial" w:hAnsi="Arial" w:cs="Arial"/>
                <w:bCs/>
                <w:lang w:val="mn-MN" w:eastAsia="zh-CN"/>
              </w:rPr>
            </w:pPr>
          </w:p>
          <w:p w14:paraId="09B726C2" w14:textId="77777777" w:rsidR="00B44273" w:rsidRPr="00ED3791" w:rsidRDefault="00B44273" w:rsidP="00BC6043">
            <w:pPr>
              <w:jc w:val="center"/>
              <w:rPr>
                <w:rFonts w:ascii="Arial" w:eastAsia="MS Mincho" w:hAnsi="Arial" w:cs="Arial"/>
                <w:bCs/>
                <w:color w:val="000000"/>
                <w:lang w:val="mn-MN" w:eastAsia="zh-CN"/>
              </w:rPr>
            </w:pPr>
            <w:r w:rsidRPr="00ED3791">
              <w:rPr>
                <w:rFonts w:ascii="Arial" w:hAnsi="Arial" w:cs="Arial"/>
                <w:bCs/>
                <w:lang w:val="mn-MN" w:eastAsia="zh-CN"/>
              </w:rPr>
              <w:t>ТТ-7</w:t>
            </w:r>
            <w:r w:rsidRPr="00ED3791">
              <w:rPr>
                <w:rStyle w:val="FootnoteReference"/>
                <w:rFonts w:ascii="Arial" w:eastAsiaTheme="majorEastAsia" w:hAnsi="Arial" w:cs="Arial"/>
                <w:bCs/>
                <w:lang w:val="mn-MN" w:eastAsia="zh-CN"/>
              </w:rPr>
              <w:footnoteReference w:id="4"/>
            </w:r>
          </w:p>
        </w:tc>
        <w:tc>
          <w:tcPr>
            <w:tcW w:w="3119" w:type="dxa"/>
          </w:tcPr>
          <w:p w14:paraId="52568EDB" w14:textId="77777777" w:rsidR="00B44273" w:rsidRPr="00ED3791" w:rsidRDefault="00B44273" w:rsidP="00BC6043">
            <w:pPr>
              <w:pStyle w:val="ListParagraph"/>
              <w:numPr>
                <w:ilvl w:val="0"/>
                <w:numId w:val="9"/>
              </w:numPr>
              <w:tabs>
                <w:tab w:val="left" w:pos="600"/>
              </w:tabs>
              <w:rPr>
                <w:rFonts w:ascii="Arial" w:eastAsia="MS Mincho" w:hAnsi="Arial" w:cs="Arial"/>
                <w:bCs/>
                <w:color w:val="000000"/>
                <w:lang w:val="mn-MN" w:eastAsia="zh-CN"/>
              </w:rPr>
            </w:pPr>
            <w:r w:rsidRPr="00ED3791">
              <w:rPr>
                <w:rFonts w:ascii="Arial" w:eastAsia="MS Mincho" w:hAnsi="Arial" w:cs="Arial"/>
                <w:bCs/>
                <w:color w:val="000000"/>
                <w:lang w:val="mn-MN" w:eastAsia="zh-CN"/>
              </w:rPr>
              <w:t>Цол /Дэслэгч/– 26%</w:t>
            </w:r>
          </w:p>
          <w:p w14:paraId="5DB3521B" w14:textId="77777777" w:rsidR="00B44273" w:rsidRPr="00ED3791" w:rsidRDefault="00B44273" w:rsidP="00BC6043">
            <w:pPr>
              <w:pStyle w:val="ListParagraph"/>
              <w:numPr>
                <w:ilvl w:val="0"/>
                <w:numId w:val="9"/>
              </w:numPr>
              <w:tabs>
                <w:tab w:val="left" w:pos="600"/>
              </w:tabs>
              <w:rPr>
                <w:rFonts w:ascii="Arial" w:eastAsia="MS Mincho" w:hAnsi="Arial" w:cs="Arial"/>
                <w:bCs/>
                <w:color w:val="000000"/>
                <w:lang w:val="mn-MN" w:eastAsia="zh-CN"/>
              </w:rPr>
            </w:pPr>
            <w:r w:rsidRPr="00ED3791">
              <w:rPr>
                <w:rFonts w:ascii="Arial" w:eastAsia="MS Mincho" w:hAnsi="Arial" w:cs="Arial"/>
                <w:bCs/>
                <w:color w:val="000000"/>
                <w:lang w:val="mn-MN" w:eastAsia="zh-CN"/>
              </w:rPr>
              <w:t>ХАН– 10%</w:t>
            </w:r>
          </w:p>
          <w:p w14:paraId="4361BAE3" w14:textId="77777777" w:rsidR="00B44273" w:rsidRPr="00ED3791" w:rsidRDefault="00B44273" w:rsidP="00BC6043">
            <w:pPr>
              <w:pStyle w:val="ListParagraph"/>
              <w:numPr>
                <w:ilvl w:val="0"/>
                <w:numId w:val="9"/>
              </w:numPr>
              <w:tabs>
                <w:tab w:val="left" w:pos="600"/>
              </w:tabs>
              <w:rPr>
                <w:rFonts w:ascii="Arial" w:eastAsia="MS Mincho" w:hAnsi="Arial" w:cs="Arial"/>
                <w:bCs/>
                <w:color w:val="000000"/>
                <w:lang w:val="mn-MN" w:eastAsia="zh-CN"/>
              </w:rPr>
            </w:pPr>
            <w:r w:rsidRPr="00ED3791">
              <w:rPr>
                <w:rFonts w:ascii="Arial" w:eastAsia="MS Mincho" w:hAnsi="Arial" w:cs="Arial"/>
                <w:bCs/>
                <w:color w:val="000000"/>
                <w:lang w:val="mn-MN" w:eastAsia="zh-CN"/>
              </w:rPr>
              <w:t>ОНН– 25%</w:t>
            </w:r>
          </w:p>
          <w:p w14:paraId="174B7195" w14:textId="77777777" w:rsidR="00B44273" w:rsidRPr="00ED3791" w:rsidRDefault="00B44273" w:rsidP="00BC6043">
            <w:pPr>
              <w:pStyle w:val="ListParagraph"/>
              <w:numPr>
                <w:ilvl w:val="0"/>
                <w:numId w:val="9"/>
              </w:numPr>
              <w:tabs>
                <w:tab w:val="left" w:pos="600"/>
              </w:tabs>
              <w:rPr>
                <w:rFonts w:ascii="Arial" w:eastAsia="MS Mincho" w:hAnsi="Arial" w:cs="Arial"/>
                <w:bCs/>
                <w:color w:val="000000"/>
                <w:lang w:val="mn-MN" w:eastAsia="zh-CN"/>
              </w:rPr>
            </w:pPr>
            <w:r w:rsidRPr="00ED3791">
              <w:rPr>
                <w:rFonts w:ascii="Arial" w:eastAsia="MS Mincho" w:hAnsi="Arial" w:cs="Arial"/>
                <w:bCs/>
                <w:color w:val="000000"/>
                <w:lang w:val="mn-MN" w:eastAsia="zh-CN"/>
              </w:rPr>
              <w:t>ТТАХН– 0%</w:t>
            </w:r>
          </w:p>
          <w:p w14:paraId="44510FCF" w14:textId="77777777" w:rsidR="00B44273" w:rsidRPr="00ED3791" w:rsidRDefault="00B44273" w:rsidP="00BC6043">
            <w:pPr>
              <w:pStyle w:val="ListParagraph"/>
              <w:tabs>
                <w:tab w:val="left" w:pos="600"/>
              </w:tabs>
              <w:jc w:val="right"/>
              <w:rPr>
                <w:rFonts w:ascii="Arial" w:eastAsia="MS Mincho" w:hAnsi="Arial" w:cs="Arial"/>
                <w:bCs/>
                <w:color w:val="000000"/>
                <w:lang w:val="mn-MN" w:eastAsia="zh-CN"/>
              </w:rPr>
            </w:pPr>
            <w:r w:rsidRPr="00ED3791">
              <w:rPr>
                <w:rFonts w:ascii="Arial" w:eastAsia="MS Mincho" w:hAnsi="Arial" w:cs="Arial"/>
                <w:i/>
                <w:color w:val="000000"/>
                <w:lang w:val="mn-MN" w:eastAsia="zh-CN"/>
              </w:rPr>
              <w:t xml:space="preserve">Нийт 61%  </w:t>
            </w:r>
          </w:p>
        </w:tc>
        <w:tc>
          <w:tcPr>
            <w:tcW w:w="2168" w:type="dxa"/>
          </w:tcPr>
          <w:p w14:paraId="74D85841" w14:textId="77777777" w:rsidR="00B44273" w:rsidRPr="00ED3791" w:rsidRDefault="00B44273" w:rsidP="00BC6043">
            <w:pPr>
              <w:jc w:val="center"/>
              <w:rPr>
                <w:rFonts w:ascii="Arial" w:eastAsia="MS Mincho" w:hAnsi="Arial" w:cs="Arial"/>
                <w:bCs/>
                <w:color w:val="000000"/>
                <w:lang w:val="mn-MN" w:eastAsia="zh-CN"/>
              </w:rPr>
            </w:pPr>
          </w:p>
          <w:p w14:paraId="2ABEB092" w14:textId="77777777" w:rsidR="00B44273" w:rsidRPr="00ED3791" w:rsidRDefault="00B44273" w:rsidP="00BC6043">
            <w:pPr>
              <w:jc w:val="center"/>
              <w:rPr>
                <w:rFonts w:ascii="Arial" w:eastAsia="MS Mincho" w:hAnsi="Arial" w:cs="Arial"/>
                <w:bCs/>
                <w:color w:val="000000"/>
                <w:lang w:val="mn-MN" w:eastAsia="zh-CN"/>
              </w:rPr>
            </w:pPr>
          </w:p>
          <w:p w14:paraId="7088ADB9" w14:textId="77777777" w:rsidR="00B44273" w:rsidRPr="00ED3791" w:rsidRDefault="00B44273" w:rsidP="00BC6043">
            <w:pPr>
              <w:jc w:val="center"/>
              <w:rPr>
                <w:rFonts w:ascii="Arial" w:hAnsi="Arial" w:cs="Arial"/>
                <w:lang w:val="mn-MN" w:eastAsia="zh-CN"/>
              </w:rPr>
            </w:pPr>
            <w:r w:rsidRPr="00ED3791">
              <w:rPr>
                <w:rFonts w:ascii="Arial" w:eastAsia="MS Mincho" w:hAnsi="Arial" w:cs="Arial"/>
                <w:bCs/>
                <w:color w:val="000000"/>
                <w:lang w:val="mn-MN" w:eastAsia="zh-CN"/>
              </w:rPr>
              <w:t>2%</w:t>
            </w:r>
          </w:p>
        </w:tc>
        <w:tc>
          <w:tcPr>
            <w:tcW w:w="2510" w:type="dxa"/>
          </w:tcPr>
          <w:p w14:paraId="467D867F" w14:textId="77777777" w:rsidR="00B44273" w:rsidRPr="00ED3791" w:rsidRDefault="00B44273" w:rsidP="00BC6043">
            <w:pPr>
              <w:pStyle w:val="ListParagraph"/>
              <w:tabs>
                <w:tab w:val="left" w:pos="600"/>
              </w:tabs>
              <w:rPr>
                <w:rFonts w:ascii="Arial" w:eastAsia="MS Mincho" w:hAnsi="Arial" w:cs="Arial"/>
                <w:bCs/>
                <w:color w:val="000000"/>
                <w:lang w:val="mn-MN" w:eastAsia="zh-CN"/>
              </w:rPr>
            </w:pPr>
          </w:p>
          <w:p w14:paraId="589D8C61" w14:textId="77777777" w:rsidR="00B44273" w:rsidRPr="00ED3791" w:rsidRDefault="00B44273" w:rsidP="00BC6043">
            <w:pPr>
              <w:pStyle w:val="ListParagraph"/>
              <w:tabs>
                <w:tab w:val="left" w:pos="600"/>
              </w:tabs>
              <w:rPr>
                <w:rFonts w:ascii="Arial" w:eastAsia="MS Mincho" w:hAnsi="Arial" w:cs="Arial"/>
                <w:bCs/>
                <w:color w:val="000000"/>
                <w:lang w:val="mn-MN" w:eastAsia="zh-CN"/>
              </w:rPr>
            </w:pPr>
          </w:p>
          <w:p w14:paraId="2F1F41B3" w14:textId="77777777" w:rsidR="00B44273" w:rsidRPr="00ED3791" w:rsidRDefault="00B44273" w:rsidP="00BC6043">
            <w:pPr>
              <w:pStyle w:val="ListParagraph"/>
              <w:tabs>
                <w:tab w:val="left" w:pos="600"/>
              </w:tabs>
              <w:rPr>
                <w:rFonts w:ascii="Arial" w:eastAsia="MS Mincho" w:hAnsi="Arial" w:cs="Arial"/>
                <w:bCs/>
                <w:color w:val="000000"/>
                <w:lang w:val="mn-MN" w:eastAsia="zh-CN"/>
              </w:rPr>
            </w:pPr>
            <w:r w:rsidRPr="00ED3791">
              <w:rPr>
                <w:rFonts w:ascii="Arial" w:eastAsia="MS Mincho" w:hAnsi="Arial" w:cs="Arial"/>
                <w:bCs/>
                <w:color w:val="000000"/>
                <w:lang w:val="mn-MN" w:eastAsia="zh-CN"/>
              </w:rPr>
              <w:t>10%</w:t>
            </w:r>
          </w:p>
          <w:p w14:paraId="5D284F69" w14:textId="77777777" w:rsidR="00B44273" w:rsidRPr="00ED3791" w:rsidRDefault="00B44273" w:rsidP="00BC6043">
            <w:pPr>
              <w:jc w:val="center"/>
              <w:rPr>
                <w:rFonts w:ascii="Arial" w:hAnsi="Arial" w:cs="Arial"/>
                <w:lang w:val="mn-MN" w:eastAsia="zh-CN"/>
              </w:rPr>
            </w:pPr>
          </w:p>
        </w:tc>
      </w:tr>
      <w:tr w:rsidR="00B44273" w:rsidRPr="00ED3791" w14:paraId="0291FD67" w14:textId="77777777" w:rsidTr="00BC6043">
        <w:trPr>
          <w:trHeight w:val="726"/>
        </w:trPr>
        <w:tc>
          <w:tcPr>
            <w:tcW w:w="1696" w:type="dxa"/>
          </w:tcPr>
          <w:p w14:paraId="0BFC0E17" w14:textId="77777777" w:rsidR="00B44273" w:rsidRPr="00ED3791" w:rsidRDefault="00B44273" w:rsidP="00BC6043">
            <w:pPr>
              <w:jc w:val="center"/>
              <w:rPr>
                <w:rFonts w:ascii="Arial" w:eastAsia="MS Mincho" w:hAnsi="Arial" w:cs="Arial"/>
                <w:color w:val="000000"/>
                <w:lang w:val="mn-MN" w:eastAsia="zh-CN"/>
              </w:rPr>
            </w:pPr>
          </w:p>
          <w:p w14:paraId="5FB54C04" w14:textId="77777777" w:rsidR="00B44273" w:rsidRPr="00ED3791" w:rsidRDefault="00B44273" w:rsidP="00BC6043">
            <w:pPr>
              <w:jc w:val="center"/>
              <w:rPr>
                <w:rFonts w:ascii="Arial" w:eastAsia="MS Mincho" w:hAnsi="Arial" w:cs="Arial"/>
                <w:color w:val="000000"/>
                <w:lang w:val="mn-MN" w:eastAsia="zh-CN"/>
              </w:rPr>
            </w:pPr>
            <w:r w:rsidRPr="00ED3791">
              <w:rPr>
                <w:rFonts w:ascii="Arial" w:eastAsia="MS Mincho" w:hAnsi="Arial" w:cs="Arial"/>
                <w:color w:val="000000"/>
                <w:lang w:val="mn-MN" w:eastAsia="zh-CN"/>
              </w:rPr>
              <w:t>1,633,000 төг</w:t>
            </w:r>
          </w:p>
          <w:p w14:paraId="4932101E" w14:textId="77777777" w:rsidR="00B44273" w:rsidRPr="00ED3791" w:rsidRDefault="00B44273" w:rsidP="00BC6043">
            <w:pPr>
              <w:jc w:val="center"/>
              <w:rPr>
                <w:rFonts w:ascii="Arial" w:eastAsia="MS Mincho" w:hAnsi="Arial" w:cs="Arial"/>
                <w:color w:val="000000"/>
                <w:lang w:val="mn-MN" w:eastAsia="zh-CN"/>
              </w:rPr>
            </w:pPr>
          </w:p>
        </w:tc>
        <w:tc>
          <w:tcPr>
            <w:tcW w:w="3119" w:type="dxa"/>
          </w:tcPr>
          <w:p w14:paraId="20A1207F" w14:textId="77777777" w:rsidR="00B44273" w:rsidRPr="00ED3791" w:rsidRDefault="00B44273" w:rsidP="00BC6043">
            <w:pPr>
              <w:tabs>
                <w:tab w:val="left" w:pos="600"/>
              </w:tabs>
              <w:ind w:left="317"/>
              <w:contextualSpacing/>
              <w:jc w:val="center"/>
              <w:rPr>
                <w:rFonts w:ascii="Arial" w:eastAsia="MS Mincho" w:hAnsi="Arial" w:cs="Arial"/>
                <w:color w:val="000000"/>
                <w:lang w:val="mn-MN" w:eastAsia="zh-CN"/>
              </w:rPr>
            </w:pPr>
          </w:p>
          <w:p w14:paraId="60687A8E" w14:textId="77777777" w:rsidR="00B44273" w:rsidRPr="00ED3791" w:rsidRDefault="00B44273" w:rsidP="00BC6043">
            <w:pPr>
              <w:jc w:val="center"/>
              <w:rPr>
                <w:rFonts w:ascii="Arial" w:eastAsia="MS Mincho" w:hAnsi="Arial" w:cs="Arial"/>
                <w:color w:val="000000"/>
                <w:lang w:val="mn-MN" w:eastAsia="zh-CN"/>
              </w:rPr>
            </w:pPr>
            <w:r w:rsidRPr="00ED3791">
              <w:rPr>
                <w:rFonts w:ascii="Arial" w:eastAsia="MS Mincho" w:hAnsi="Arial" w:cs="Arial"/>
                <w:color w:val="000000"/>
                <w:lang w:val="mn-MN" w:eastAsia="zh-CN"/>
              </w:rPr>
              <w:t>996,130 төг</w:t>
            </w:r>
          </w:p>
          <w:p w14:paraId="2332924C" w14:textId="77777777" w:rsidR="00B44273" w:rsidRPr="00ED3791" w:rsidRDefault="00B44273" w:rsidP="00BC6043">
            <w:pPr>
              <w:jc w:val="center"/>
              <w:rPr>
                <w:rFonts w:ascii="Arial" w:eastAsia="MS Mincho" w:hAnsi="Arial" w:cs="Arial"/>
                <w:color w:val="000000"/>
                <w:lang w:val="mn-MN" w:eastAsia="zh-CN"/>
              </w:rPr>
            </w:pPr>
          </w:p>
        </w:tc>
        <w:tc>
          <w:tcPr>
            <w:tcW w:w="2168" w:type="dxa"/>
          </w:tcPr>
          <w:p w14:paraId="662338FC" w14:textId="77777777" w:rsidR="00B44273" w:rsidRPr="00ED3791" w:rsidRDefault="00B44273" w:rsidP="00BC6043">
            <w:pPr>
              <w:tabs>
                <w:tab w:val="left" w:pos="600"/>
              </w:tabs>
              <w:ind w:left="317"/>
              <w:contextualSpacing/>
              <w:jc w:val="center"/>
              <w:rPr>
                <w:rFonts w:ascii="Arial" w:eastAsia="MS Mincho" w:hAnsi="Arial" w:cs="Arial"/>
                <w:color w:val="000000"/>
                <w:lang w:val="mn-MN" w:eastAsia="zh-CN"/>
              </w:rPr>
            </w:pPr>
          </w:p>
          <w:p w14:paraId="704E1168" w14:textId="77777777" w:rsidR="00B44273" w:rsidRPr="00ED3791" w:rsidRDefault="00B44273" w:rsidP="00BC6043">
            <w:pPr>
              <w:tabs>
                <w:tab w:val="left" w:pos="600"/>
              </w:tabs>
              <w:contextualSpacing/>
              <w:jc w:val="center"/>
              <w:rPr>
                <w:rFonts w:ascii="Arial" w:eastAsia="MS Mincho" w:hAnsi="Arial" w:cs="Arial"/>
                <w:color w:val="000000"/>
                <w:lang w:val="mn-MN" w:eastAsia="zh-CN"/>
              </w:rPr>
            </w:pPr>
            <w:r w:rsidRPr="00ED3791">
              <w:rPr>
                <w:rFonts w:ascii="Arial" w:eastAsia="MS Mincho" w:hAnsi="Arial" w:cs="Arial"/>
                <w:color w:val="000000"/>
                <w:lang w:val="mn-MN" w:eastAsia="zh-CN"/>
              </w:rPr>
              <w:t>52,582.6 төг</w:t>
            </w:r>
          </w:p>
        </w:tc>
        <w:tc>
          <w:tcPr>
            <w:tcW w:w="2510" w:type="dxa"/>
          </w:tcPr>
          <w:p w14:paraId="7DFEB844" w14:textId="77777777" w:rsidR="00B44273" w:rsidRPr="00ED3791" w:rsidRDefault="00B44273" w:rsidP="00BC6043">
            <w:pPr>
              <w:jc w:val="center"/>
              <w:rPr>
                <w:rFonts w:ascii="Arial" w:eastAsia="MS Mincho" w:hAnsi="Arial" w:cs="Arial"/>
                <w:color w:val="000000"/>
                <w:lang w:val="mn-MN" w:eastAsia="zh-CN"/>
              </w:rPr>
            </w:pPr>
          </w:p>
          <w:p w14:paraId="2FF001B7" w14:textId="77777777" w:rsidR="00B44273" w:rsidRPr="00ED3791" w:rsidRDefault="00B44273" w:rsidP="00BC6043">
            <w:pPr>
              <w:jc w:val="center"/>
              <w:rPr>
                <w:rFonts w:ascii="Arial" w:eastAsia="MS Mincho" w:hAnsi="Arial" w:cs="Arial"/>
                <w:color w:val="000000"/>
                <w:lang w:val="mn-MN" w:eastAsia="zh-CN"/>
              </w:rPr>
            </w:pPr>
            <w:r w:rsidRPr="00ED3791">
              <w:rPr>
                <w:rFonts w:ascii="Arial" w:eastAsia="MS Mincho" w:hAnsi="Arial" w:cs="Arial"/>
                <w:color w:val="000000"/>
                <w:lang w:val="mn-MN" w:eastAsia="zh-CN"/>
              </w:rPr>
              <w:t>257,654.7 төг</w:t>
            </w:r>
          </w:p>
          <w:p w14:paraId="257E8A72" w14:textId="77777777" w:rsidR="00B44273" w:rsidRPr="00ED3791" w:rsidRDefault="00B44273" w:rsidP="00BC6043">
            <w:pPr>
              <w:tabs>
                <w:tab w:val="left" w:pos="600"/>
              </w:tabs>
              <w:ind w:left="317"/>
              <w:contextualSpacing/>
              <w:rPr>
                <w:rFonts w:ascii="Arial" w:eastAsia="MS Mincho" w:hAnsi="Arial" w:cs="Arial"/>
                <w:color w:val="000000"/>
                <w:lang w:val="mn-MN" w:eastAsia="zh-CN"/>
              </w:rPr>
            </w:pPr>
          </w:p>
        </w:tc>
      </w:tr>
    </w:tbl>
    <w:p w14:paraId="35B2FE8F" w14:textId="77777777" w:rsidR="00B44273" w:rsidRPr="00ED3791" w:rsidRDefault="00B44273" w:rsidP="00B44273">
      <w:pPr>
        <w:rPr>
          <w:rFonts w:ascii="Arial" w:eastAsia="MS Mincho" w:hAnsi="Arial" w:cs="Arial"/>
          <w:color w:val="000000"/>
          <w:lang w:val="mn-MN" w:eastAsia="zh-CN"/>
        </w:rPr>
      </w:pPr>
    </w:p>
    <w:p w14:paraId="2EDC78E3" w14:textId="77777777" w:rsidR="00B44273" w:rsidRPr="00ED3791" w:rsidRDefault="00B44273" w:rsidP="00B44273">
      <w:pPr>
        <w:ind w:left="5040"/>
        <w:jc w:val="right"/>
        <w:rPr>
          <w:rFonts w:ascii="Arial" w:eastAsia="MS Mincho" w:hAnsi="Arial" w:cs="Arial"/>
          <w:bCs/>
          <w:i/>
          <w:color w:val="000000"/>
          <w:lang w:val="mn-MN" w:eastAsia="zh-CN"/>
        </w:rPr>
      </w:pPr>
      <w:r w:rsidRPr="00ED3791">
        <w:rPr>
          <w:rFonts w:ascii="Arial" w:eastAsia="MS Mincho" w:hAnsi="Arial" w:cs="Arial"/>
          <w:bCs/>
          <w:i/>
          <w:color w:val="000000"/>
          <w:lang w:val="mn-MN" w:eastAsia="zh-CN"/>
        </w:rPr>
        <w:t xml:space="preserve">  Гарт олгох : 2,318,892.7 төг</w:t>
      </w:r>
    </w:p>
    <w:p w14:paraId="5B166B23" w14:textId="77777777" w:rsidR="00B44273" w:rsidRPr="00ED3791" w:rsidRDefault="00B44273" w:rsidP="00B44273">
      <w:pPr>
        <w:spacing w:before="240"/>
        <w:ind w:firstLine="567"/>
        <w:jc w:val="both"/>
        <w:rPr>
          <w:rFonts w:ascii="Arial" w:hAnsi="Arial" w:cs="Arial"/>
          <w:lang w:val="mn-MN" w:eastAsia="zh-CN"/>
        </w:rPr>
      </w:pPr>
      <w:r w:rsidRPr="00ED3791">
        <w:rPr>
          <w:rFonts w:ascii="Arial" w:hAnsi="Arial" w:cs="Arial"/>
          <w:lang w:val="mn-MN" w:eastAsia="zh-CN"/>
        </w:rPr>
        <w:t>Цаашид шийдвэр гүйцэтгэх албыг төрийн тусгай албаны ангиллаас гаргах бодлоготой уялдуулан судлаачын зүгээс эдгээр албан хаагчдын цалин хөлс хэрхэн өөрчлөгдөх талаар тооцоолох шаардлагатай гэж үзэн дараах байдлаар тооцлоо.</w:t>
      </w:r>
    </w:p>
    <w:p w14:paraId="06191348" w14:textId="77777777" w:rsidR="00B44273" w:rsidRPr="00ED3791" w:rsidRDefault="00B44273" w:rsidP="00B44273">
      <w:pPr>
        <w:spacing w:before="240"/>
        <w:ind w:firstLine="567"/>
        <w:jc w:val="both"/>
        <w:rPr>
          <w:rFonts w:ascii="Arial" w:hAnsi="Arial" w:cs="Arial"/>
          <w:lang w:val="mn-MN" w:eastAsia="zh-CN"/>
        </w:rPr>
      </w:pPr>
    </w:p>
    <w:tbl>
      <w:tblPr>
        <w:tblStyle w:val="TableGrid"/>
        <w:tblW w:w="9493" w:type="dxa"/>
        <w:tblLook w:val="04A0" w:firstRow="1" w:lastRow="0" w:firstColumn="1" w:lastColumn="0" w:noHBand="0" w:noVBand="1"/>
      </w:tblPr>
      <w:tblGrid>
        <w:gridCol w:w="1672"/>
        <w:gridCol w:w="3197"/>
        <w:gridCol w:w="2153"/>
        <w:gridCol w:w="2471"/>
      </w:tblGrid>
      <w:tr w:rsidR="00B44273" w:rsidRPr="00ED3791" w14:paraId="4C961EEC" w14:textId="77777777" w:rsidTr="00BC6043">
        <w:tc>
          <w:tcPr>
            <w:tcW w:w="1672" w:type="dxa"/>
          </w:tcPr>
          <w:p w14:paraId="0B056469" w14:textId="77777777" w:rsidR="00B44273" w:rsidRPr="00ED3791" w:rsidRDefault="00B44273" w:rsidP="00BC6043">
            <w:pPr>
              <w:contextualSpacing/>
              <w:jc w:val="center"/>
              <w:rPr>
                <w:rFonts w:ascii="Arial" w:eastAsia="MS Mincho" w:hAnsi="Arial" w:cs="Arial"/>
                <w:color w:val="000000"/>
                <w:lang w:val="mn-MN" w:eastAsia="zh-CN"/>
              </w:rPr>
            </w:pPr>
            <w:r w:rsidRPr="00ED3791">
              <w:rPr>
                <w:rFonts w:ascii="Arial" w:eastAsia="MS Mincho" w:hAnsi="Arial" w:cs="Arial"/>
                <w:color w:val="000000"/>
                <w:lang w:val="mn-MN" w:eastAsia="zh-CN"/>
              </w:rPr>
              <w:t>Үндсэн цалин</w:t>
            </w:r>
          </w:p>
        </w:tc>
        <w:tc>
          <w:tcPr>
            <w:tcW w:w="3197" w:type="dxa"/>
          </w:tcPr>
          <w:p w14:paraId="68E9CCE9" w14:textId="77777777" w:rsidR="00B44273" w:rsidRPr="00ED3791" w:rsidRDefault="00B44273" w:rsidP="00BC6043">
            <w:pPr>
              <w:jc w:val="center"/>
              <w:rPr>
                <w:rFonts w:ascii="Arial" w:hAnsi="Arial" w:cs="Arial"/>
                <w:lang w:val="mn-MN" w:eastAsia="zh-CN"/>
              </w:rPr>
            </w:pPr>
            <w:r w:rsidRPr="00ED3791">
              <w:rPr>
                <w:rFonts w:ascii="Arial" w:eastAsia="MS Mincho" w:hAnsi="Arial" w:cs="Arial"/>
                <w:color w:val="000000"/>
                <w:lang w:val="mn-MN" w:eastAsia="zh-CN"/>
              </w:rPr>
              <w:t>Нэмэгдэл</w:t>
            </w:r>
          </w:p>
        </w:tc>
        <w:tc>
          <w:tcPr>
            <w:tcW w:w="2153" w:type="dxa"/>
          </w:tcPr>
          <w:p w14:paraId="6C66EC65" w14:textId="77777777" w:rsidR="00B44273" w:rsidRPr="00ED3791" w:rsidRDefault="00B44273" w:rsidP="00BC6043">
            <w:pPr>
              <w:jc w:val="center"/>
              <w:rPr>
                <w:rFonts w:ascii="Arial" w:hAnsi="Arial" w:cs="Arial"/>
                <w:lang w:val="mn-MN" w:eastAsia="zh-CN"/>
              </w:rPr>
            </w:pPr>
            <w:r w:rsidRPr="00ED3791">
              <w:rPr>
                <w:rFonts w:ascii="Arial" w:hAnsi="Arial" w:cs="Arial"/>
                <w:lang w:val="mn-MN" w:eastAsia="zh-CN"/>
              </w:rPr>
              <w:t>Эрүүл мэндийн даатгал+Нийгмийн даатгал</w:t>
            </w:r>
          </w:p>
        </w:tc>
        <w:tc>
          <w:tcPr>
            <w:tcW w:w="2471" w:type="dxa"/>
          </w:tcPr>
          <w:p w14:paraId="4387D228" w14:textId="77777777" w:rsidR="00B44273" w:rsidRPr="00ED3791" w:rsidRDefault="00B44273" w:rsidP="00BC6043">
            <w:pPr>
              <w:jc w:val="center"/>
              <w:rPr>
                <w:rFonts w:ascii="Arial" w:hAnsi="Arial" w:cs="Arial"/>
                <w:lang w:val="mn-MN" w:eastAsia="zh-CN"/>
              </w:rPr>
            </w:pPr>
            <w:r w:rsidRPr="00ED3791">
              <w:rPr>
                <w:rFonts w:ascii="Arial" w:hAnsi="Arial" w:cs="Arial"/>
                <w:lang w:val="mn-MN" w:eastAsia="zh-CN"/>
              </w:rPr>
              <w:t>Татвар</w:t>
            </w:r>
          </w:p>
        </w:tc>
      </w:tr>
      <w:tr w:rsidR="00B44273" w:rsidRPr="00ED3791" w14:paraId="6002A734" w14:textId="77777777" w:rsidTr="00BC6043">
        <w:trPr>
          <w:trHeight w:val="1125"/>
        </w:trPr>
        <w:tc>
          <w:tcPr>
            <w:tcW w:w="1672" w:type="dxa"/>
          </w:tcPr>
          <w:p w14:paraId="362D2E22" w14:textId="77777777" w:rsidR="00B44273" w:rsidRPr="00ED3791" w:rsidRDefault="00B44273" w:rsidP="00BC6043">
            <w:pPr>
              <w:jc w:val="center"/>
              <w:rPr>
                <w:rFonts w:ascii="Arial" w:hAnsi="Arial" w:cs="Arial"/>
                <w:bCs/>
                <w:lang w:val="mn-MN" w:eastAsia="zh-CN"/>
              </w:rPr>
            </w:pPr>
          </w:p>
          <w:p w14:paraId="7E4FA57D" w14:textId="77777777" w:rsidR="00B44273" w:rsidRPr="00ED3791" w:rsidRDefault="00B44273" w:rsidP="00BC6043">
            <w:pPr>
              <w:jc w:val="center"/>
              <w:rPr>
                <w:rFonts w:ascii="Arial" w:hAnsi="Arial" w:cs="Arial"/>
                <w:bCs/>
                <w:lang w:val="mn-MN" w:eastAsia="zh-CN"/>
              </w:rPr>
            </w:pPr>
          </w:p>
          <w:p w14:paraId="508CB621" w14:textId="77777777" w:rsidR="00B44273" w:rsidRPr="00ED3791" w:rsidRDefault="00B44273" w:rsidP="00BC6043">
            <w:pPr>
              <w:jc w:val="center"/>
              <w:rPr>
                <w:rFonts w:ascii="Arial" w:eastAsia="MS Mincho" w:hAnsi="Arial" w:cs="Arial"/>
                <w:bCs/>
                <w:color w:val="000000"/>
                <w:lang w:val="mn-MN" w:eastAsia="zh-CN"/>
              </w:rPr>
            </w:pPr>
            <w:r w:rsidRPr="00ED3791">
              <w:rPr>
                <w:rFonts w:ascii="Arial" w:hAnsi="Arial" w:cs="Arial"/>
                <w:bCs/>
                <w:lang w:val="mn-MN" w:eastAsia="zh-CN"/>
              </w:rPr>
              <w:t>ТЗ-6</w:t>
            </w:r>
            <w:r w:rsidRPr="00ED3791">
              <w:rPr>
                <w:rStyle w:val="FootnoteReference"/>
                <w:rFonts w:ascii="Arial" w:eastAsiaTheme="majorEastAsia" w:hAnsi="Arial" w:cs="Arial"/>
                <w:bCs/>
                <w:lang w:val="mn-MN" w:eastAsia="zh-CN"/>
              </w:rPr>
              <w:footnoteReference w:id="5"/>
            </w:r>
          </w:p>
        </w:tc>
        <w:tc>
          <w:tcPr>
            <w:tcW w:w="3197" w:type="dxa"/>
          </w:tcPr>
          <w:p w14:paraId="4133E46F" w14:textId="77777777" w:rsidR="00B44273" w:rsidRPr="00ED3791" w:rsidRDefault="00B44273" w:rsidP="00BC6043">
            <w:pPr>
              <w:pStyle w:val="ListParagraph"/>
              <w:numPr>
                <w:ilvl w:val="0"/>
                <w:numId w:val="10"/>
              </w:numPr>
              <w:tabs>
                <w:tab w:val="left" w:pos="315"/>
              </w:tabs>
              <w:ind w:hanging="689"/>
              <w:rPr>
                <w:rFonts w:ascii="Arial" w:eastAsia="MS Mincho" w:hAnsi="Arial" w:cs="Arial"/>
                <w:bCs/>
                <w:color w:val="000000"/>
                <w:lang w:val="mn-MN" w:eastAsia="zh-CN"/>
              </w:rPr>
            </w:pPr>
            <w:r w:rsidRPr="00ED3791">
              <w:rPr>
                <w:rFonts w:ascii="Arial" w:hAnsi="Arial" w:cs="Arial"/>
                <w:lang w:val="mn-MN" w:eastAsia="zh-CN"/>
              </w:rPr>
              <w:t>зэрэг дэвийн нэмэгдэл /дэс түшмэл</w:t>
            </w:r>
            <w:r w:rsidRPr="00ED3791">
              <w:rPr>
                <w:rFonts w:ascii="Arial" w:eastAsia="MS Mincho" w:hAnsi="Arial" w:cs="Arial"/>
                <w:bCs/>
                <w:color w:val="000000"/>
                <w:lang w:val="mn-MN" w:eastAsia="zh-CN"/>
              </w:rPr>
              <w:t>/– 18%</w:t>
            </w:r>
          </w:p>
          <w:p w14:paraId="7ECF44FF" w14:textId="77777777" w:rsidR="00B44273" w:rsidRPr="00ED3791" w:rsidRDefault="00B44273" w:rsidP="00BC6043">
            <w:pPr>
              <w:pStyle w:val="ListParagraph"/>
              <w:numPr>
                <w:ilvl w:val="0"/>
                <w:numId w:val="10"/>
              </w:numPr>
              <w:tabs>
                <w:tab w:val="left" w:pos="315"/>
              </w:tabs>
              <w:ind w:hanging="689"/>
              <w:rPr>
                <w:rFonts w:ascii="Arial" w:eastAsia="MS Mincho" w:hAnsi="Arial" w:cs="Arial"/>
                <w:bCs/>
                <w:color w:val="000000"/>
                <w:lang w:val="mn-MN" w:eastAsia="zh-CN"/>
              </w:rPr>
            </w:pPr>
            <w:r w:rsidRPr="00ED3791">
              <w:rPr>
                <w:rFonts w:ascii="Arial" w:eastAsia="MS Mincho" w:hAnsi="Arial" w:cs="Arial"/>
                <w:bCs/>
                <w:color w:val="000000"/>
                <w:lang w:val="mn-MN" w:eastAsia="zh-CN"/>
              </w:rPr>
              <w:t>ТАН– 3%</w:t>
            </w:r>
          </w:p>
          <w:p w14:paraId="7096E032" w14:textId="77777777" w:rsidR="00B44273" w:rsidRPr="00ED3791" w:rsidRDefault="00B44273" w:rsidP="00BC6043">
            <w:pPr>
              <w:pStyle w:val="ListParagraph"/>
              <w:tabs>
                <w:tab w:val="left" w:pos="600"/>
              </w:tabs>
              <w:jc w:val="right"/>
              <w:rPr>
                <w:rFonts w:ascii="Arial" w:eastAsia="MS Mincho" w:hAnsi="Arial" w:cs="Arial"/>
                <w:bCs/>
                <w:color w:val="000000"/>
                <w:lang w:val="mn-MN" w:eastAsia="zh-CN"/>
              </w:rPr>
            </w:pPr>
            <w:r w:rsidRPr="00ED3791">
              <w:rPr>
                <w:rFonts w:ascii="Arial" w:eastAsia="MS Mincho" w:hAnsi="Arial" w:cs="Arial"/>
                <w:i/>
                <w:color w:val="000000"/>
                <w:lang w:val="mn-MN" w:eastAsia="zh-CN"/>
              </w:rPr>
              <w:t xml:space="preserve">Нийт 21%  </w:t>
            </w:r>
          </w:p>
        </w:tc>
        <w:tc>
          <w:tcPr>
            <w:tcW w:w="2153" w:type="dxa"/>
          </w:tcPr>
          <w:p w14:paraId="6723DE37" w14:textId="77777777" w:rsidR="00B44273" w:rsidRPr="00ED3791" w:rsidRDefault="00B44273" w:rsidP="00BC6043">
            <w:pPr>
              <w:jc w:val="center"/>
              <w:rPr>
                <w:rFonts w:ascii="Arial" w:eastAsia="MS Mincho" w:hAnsi="Arial" w:cs="Arial"/>
                <w:bCs/>
                <w:color w:val="000000"/>
                <w:lang w:val="mn-MN" w:eastAsia="zh-CN"/>
              </w:rPr>
            </w:pPr>
          </w:p>
          <w:p w14:paraId="6610CE27" w14:textId="77777777" w:rsidR="00B44273" w:rsidRPr="00ED3791" w:rsidRDefault="00B44273" w:rsidP="00BC6043">
            <w:pPr>
              <w:jc w:val="center"/>
              <w:rPr>
                <w:rFonts w:ascii="Arial" w:eastAsia="MS Mincho" w:hAnsi="Arial" w:cs="Arial"/>
                <w:bCs/>
                <w:color w:val="000000"/>
                <w:lang w:val="mn-MN" w:eastAsia="zh-CN"/>
              </w:rPr>
            </w:pPr>
          </w:p>
          <w:p w14:paraId="2DC196C5" w14:textId="77777777" w:rsidR="00B44273" w:rsidRPr="00ED3791" w:rsidRDefault="00B44273" w:rsidP="00BC6043">
            <w:pPr>
              <w:jc w:val="center"/>
              <w:rPr>
                <w:rFonts w:ascii="Arial" w:hAnsi="Arial" w:cs="Arial"/>
                <w:lang w:val="mn-MN" w:eastAsia="zh-CN"/>
              </w:rPr>
            </w:pPr>
            <w:r w:rsidRPr="00ED3791">
              <w:rPr>
                <w:rFonts w:ascii="Arial" w:eastAsia="MS Mincho" w:hAnsi="Arial" w:cs="Arial"/>
                <w:bCs/>
                <w:color w:val="000000"/>
                <w:lang w:val="mn-MN" w:eastAsia="zh-CN"/>
              </w:rPr>
              <w:t>11.5 %</w:t>
            </w:r>
          </w:p>
        </w:tc>
        <w:tc>
          <w:tcPr>
            <w:tcW w:w="2471" w:type="dxa"/>
          </w:tcPr>
          <w:p w14:paraId="76C1CCEB" w14:textId="77777777" w:rsidR="00B44273" w:rsidRPr="00ED3791" w:rsidRDefault="00B44273" w:rsidP="00BC6043">
            <w:pPr>
              <w:pStyle w:val="ListParagraph"/>
              <w:tabs>
                <w:tab w:val="left" w:pos="600"/>
              </w:tabs>
              <w:rPr>
                <w:rFonts w:ascii="Arial" w:eastAsia="MS Mincho" w:hAnsi="Arial" w:cs="Arial"/>
                <w:bCs/>
                <w:color w:val="000000"/>
                <w:lang w:val="mn-MN" w:eastAsia="zh-CN"/>
              </w:rPr>
            </w:pPr>
          </w:p>
          <w:p w14:paraId="03DF4CE9" w14:textId="77777777" w:rsidR="00B44273" w:rsidRPr="00ED3791" w:rsidRDefault="00B44273" w:rsidP="00BC6043">
            <w:pPr>
              <w:pStyle w:val="ListParagraph"/>
              <w:tabs>
                <w:tab w:val="left" w:pos="600"/>
              </w:tabs>
              <w:rPr>
                <w:rFonts w:ascii="Arial" w:eastAsia="MS Mincho" w:hAnsi="Arial" w:cs="Arial"/>
                <w:bCs/>
                <w:color w:val="000000"/>
                <w:lang w:val="mn-MN" w:eastAsia="zh-CN"/>
              </w:rPr>
            </w:pPr>
          </w:p>
          <w:p w14:paraId="28962BBC" w14:textId="77777777" w:rsidR="00B44273" w:rsidRPr="00ED3791" w:rsidRDefault="00B44273" w:rsidP="00BC6043">
            <w:pPr>
              <w:pStyle w:val="ListParagraph"/>
              <w:tabs>
                <w:tab w:val="left" w:pos="600"/>
              </w:tabs>
              <w:rPr>
                <w:rFonts w:ascii="Arial" w:eastAsia="MS Mincho" w:hAnsi="Arial" w:cs="Arial"/>
                <w:bCs/>
                <w:color w:val="000000"/>
                <w:lang w:val="mn-MN" w:eastAsia="zh-CN"/>
              </w:rPr>
            </w:pPr>
            <w:r w:rsidRPr="00ED3791">
              <w:rPr>
                <w:rFonts w:ascii="Arial" w:eastAsia="MS Mincho" w:hAnsi="Arial" w:cs="Arial"/>
                <w:bCs/>
                <w:color w:val="000000"/>
                <w:lang w:val="mn-MN" w:eastAsia="zh-CN"/>
              </w:rPr>
              <w:t>10%</w:t>
            </w:r>
          </w:p>
          <w:p w14:paraId="2418A1C4" w14:textId="77777777" w:rsidR="00B44273" w:rsidRPr="00ED3791" w:rsidRDefault="00B44273" w:rsidP="00BC6043">
            <w:pPr>
              <w:jc w:val="center"/>
              <w:rPr>
                <w:rFonts w:ascii="Arial" w:hAnsi="Arial" w:cs="Arial"/>
                <w:lang w:val="mn-MN" w:eastAsia="zh-CN"/>
              </w:rPr>
            </w:pPr>
          </w:p>
        </w:tc>
      </w:tr>
      <w:tr w:rsidR="00B44273" w:rsidRPr="00ED3791" w14:paraId="206DF8B6" w14:textId="77777777" w:rsidTr="00BC6043">
        <w:trPr>
          <w:trHeight w:val="726"/>
        </w:trPr>
        <w:tc>
          <w:tcPr>
            <w:tcW w:w="1672" w:type="dxa"/>
          </w:tcPr>
          <w:p w14:paraId="60D56F46" w14:textId="77777777" w:rsidR="00B44273" w:rsidRPr="00ED3791" w:rsidRDefault="00B44273" w:rsidP="00BC6043">
            <w:pPr>
              <w:jc w:val="center"/>
              <w:rPr>
                <w:rFonts w:ascii="Arial" w:eastAsia="MS Mincho" w:hAnsi="Arial" w:cs="Arial"/>
                <w:color w:val="000000"/>
                <w:lang w:val="mn-MN" w:eastAsia="zh-CN"/>
              </w:rPr>
            </w:pPr>
          </w:p>
          <w:p w14:paraId="771AB428" w14:textId="77777777" w:rsidR="00B44273" w:rsidRPr="00ED3791" w:rsidRDefault="00B44273" w:rsidP="00BC6043">
            <w:pPr>
              <w:jc w:val="center"/>
              <w:rPr>
                <w:rFonts w:ascii="Arial" w:eastAsia="MS Mincho" w:hAnsi="Arial" w:cs="Arial"/>
                <w:color w:val="000000"/>
                <w:lang w:val="mn-MN" w:eastAsia="zh-CN"/>
              </w:rPr>
            </w:pPr>
            <w:r w:rsidRPr="00ED3791">
              <w:rPr>
                <w:rFonts w:ascii="Arial" w:hAnsi="Arial" w:cs="Arial"/>
                <w:lang w:val="mn-MN" w:eastAsia="zh-CN"/>
              </w:rPr>
              <w:t>1,693,000</w:t>
            </w:r>
            <w:r w:rsidRPr="00ED3791">
              <w:rPr>
                <w:rFonts w:ascii="Arial" w:hAnsi="Arial" w:cs="Arial"/>
                <w:b/>
                <w:bCs/>
                <w:lang w:val="mn-MN" w:eastAsia="zh-CN"/>
              </w:rPr>
              <w:t xml:space="preserve"> </w:t>
            </w:r>
            <w:r w:rsidRPr="00ED3791">
              <w:rPr>
                <w:rFonts w:ascii="Arial" w:eastAsia="MS Mincho" w:hAnsi="Arial" w:cs="Arial"/>
                <w:color w:val="000000"/>
                <w:lang w:val="mn-MN" w:eastAsia="zh-CN"/>
              </w:rPr>
              <w:t>төг</w:t>
            </w:r>
          </w:p>
          <w:p w14:paraId="567E59AB" w14:textId="77777777" w:rsidR="00B44273" w:rsidRPr="00ED3791" w:rsidRDefault="00B44273" w:rsidP="00BC6043">
            <w:pPr>
              <w:jc w:val="center"/>
              <w:rPr>
                <w:rFonts w:ascii="Arial" w:eastAsia="MS Mincho" w:hAnsi="Arial" w:cs="Arial"/>
                <w:color w:val="000000"/>
                <w:lang w:val="mn-MN" w:eastAsia="zh-CN"/>
              </w:rPr>
            </w:pPr>
          </w:p>
        </w:tc>
        <w:tc>
          <w:tcPr>
            <w:tcW w:w="3197" w:type="dxa"/>
          </w:tcPr>
          <w:p w14:paraId="4842C7C4" w14:textId="77777777" w:rsidR="00B44273" w:rsidRPr="00ED3791" w:rsidRDefault="00B44273" w:rsidP="00BC6043">
            <w:pPr>
              <w:tabs>
                <w:tab w:val="left" w:pos="600"/>
              </w:tabs>
              <w:ind w:left="317"/>
              <w:contextualSpacing/>
              <w:jc w:val="center"/>
              <w:rPr>
                <w:rFonts w:ascii="Arial" w:eastAsia="MS Mincho" w:hAnsi="Arial" w:cs="Arial"/>
                <w:color w:val="000000"/>
                <w:lang w:val="mn-MN" w:eastAsia="zh-CN"/>
              </w:rPr>
            </w:pPr>
          </w:p>
          <w:p w14:paraId="44F69174" w14:textId="77777777" w:rsidR="00B44273" w:rsidRPr="00ED3791" w:rsidRDefault="00B44273" w:rsidP="00BC6043">
            <w:pPr>
              <w:jc w:val="center"/>
              <w:rPr>
                <w:rFonts w:ascii="Arial" w:eastAsia="MS Mincho" w:hAnsi="Arial" w:cs="Arial"/>
                <w:color w:val="000000"/>
                <w:lang w:val="mn-MN" w:eastAsia="zh-CN"/>
              </w:rPr>
            </w:pPr>
            <w:r w:rsidRPr="00ED3791">
              <w:rPr>
                <w:rFonts w:ascii="Arial" w:eastAsia="MS Mincho" w:hAnsi="Arial" w:cs="Arial"/>
                <w:color w:val="000000"/>
                <w:lang w:val="mn-MN" w:eastAsia="zh-CN"/>
              </w:rPr>
              <w:t>355,530 төг</w:t>
            </w:r>
          </w:p>
          <w:p w14:paraId="4236F485" w14:textId="77777777" w:rsidR="00B44273" w:rsidRPr="00ED3791" w:rsidRDefault="00B44273" w:rsidP="00BC6043">
            <w:pPr>
              <w:jc w:val="center"/>
              <w:rPr>
                <w:rFonts w:ascii="Arial" w:eastAsia="MS Mincho" w:hAnsi="Arial" w:cs="Arial"/>
                <w:color w:val="000000"/>
                <w:lang w:val="mn-MN" w:eastAsia="zh-CN"/>
              </w:rPr>
            </w:pPr>
          </w:p>
        </w:tc>
        <w:tc>
          <w:tcPr>
            <w:tcW w:w="2153" w:type="dxa"/>
          </w:tcPr>
          <w:p w14:paraId="514F62F0" w14:textId="77777777" w:rsidR="00B44273" w:rsidRPr="00ED3791" w:rsidRDefault="00B44273" w:rsidP="00BC6043">
            <w:pPr>
              <w:tabs>
                <w:tab w:val="left" w:pos="600"/>
              </w:tabs>
              <w:ind w:left="317"/>
              <w:contextualSpacing/>
              <w:jc w:val="center"/>
              <w:rPr>
                <w:rFonts w:ascii="Arial" w:eastAsia="MS Mincho" w:hAnsi="Arial" w:cs="Arial"/>
                <w:color w:val="000000"/>
                <w:lang w:val="mn-MN" w:eastAsia="zh-CN"/>
              </w:rPr>
            </w:pPr>
          </w:p>
          <w:p w14:paraId="6D937C1C" w14:textId="77777777" w:rsidR="00B44273" w:rsidRPr="00ED3791" w:rsidRDefault="00B44273" w:rsidP="00BC6043">
            <w:pPr>
              <w:tabs>
                <w:tab w:val="left" w:pos="600"/>
              </w:tabs>
              <w:contextualSpacing/>
              <w:jc w:val="center"/>
              <w:rPr>
                <w:rFonts w:ascii="Arial" w:eastAsia="MS Mincho" w:hAnsi="Arial" w:cs="Arial"/>
                <w:color w:val="000000"/>
                <w:lang w:val="mn-MN" w:eastAsia="zh-CN"/>
              </w:rPr>
            </w:pPr>
            <w:r w:rsidRPr="00ED3791">
              <w:rPr>
                <w:rFonts w:ascii="Arial" w:hAnsi="Arial" w:cs="Arial"/>
                <w:lang w:val="mn-MN" w:eastAsia="zh-CN"/>
              </w:rPr>
              <w:t xml:space="preserve">235,580 </w:t>
            </w:r>
            <w:r w:rsidRPr="00ED3791">
              <w:rPr>
                <w:rFonts w:ascii="Arial" w:eastAsia="MS Mincho" w:hAnsi="Arial" w:cs="Arial"/>
                <w:color w:val="000000"/>
                <w:lang w:val="mn-MN" w:eastAsia="zh-CN"/>
              </w:rPr>
              <w:t>төг</w:t>
            </w:r>
          </w:p>
        </w:tc>
        <w:tc>
          <w:tcPr>
            <w:tcW w:w="2471" w:type="dxa"/>
          </w:tcPr>
          <w:p w14:paraId="4E0D1FBA" w14:textId="77777777" w:rsidR="00B44273" w:rsidRPr="00ED3791" w:rsidRDefault="00B44273" w:rsidP="00BC6043">
            <w:pPr>
              <w:jc w:val="center"/>
              <w:rPr>
                <w:rFonts w:ascii="Arial" w:eastAsia="MS Mincho" w:hAnsi="Arial" w:cs="Arial"/>
                <w:color w:val="000000"/>
                <w:lang w:val="mn-MN" w:eastAsia="zh-CN"/>
              </w:rPr>
            </w:pPr>
          </w:p>
          <w:p w14:paraId="68870F97" w14:textId="77777777" w:rsidR="00B44273" w:rsidRPr="00ED3791" w:rsidRDefault="00B44273" w:rsidP="00BC6043">
            <w:pPr>
              <w:tabs>
                <w:tab w:val="left" w:pos="600"/>
              </w:tabs>
              <w:ind w:left="317"/>
              <w:contextualSpacing/>
              <w:rPr>
                <w:rFonts w:ascii="Arial" w:eastAsia="MS Mincho" w:hAnsi="Arial" w:cs="Arial"/>
                <w:color w:val="000000"/>
                <w:lang w:val="mn-MN" w:eastAsia="zh-CN"/>
              </w:rPr>
            </w:pPr>
            <w:r w:rsidRPr="00ED3791">
              <w:rPr>
                <w:rFonts w:ascii="Arial" w:hAnsi="Arial" w:cs="Arial"/>
                <w:lang w:val="mn-MN" w:eastAsia="zh-CN"/>
              </w:rPr>
              <w:t>181,294</w:t>
            </w:r>
            <w:r w:rsidRPr="00ED3791">
              <w:rPr>
                <w:rFonts w:ascii="Arial" w:eastAsia="MS Mincho" w:hAnsi="Arial" w:cs="Arial"/>
                <w:color w:val="000000"/>
                <w:lang w:val="mn-MN" w:eastAsia="zh-CN"/>
              </w:rPr>
              <w:t xml:space="preserve"> төг</w:t>
            </w:r>
          </w:p>
        </w:tc>
      </w:tr>
    </w:tbl>
    <w:p w14:paraId="35EB2453" w14:textId="77777777" w:rsidR="00B44273" w:rsidRPr="00ED3791" w:rsidRDefault="00B44273" w:rsidP="00B44273">
      <w:pPr>
        <w:ind w:left="5040"/>
        <w:jc w:val="right"/>
        <w:rPr>
          <w:rFonts w:ascii="Arial" w:eastAsia="MS Mincho" w:hAnsi="Arial" w:cs="Arial"/>
          <w:bCs/>
          <w:i/>
          <w:color w:val="000000"/>
          <w:lang w:val="mn-MN" w:eastAsia="zh-CN"/>
        </w:rPr>
      </w:pPr>
      <w:r w:rsidRPr="00ED3791">
        <w:rPr>
          <w:rFonts w:ascii="Arial" w:eastAsia="MS Mincho" w:hAnsi="Arial" w:cs="Arial"/>
          <w:bCs/>
          <w:i/>
          <w:color w:val="000000"/>
          <w:lang w:val="mn-MN" w:eastAsia="zh-CN"/>
        </w:rPr>
        <w:lastRenderedPageBreak/>
        <w:t>Гарт олгох : 1,631,656 төг</w:t>
      </w:r>
    </w:p>
    <w:p w14:paraId="18DD6590" w14:textId="77777777" w:rsidR="00B44273" w:rsidRPr="00ED3791" w:rsidRDefault="00B44273" w:rsidP="00B44273">
      <w:pPr>
        <w:spacing w:before="240"/>
        <w:ind w:firstLine="567"/>
        <w:jc w:val="both"/>
        <w:rPr>
          <w:rFonts w:ascii="Arial" w:hAnsi="Arial" w:cs="Arial"/>
          <w:lang w:val="mn-MN" w:eastAsia="zh-CN"/>
        </w:rPr>
      </w:pPr>
      <w:r w:rsidRPr="00ED3791">
        <w:rPr>
          <w:rFonts w:ascii="Arial" w:hAnsi="Arial" w:cs="Arial"/>
          <w:lang w:val="mn-MN" w:eastAsia="zh-CN"/>
        </w:rPr>
        <w:t>Дээрх тооцооллоос үзэхэд шийдвэр гүйцэтгэх албыг төрийн тусгай албаны ангиллаас гаргаж, төрийн захиргааны албан хаагчийн ангилалд хамруулснаар шийдвэр гүйцэтгэгчийн цалин хөлс 30 орчим хувиар буурахаар байна.</w:t>
      </w:r>
    </w:p>
    <w:p w14:paraId="008DFDE3" w14:textId="77777777" w:rsidR="00B44273" w:rsidRPr="00ED3791" w:rsidRDefault="00B44273" w:rsidP="00B44273">
      <w:pPr>
        <w:spacing w:before="240"/>
        <w:ind w:firstLine="567"/>
        <w:jc w:val="both"/>
        <w:rPr>
          <w:rFonts w:ascii="Arial" w:hAnsi="Arial" w:cs="Arial"/>
          <w:lang w:val="mn-MN" w:eastAsia="zh-CN"/>
        </w:rPr>
      </w:pPr>
    </w:p>
    <w:tbl>
      <w:tblPr>
        <w:tblStyle w:val="TableGrid"/>
        <w:tblW w:w="9493" w:type="dxa"/>
        <w:tblLook w:val="04A0" w:firstRow="1" w:lastRow="0" w:firstColumn="1" w:lastColumn="0" w:noHBand="0" w:noVBand="1"/>
      </w:tblPr>
      <w:tblGrid>
        <w:gridCol w:w="9493"/>
      </w:tblGrid>
      <w:tr w:rsidR="00B44273" w:rsidRPr="0039500B" w14:paraId="6606B2FD" w14:textId="77777777" w:rsidTr="00BC6043">
        <w:trPr>
          <w:trHeight w:val="3033"/>
        </w:trPr>
        <w:tc>
          <w:tcPr>
            <w:tcW w:w="9493" w:type="dxa"/>
          </w:tcPr>
          <w:p w14:paraId="6251A642" w14:textId="77777777" w:rsidR="00B44273" w:rsidRPr="00ED3791" w:rsidRDefault="00B44273" w:rsidP="00BC6043">
            <w:pPr>
              <w:spacing w:before="240"/>
              <w:jc w:val="both"/>
              <w:rPr>
                <w:rFonts w:ascii="Arial" w:hAnsi="Arial" w:cs="Arial"/>
                <w:b/>
                <w:bCs/>
                <w:i/>
                <w:iCs/>
                <w:lang w:val="mn-MN" w:eastAsia="zh-CN"/>
              </w:rPr>
            </w:pPr>
            <w:r w:rsidRPr="00ED3791">
              <w:rPr>
                <w:rFonts w:ascii="Arial" w:hAnsi="Arial" w:cs="Arial"/>
                <w:b/>
                <w:bCs/>
                <w:i/>
                <w:iCs/>
                <w:lang w:val="mn-MN" w:eastAsia="zh-CN"/>
              </w:rPr>
              <w:t xml:space="preserve">Шигтгээ </w:t>
            </w:r>
          </w:p>
          <w:p w14:paraId="7164260A" w14:textId="77777777" w:rsidR="00B44273" w:rsidRPr="00ED3791" w:rsidRDefault="00B44273" w:rsidP="00BC6043">
            <w:pPr>
              <w:spacing w:before="240"/>
              <w:ind w:firstLine="567"/>
              <w:jc w:val="both"/>
              <w:rPr>
                <w:rFonts w:ascii="Arial" w:hAnsi="Arial" w:cs="Arial"/>
                <w:i/>
                <w:iCs/>
                <w:lang w:val="mn-MN" w:eastAsia="zh-CN"/>
              </w:rPr>
            </w:pPr>
            <w:r w:rsidRPr="00ED3791">
              <w:rPr>
                <w:rFonts w:ascii="Arial" w:hAnsi="Arial" w:cs="Arial"/>
                <w:i/>
                <w:iCs/>
                <w:lang w:val="mn-MN" w:eastAsia="zh-CN"/>
              </w:rPr>
              <w:t xml:space="preserve">Түүнчлэн шийдвэр гүйцэтгэх албыг төрийн тусгай албаны ангиллаас гаргах тохиолдолд алба хаагчдын тэтгэвэр, тэтгэвэр тэтгэмжийн асуудал хөндөгдөх бөгөөд Шүүхийн шийдвэр гүйцэтгэх байгууллагаас авсан мэдээллээс үзэхэд ирэх 5 жилийн хугацаанд 48 албан хаагчийн тэтгэврийн эрх үүсэхээр байна. </w:t>
            </w:r>
          </w:p>
          <w:p w14:paraId="2A1440CD" w14:textId="77777777" w:rsidR="00B44273" w:rsidRPr="00ED3791" w:rsidRDefault="00B44273" w:rsidP="00BC6043">
            <w:pPr>
              <w:spacing w:before="240"/>
              <w:ind w:firstLine="567"/>
              <w:jc w:val="both"/>
              <w:rPr>
                <w:rFonts w:ascii="Arial" w:hAnsi="Arial" w:cs="Arial"/>
                <w:lang w:val="mn-MN" w:eastAsia="zh-CN"/>
              </w:rPr>
            </w:pPr>
            <w:r w:rsidRPr="00ED3791">
              <w:rPr>
                <w:rFonts w:ascii="Arial" w:hAnsi="Arial" w:cs="Arial"/>
                <w:i/>
                <w:iCs/>
                <w:lang w:val="mn-MN" w:eastAsia="zh-CN"/>
              </w:rPr>
              <w:t>Иймд цаашид шийдвэр гүйцэтгэх албыг төрийн тусгай албаны ангиллаас гаргах эсэх, ангилал зэрэглэлийг хэрхэн тогтоох зэргийг харгалзан эдгээр алба хаагчдын эрх зүйн байдлын талаар Хууль тогтоомжий тухай хуульд заасан холбогдох бусад судалгааг гүйцэтгэх замаар судлах нь зүйтэй.</w:t>
            </w:r>
          </w:p>
        </w:tc>
      </w:tr>
    </w:tbl>
    <w:p w14:paraId="2A0D8ECB" w14:textId="77777777" w:rsidR="00B44273" w:rsidRPr="00ED3791" w:rsidRDefault="00B44273" w:rsidP="00B44273">
      <w:pPr>
        <w:spacing w:before="240"/>
        <w:ind w:firstLine="567"/>
        <w:jc w:val="both"/>
        <w:rPr>
          <w:rFonts w:ascii="Arial" w:hAnsi="Arial" w:cs="Arial"/>
          <w:b/>
          <w:bCs/>
          <w:lang w:val="mn-MN" w:eastAsia="zh-CN"/>
        </w:rPr>
      </w:pPr>
      <w:r w:rsidRPr="00ED3791">
        <w:rPr>
          <w:rFonts w:ascii="Arial" w:hAnsi="Arial" w:cs="Arial"/>
          <w:b/>
          <w:bCs/>
          <w:lang w:val="mn-MN" w:eastAsia="zh-CN"/>
        </w:rPr>
        <w:t>Урамшуулал</w:t>
      </w:r>
    </w:p>
    <w:p w14:paraId="652BD763" w14:textId="77777777" w:rsidR="00B44273" w:rsidRPr="00ED3791" w:rsidRDefault="00B44273" w:rsidP="00B44273">
      <w:pPr>
        <w:spacing w:before="240"/>
        <w:ind w:firstLine="567"/>
        <w:jc w:val="both"/>
        <w:rPr>
          <w:rFonts w:ascii="Arial" w:hAnsi="Arial" w:cs="Arial"/>
          <w:color w:val="000000" w:themeColor="text1"/>
          <w:lang w:val="mn-MN" w:eastAsia="zh-CN"/>
        </w:rPr>
      </w:pPr>
      <w:r w:rsidRPr="00ED3791">
        <w:rPr>
          <w:rFonts w:ascii="Arial" w:hAnsi="Arial" w:cs="Arial"/>
          <w:lang w:val="mn-MN" w:eastAsia="zh-CN"/>
        </w:rPr>
        <w:t>1996 оны Шүүхийн шийдвэр биелүүлэх тухай хууль 2002 он хүртэл дагаж мөрдөж байсан ба энэ үед шийдвэр гүйцэтгэгч урамшуулал авдаггүй байсан байна.</w:t>
      </w:r>
      <w:r w:rsidRPr="00ED3791">
        <w:rPr>
          <w:rStyle w:val="FootnoteReference"/>
          <w:rFonts w:ascii="Arial" w:eastAsiaTheme="majorEastAsia" w:hAnsi="Arial" w:cs="Arial"/>
          <w:lang w:val="mn-MN" w:eastAsia="zh-CN"/>
        </w:rPr>
        <w:footnoteReference w:id="6"/>
      </w:r>
      <w:r w:rsidRPr="00ED3791">
        <w:rPr>
          <w:rFonts w:ascii="Arial" w:hAnsi="Arial" w:cs="Arial"/>
          <w:lang w:val="mn-MN" w:eastAsia="zh-CN"/>
        </w:rPr>
        <w:t xml:space="preserve"> Харин </w:t>
      </w:r>
      <w:r w:rsidRPr="00ED3791">
        <w:rPr>
          <w:rFonts w:ascii="Arial" w:hAnsi="Arial" w:cs="Arial"/>
          <w:i/>
          <w:iCs/>
          <w:lang w:val="mn-MN" w:eastAsia="zh-CN"/>
        </w:rPr>
        <w:t>2002 оны Шүүхийн шийдвэр гүйцэтгэх тухай хуулиар шийдвэр гүйцэтгэгч цалингаас гадна урамшуулал авдаг байсан байжээ.</w:t>
      </w:r>
      <w:r w:rsidRPr="00ED3791">
        <w:rPr>
          <w:rStyle w:val="FootnoteReference"/>
          <w:rFonts w:ascii="Arial" w:eastAsiaTheme="majorEastAsia" w:hAnsi="Arial" w:cs="Arial"/>
          <w:i/>
          <w:iCs/>
          <w:lang w:val="mn-MN" w:eastAsia="zh-CN"/>
        </w:rPr>
        <w:footnoteReference w:id="7"/>
      </w:r>
      <w:r w:rsidRPr="00ED3791">
        <w:rPr>
          <w:rFonts w:ascii="Arial" w:hAnsi="Arial" w:cs="Arial"/>
          <w:i/>
          <w:iCs/>
          <w:lang w:val="mn-MN" w:eastAsia="zh-CN"/>
        </w:rPr>
        <w:t xml:space="preserve"> Энэхүү зохицуулалт 2017 оны буюу одоогийн Шүүхийн шийдвэр гүйцэтгэх тухай хууль батлагдах хүртэл хэрэгжсэн</w:t>
      </w:r>
      <w:r w:rsidRPr="00ED3791">
        <w:rPr>
          <w:rFonts w:ascii="Arial" w:hAnsi="Arial" w:cs="Arial"/>
          <w:lang w:val="mn-MN" w:eastAsia="zh-CN"/>
        </w:rPr>
        <w:t xml:space="preserve">. </w:t>
      </w:r>
    </w:p>
    <w:p w14:paraId="5DF2E268" w14:textId="77777777" w:rsidR="00B44273" w:rsidRPr="00ED3791" w:rsidRDefault="00B44273" w:rsidP="00B44273">
      <w:pPr>
        <w:spacing w:before="240"/>
        <w:ind w:firstLine="567"/>
        <w:jc w:val="both"/>
        <w:rPr>
          <w:rFonts w:ascii="Arial" w:hAnsi="Arial" w:cs="Arial"/>
          <w:lang w:val="mn-MN" w:eastAsia="zh-CN"/>
        </w:rPr>
      </w:pPr>
      <w:r w:rsidRPr="00ED3791">
        <w:rPr>
          <w:rFonts w:ascii="Arial" w:hAnsi="Arial" w:cs="Arial"/>
          <w:lang w:val="mn-MN" w:eastAsia="zh-CN"/>
        </w:rPr>
        <w:t xml:space="preserve">2002 оны Шүүхийн шийдвэр гүйцэтгэх тухай  хуулийн 83.1 дэх хэсэгт </w:t>
      </w:r>
      <w:r w:rsidRPr="00ED3791">
        <w:rPr>
          <w:rFonts w:ascii="Arial" w:hAnsi="Arial" w:cs="Arial"/>
          <w:szCs w:val="30"/>
          <w:lang w:val="mn-MN" w:eastAsia="zh-CN"/>
        </w:rPr>
        <w:t>“</w:t>
      </w:r>
      <w:r w:rsidRPr="00ED3791">
        <w:rPr>
          <w:rFonts w:ascii="Arial" w:hAnsi="Arial" w:cs="Arial"/>
          <w:lang w:val="mn-MN" w:eastAsia="zh-CN"/>
        </w:rPr>
        <w:t>Шүүхийн шийдвэрийг бодитойгоор гүйцэтгэсэн шийдвэр гүйцэтгэгчийг төлбөрийн шаардлагыг хангахаар гаргуулсан мөнгөний болон эд хөрөнгийн үнийн дүнгийн 0,5-10 хүртэлх хувиар урамшуулна.</w:t>
      </w:r>
      <w:r w:rsidRPr="00ED3791">
        <w:rPr>
          <w:rFonts w:ascii="Arial" w:hAnsi="Arial" w:cs="Arial"/>
          <w:szCs w:val="30"/>
          <w:lang w:val="mn-MN" w:eastAsia="zh-CN"/>
        </w:rPr>
        <w:t xml:space="preserve">” гэж,  мөн зүйлийн </w:t>
      </w:r>
      <w:r w:rsidRPr="00ED3791">
        <w:rPr>
          <w:rFonts w:ascii="Arial" w:hAnsi="Arial" w:cs="Arial"/>
          <w:lang w:val="mn-MN" w:eastAsia="zh-CN"/>
        </w:rPr>
        <w:t xml:space="preserve">83.2 дахь хэсэгт </w:t>
      </w:r>
      <w:r w:rsidRPr="00ED3791">
        <w:rPr>
          <w:rFonts w:ascii="Arial" w:hAnsi="Arial" w:cs="Arial"/>
          <w:szCs w:val="30"/>
          <w:lang w:val="mn-MN" w:eastAsia="zh-CN"/>
        </w:rPr>
        <w:t>“</w:t>
      </w:r>
      <w:r w:rsidRPr="00ED3791">
        <w:rPr>
          <w:rFonts w:ascii="Arial" w:hAnsi="Arial" w:cs="Arial"/>
          <w:lang w:val="mn-MN" w:eastAsia="zh-CN"/>
        </w:rPr>
        <w:t xml:space="preserve">Энэ хуулийн 83.1-д заасан урамшууллыг шийдвэр гүйцэтгэх ажиллагаа хэсэгчилэн биелсэн болон дуусгавар болсны дараа гэрээний үндсэн дээр төлбөр авагчаас төлбөрт гаргуулсан мөнгөн болон эд хөрөнгийн үнийн дүнгээс гаргуулна.” гэж,  </w:t>
      </w:r>
      <w:r w:rsidRPr="00ED3791">
        <w:rPr>
          <w:rFonts w:ascii="Arial" w:hAnsi="Arial" w:cs="Arial"/>
          <w:szCs w:val="30"/>
          <w:lang w:val="mn-MN" w:eastAsia="zh-CN"/>
        </w:rPr>
        <w:t xml:space="preserve">хуулийн </w:t>
      </w:r>
      <w:r w:rsidRPr="00ED3791">
        <w:rPr>
          <w:rFonts w:ascii="Arial" w:hAnsi="Arial" w:cs="Arial"/>
          <w:lang w:val="mn-MN" w:eastAsia="zh-CN"/>
        </w:rPr>
        <w:t xml:space="preserve">83.3 дахь хэсэгт зааснаар олгох журмыг хууль зүйн асуудал эрхэлсэн Засгийн газрын гишүүн тогтоохоор заажээ. </w:t>
      </w:r>
    </w:p>
    <w:p w14:paraId="49E489C5" w14:textId="77777777" w:rsidR="00B44273" w:rsidRPr="00ED3791" w:rsidRDefault="00B44273" w:rsidP="00B44273">
      <w:pPr>
        <w:spacing w:before="240"/>
        <w:ind w:firstLine="567"/>
        <w:jc w:val="both"/>
        <w:rPr>
          <w:rFonts w:ascii="Arial" w:hAnsi="Arial" w:cs="Arial"/>
          <w:lang w:val="mn-MN" w:eastAsia="zh-CN"/>
        </w:rPr>
      </w:pPr>
      <w:r w:rsidRPr="00ED3791">
        <w:rPr>
          <w:rFonts w:ascii="Arial" w:hAnsi="Arial" w:cs="Arial"/>
          <w:lang w:val="mn-MN" w:eastAsia="zh-CN"/>
        </w:rPr>
        <w:t>ХЗДХС-ын 2002 оны 208 дугаар тушаалын 2 дугаар хавсралтаар батлагдсан Шийдвэр гүйцэтгэгчийн урамшууллыг суутгах, түүнийг хуваарилах журмын</w:t>
      </w:r>
      <w:r w:rsidRPr="00ED3791">
        <w:rPr>
          <w:rStyle w:val="FootnoteReference"/>
          <w:rFonts w:ascii="Arial" w:eastAsiaTheme="majorEastAsia" w:hAnsi="Arial" w:cs="Arial"/>
          <w:lang w:val="mn-MN" w:eastAsia="zh-CN"/>
        </w:rPr>
        <w:footnoteReference w:id="8"/>
      </w:r>
      <w:r w:rsidRPr="00ED3791">
        <w:rPr>
          <w:rFonts w:ascii="Arial" w:hAnsi="Arial" w:cs="Arial"/>
          <w:lang w:val="mn-MN" w:eastAsia="zh-CN"/>
        </w:rPr>
        <w:t xml:space="preserve"> 2.1-д зааснаар биелүүлсэн шүүхийн шийдвэрийн хувьд мөнгөн болон эд хөрөнгийн үнийн дүнгээс 5-10 хувийн урамшууллыг суутгаж, аймаг, нийслэлийн ШГА-ны дансанд төвлөрүүлнэ. 3-т зааснаар урамшууллыг шийдвэр гүйцэтгэгчид, болзошгүй эрсдлийн санд, шийдвэр гүйцэтгэгчийн үйл ажиллагааны бусад зардалд хуваарилдаг. Ингэхдээ шийдвэр гүйцэтгэгчид хуваарилах урамшууллын хэмжээ нь 1 сая хүртэлх төгрөгийн шийдвэрийн хувьд 5.5 хувь, 1-5 сая бол 4 хувь, 5-10 сая бол 3 хувь, 10-25 сая бол 2.5 хувь, 25-50 сая бол 2 хувь, 50-75 сая 1.5 хувь, 75-100 сая төгрөгийн 1 хувь, 100 саяас дээш бол 0.5 хувь байхаар заасан байна. </w:t>
      </w:r>
    </w:p>
    <w:p w14:paraId="5F862A2C" w14:textId="77777777" w:rsidR="00B44273" w:rsidRPr="00ED3791" w:rsidRDefault="00B44273" w:rsidP="00B44273">
      <w:pPr>
        <w:spacing w:before="240"/>
        <w:ind w:firstLine="567"/>
        <w:jc w:val="both"/>
        <w:rPr>
          <w:rFonts w:ascii="Arial" w:hAnsi="Arial" w:cs="Arial"/>
          <w:lang w:val="mn-MN" w:eastAsia="zh-CN"/>
        </w:rPr>
      </w:pPr>
      <w:r w:rsidRPr="00ED3791">
        <w:rPr>
          <w:rFonts w:ascii="Arial" w:hAnsi="Arial" w:cs="Arial"/>
          <w:lang w:val="mn-MN" w:eastAsia="zh-CN"/>
        </w:rPr>
        <w:lastRenderedPageBreak/>
        <w:t>1-5 сая төгрөгийн үнийн дүнтэй гүйцэтгэх хуудас биелүүлэхэд 200 мянган төгрөг, 75 сая төгрөгийн үнийн дүнтэй гүйцэтгэх хуудас биелүүлэхэд 1,875,000 төгрөгийн урамшууллыг шийдвэр гүйцэтгэгчид олгохоор байсан байна.</w:t>
      </w:r>
    </w:p>
    <w:p w14:paraId="390CD17F" w14:textId="77777777" w:rsidR="00B44273" w:rsidRPr="00ED3791" w:rsidRDefault="00B44273" w:rsidP="00B44273">
      <w:pPr>
        <w:jc w:val="both"/>
        <w:rPr>
          <w:rFonts w:ascii="Arial" w:hAnsi="Arial" w:cs="Arial"/>
          <w:lang w:val="mn-MN" w:eastAsia="zh-CN"/>
        </w:rPr>
      </w:pPr>
    </w:p>
    <w:p w14:paraId="3BCDC41D" w14:textId="77777777" w:rsidR="00B44273" w:rsidRPr="00ED3791" w:rsidRDefault="00B44273" w:rsidP="00B44273">
      <w:pPr>
        <w:jc w:val="both"/>
        <w:rPr>
          <w:rFonts w:ascii="Arial" w:hAnsi="Arial" w:cs="Arial"/>
          <w:lang w:val="mn-MN" w:eastAsia="zh-CN"/>
        </w:rPr>
      </w:pPr>
      <w:r w:rsidRPr="00ED3791">
        <w:rPr>
          <w:rFonts w:ascii="Arial" w:hAnsi="Arial" w:cs="Arial"/>
          <w:lang w:val="mn-MN" w:eastAsia="zh-CN"/>
        </w:rPr>
        <w:tab/>
        <w:t>Түүнчлэн дээрх Шийдвэр гүйцэтгэгчийн урамшууллыг суутгах, түүнийг хуваарилах журмыг ХЗДХС-ын 2010 оны 104 дүгээр тушаалын 2 дугаар хавсралтаар шинэчлэн тогтоосон байна.</w:t>
      </w:r>
      <w:r w:rsidRPr="00ED3791">
        <w:rPr>
          <w:rStyle w:val="FootnoteReference"/>
          <w:rFonts w:ascii="Arial" w:eastAsiaTheme="majorEastAsia" w:hAnsi="Arial" w:cs="Arial"/>
          <w:lang w:val="mn-MN" w:eastAsia="zh-CN"/>
        </w:rPr>
        <w:footnoteReference w:id="9"/>
      </w:r>
    </w:p>
    <w:p w14:paraId="5FE9513E" w14:textId="77777777" w:rsidR="00B44273" w:rsidRPr="00ED3791" w:rsidRDefault="00B44273" w:rsidP="00B44273">
      <w:pPr>
        <w:jc w:val="both"/>
        <w:rPr>
          <w:rFonts w:ascii="Arial" w:hAnsi="Arial" w:cs="Arial"/>
          <w:lang w:val="mn-MN" w:eastAsia="zh-CN"/>
        </w:rPr>
      </w:pPr>
    </w:p>
    <w:p w14:paraId="14DEA705" w14:textId="77777777" w:rsidR="00B44273" w:rsidRPr="00ED3791" w:rsidRDefault="00B44273" w:rsidP="00B44273">
      <w:pPr>
        <w:ind w:firstLine="720"/>
        <w:jc w:val="both"/>
        <w:rPr>
          <w:rFonts w:ascii="Arial" w:hAnsi="Arial" w:cs="Arial"/>
          <w:color w:val="000000" w:themeColor="text1"/>
          <w:lang w:val="mn-MN" w:eastAsia="zh-CN"/>
        </w:rPr>
      </w:pPr>
      <w:r w:rsidRPr="00ED3791">
        <w:rPr>
          <w:rFonts w:ascii="Arial" w:hAnsi="Arial" w:cs="Arial"/>
          <w:lang w:val="mn-MN" w:eastAsia="zh-CN"/>
        </w:rPr>
        <w:t xml:space="preserve"> Урамшуулалтай байсан 2002-2016 оны хоорондын шийдвэрийн биелэлтийг авч үзвэл </w:t>
      </w:r>
      <w:r w:rsidRPr="00ED3791">
        <w:rPr>
          <w:rFonts w:ascii="Arial" w:hAnsi="Arial" w:cs="Arial"/>
          <w:color w:val="000000"/>
          <w:lang w:val="mn-MN" w:eastAsia="zh-CN"/>
        </w:rPr>
        <w:t>4,7 тэрбум орчим мөнгөн дүн бүхий 413916</w:t>
      </w:r>
      <w:r w:rsidRPr="00ED3791">
        <w:rPr>
          <w:rFonts w:ascii="Arial" w:hAnsi="Arial" w:cs="Arial"/>
          <w:lang w:val="mn-MN" w:eastAsia="zh-CN"/>
        </w:rPr>
        <w:t xml:space="preserve"> гүйцэтгэх хуудаст хамаарах </w:t>
      </w:r>
      <w:r w:rsidRPr="00ED3791">
        <w:rPr>
          <w:rFonts w:ascii="Arial" w:hAnsi="Arial" w:cs="Arial"/>
          <w:color w:val="000000" w:themeColor="text1"/>
          <w:lang w:val="mn-MN" w:eastAsia="zh-CN"/>
        </w:rPr>
        <w:t xml:space="preserve">шийдвэр гүйцэтгэх ажиллагаанаас </w:t>
      </w:r>
      <w:r w:rsidRPr="00ED3791">
        <w:rPr>
          <w:rFonts w:ascii="Arial" w:hAnsi="Arial" w:cs="Arial"/>
          <w:color w:val="000000"/>
          <w:lang w:val="mn-MN" w:eastAsia="zh-CN"/>
        </w:rPr>
        <w:t>1,6 тэрбум</w:t>
      </w:r>
      <w:r w:rsidRPr="00ED3791">
        <w:rPr>
          <w:rFonts w:ascii="Arial" w:hAnsi="Arial" w:cs="Arial"/>
          <w:b/>
          <w:bCs/>
          <w:color w:val="000000"/>
          <w:lang w:val="mn-MN" w:eastAsia="zh-CN"/>
        </w:rPr>
        <w:t xml:space="preserve"> </w:t>
      </w:r>
      <w:r w:rsidRPr="00ED3791">
        <w:rPr>
          <w:rFonts w:ascii="Arial" w:hAnsi="Arial" w:cs="Arial"/>
          <w:color w:val="000000"/>
          <w:lang w:val="mn-MN" w:eastAsia="zh-CN"/>
        </w:rPr>
        <w:t xml:space="preserve">мөнгөн дүн бүхий </w:t>
      </w:r>
      <w:r w:rsidRPr="00ED3791">
        <w:rPr>
          <w:rFonts w:ascii="Arial" w:hAnsi="Arial" w:cs="Arial"/>
          <w:color w:val="000000" w:themeColor="text1"/>
          <w:lang w:val="mn-MN" w:eastAsia="zh-CN"/>
        </w:rPr>
        <w:t xml:space="preserve">гүйцэтгэх ажиллагаа биелэгдсэн байх бөгөөд энэ нь нийт гүйцэтэвэл зохих гүйцэтгэх хуудасны 53 хувь, мөнгөн дүнгийн 35 хувийг эзэлж байна. </w:t>
      </w:r>
    </w:p>
    <w:p w14:paraId="3CBA2915" w14:textId="77777777" w:rsidR="00B44273" w:rsidRPr="00ED3791" w:rsidRDefault="00B44273" w:rsidP="00B44273">
      <w:pPr>
        <w:ind w:firstLine="720"/>
        <w:jc w:val="both"/>
        <w:rPr>
          <w:rFonts w:ascii="Arial" w:hAnsi="Arial" w:cs="Arial"/>
          <w:color w:val="000000" w:themeColor="text1"/>
          <w:lang w:val="mn-MN" w:eastAsia="zh-CN"/>
        </w:rPr>
      </w:pPr>
    </w:p>
    <w:p w14:paraId="4CC6E24B" w14:textId="77777777" w:rsidR="00B44273" w:rsidRPr="00ED3791" w:rsidRDefault="00B44273" w:rsidP="00B44273">
      <w:pPr>
        <w:ind w:firstLine="720"/>
        <w:jc w:val="both"/>
        <w:rPr>
          <w:rFonts w:ascii="Arial" w:hAnsi="Arial" w:cs="Arial"/>
          <w:szCs w:val="28"/>
          <w:lang w:val="mn-MN" w:eastAsia="zh-CN"/>
        </w:rPr>
      </w:pPr>
      <w:r w:rsidRPr="00ED3791">
        <w:rPr>
          <w:rFonts w:ascii="Arial" w:hAnsi="Arial" w:cs="Arial"/>
          <w:szCs w:val="28"/>
          <w:lang w:val="mn-MN" w:eastAsia="zh-CN"/>
        </w:rPr>
        <w:t xml:space="preserve">Харин Урамшуулалгүй үеийн /2017-2024/ шийдвэр гүйцэтгэх ажиллагааны гүйцэтгэх баримт бичгийн бодит биелэлтийн үзүүлэлт дундажаар 52.5 хувь, мөнгөн дүн 26.3 хувьтай ажилласан байна. Өөрөөр хэлбэл, гүйцэтгэх баримт бичгийн үнийн дүнээс хамаарсан ялгамжтай урамшуулалгүй болсноор гүйцэтгэх баримт бичиг бага үнийн дүнтэй эсэхээс үл хамааран гүйцэтгэх баримт бичгийн биелэлт өндөр, мөнгөн дүнгийн биелэлт буурсан байна. </w:t>
      </w:r>
    </w:p>
    <w:p w14:paraId="04E44505" w14:textId="77777777" w:rsidR="00B44273" w:rsidRPr="00ED3791" w:rsidRDefault="00B44273" w:rsidP="00B44273">
      <w:pPr>
        <w:spacing w:before="240"/>
        <w:ind w:right="-23" w:firstLine="720"/>
        <w:jc w:val="both"/>
        <w:rPr>
          <w:rFonts w:ascii="Arial" w:hAnsi="Arial" w:cs="Arial"/>
          <w:szCs w:val="28"/>
          <w:lang w:val="mn-MN" w:eastAsia="zh-CN"/>
        </w:rPr>
      </w:pPr>
      <w:r w:rsidRPr="00ED3791">
        <w:rPr>
          <w:rFonts w:ascii="Arial" w:hAnsi="Arial" w:cs="Arial"/>
          <w:szCs w:val="28"/>
          <w:lang w:val="mn-MN" w:eastAsia="zh-CN"/>
        </w:rPr>
        <w:t xml:space="preserve">Өөр нэг ажиглагдаж буй чухал давтамж бол урамшуулалгүй үеийн 2017-2024 оны шийдвэрийн биелэлтийг үзэхэд, бүх онуудад гүйцэтгэх баримт бичгийн биелэлт мөнгөн дүнгийн биелэлтээс илүү байсан байна. </w:t>
      </w:r>
    </w:p>
    <w:p w14:paraId="44388843" w14:textId="77777777" w:rsidR="00B44273" w:rsidRPr="00ED3791" w:rsidRDefault="00B44273" w:rsidP="00B44273">
      <w:pPr>
        <w:rPr>
          <w:rFonts w:ascii="Arial" w:hAnsi="Arial" w:cs="Arial"/>
          <w:bCs/>
          <w:lang w:val="mn-MN"/>
        </w:rPr>
      </w:pPr>
    </w:p>
    <w:p w14:paraId="47D05C10" w14:textId="77777777" w:rsidR="00B44273" w:rsidRPr="00ED3791" w:rsidRDefault="00B44273" w:rsidP="00B44273">
      <w:pPr>
        <w:jc w:val="both"/>
        <w:rPr>
          <w:rFonts w:ascii="Arial" w:hAnsi="Arial" w:cs="Arial"/>
          <w:bCs/>
          <w:lang w:val="mn-MN"/>
        </w:rPr>
      </w:pPr>
      <w:r w:rsidRPr="00ED3791">
        <w:rPr>
          <w:rFonts w:ascii="Arial" w:hAnsi="Arial" w:cs="Arial"/>
          <w:bCs/>
          <w:lang w:val="mn-MN"/>
        </w:rPr>
        <w:tab/>
        <w:t>2015 онд буюу ШШГтХ 2017 батлагдахаас өмнө гүйцэтгэх хуудасны биелэлт 46.3 хувь, 2022 онд 54.6 хувь болж өссөн ч энд бага үнийн дүнтэй гүйцэтгэх баримт бичгийн өсөлтийн хувь 9.2 байсан, 5 саяас дээш гүйцэтгэх хуудаст явуулсан ажиллагааны биелэлт 3.3 хувиар өссөн. Шийдвэр гүйцэтгэгч урамшуулалтай байсан 2017 оноос өмнөх үед өндөр үнийн дүнтэй буюу урамшуулал ахиухан авах гүйцэтгэх баримт бичигт хийх ажиллагаа түлхүү явагдаж, бага үнийн дүнтэй гүйцэтгэх баримт бичгийн биелэлт сул, харин 2017 оноос хойш урамшуулалгүй тул бага үнийн дүнтэй хялбар гүйцэтгэж болох гүйцэтгэх баримт бичгийн биелэлт нь нэмэгджээ.</w:t>
      </w:r>
      <w:r w:rsidRPr="00ED3791">
        <w:rPr>
          <w:rStyle w:val="FootnoteReference"/>
          <w:rFonts w:ascii="Arial" w:eastAsiaTheme="majorEastAsia" w:hAnsi="Arial" w:cs="Arial"/>
          <w:bCs/>
          <w:lang w:val="mn-MN"/>
        </w:rPr>
        <w:footnoteReference w:id="10"/>
      </w:r>
    </w:p>
    <w:p w14:paraId="1F68B6F8" w14:textId="77777777" w:rsidR="00B44273" w:rsidRPr="00ED3791" w:rsidRDefault="00B44273" w:rsidP="00B44273">
      <w:pPr>
        <w:jc w:val="both"/>
        <w:rPr>
          <w:rFonts w:ascii="Arial" w:hAnsi="Arial" w:cs="Arial"/>
          <w:bCs/>
          <w:lang w:val="mn-MN"/>
        </w:rPr>
      </w:pPr>
    </w:p>
    <w:p w14:paraId="0F4003D1" w14:textId="77777777" w:rsidR="00B44273" w:rsidRPr="00ED3791" w:rsidRDefault="00B44273" w:rsidP="00B44273">
      <w:pPr>
        <w:jc w:val="both"/>
        <w:rPr>
          <w:rFonts w:ascii="Arial" w:hAnsi="Arial" w:cs="Arial"/>
          <w:bCs/>
          <w:lang w:val="mn-MN"/>
        </w:rPr>
      </w:pPr>
      <w:r w:rsidRPr="00ED3791">
        <w:rPr>
          <w:rFonts w:ascii="Arial" w:hAnsi="Arial" w:cs="Arial"/>
          <w:bCs/>
          <w:lang w:val="mn-MN"/>
        </w:rPr>
        <w:tab/>
        <w:t>Мөн урамшууллын хувь хэмжээг зохистой тогтоохгүй бол төлбөр төлөгч, төлбөр авагчийн хувьд санхүүгийн дарамт болох, улмаар шүүхийн шийдвэрийн биелэлтэд сөргөөр нөлөөлөх, гагцхүү том үнийн дүнтэй хэргүүд дээр ажиллагаа төвлөрөх зэрэг сөрөг үзэгдлүүд түгээмэл ажиглагддаг.</w:t>
      </w:r>
      <w:r w:rsidRPr="00ED3791">
        <w:rPr>
          <w:rStyle w:val="FootnoteReference"/>
          <w:rFonts w:ascii="Arial" w:eastAsiaTheme="majorEastAsia" w:hAnsi="Arial" w:cs="Arial"/>
          <w:bCs/>
          <w:lang w:val="mn-MN"/>
        </w:rPr>
        <w:footnoteReference w:id="11"/>
      </w:r>
    </w:p>
    <w:p w14:paraId="25DF137D" w14:textId="77777777" w:rsidR="00B44273" w:rsidRDefault="00B44273" w:rsidP="00B44273">
      <w:pPr>
        <w:ind w:firstLine="720"/>
        <w:jc w:val="both"/>
        <w:rPr>
          <w:rFonts w:asciiTheme="minorBidi" w:hAnsiTheme="minorBidi" w:cstheme="minorBidi"/>
          <w:noProof/>
          <w:lang w:val="mn-MN"/>
        </w:rPr>
      </w:pPr>
    </w:p>
    <w:p w14:paraId="79FB5C7A" w14:textId="77777777" w:rsidR="00B44273" w:rsidRPr="00ED3791" w:rsidRDefault="00B44273" w:rsidP="00B44273">
      <w:pPr>
        <w:jc w:val="both"/>
        <w:rPr>
          <w:rFonts w:ascii="Arial" w:hAnsi="Arial" w:cs="Arial"/>
          <w:lang w:val="mn-MN" w:eastAsia="zh-CN"/>
        </w:rPr>
      </w:pPr>
    </w:p>
    <w:p w14:paraId="3B17ABC2" w14:textId="77777777" w:rsidR="00B44273" w:rsidRPr="00ED3791" w:rsidRDefault="00B44273" w:rsidP="00B44273">
      <w:pPr>
        <w:jc w:val="both"/>
        <w:rPr>
          <w:rFonts w:ascii="Arial" w:hAnsi="Arial" w:cs="Arial"/>
          <w:b/>
          <w:bCs/>
          <w:lang w:val="mn-MN" w:eastAsia="zh-CN"/>
        </w:rPr>
      </w:pPr>
      <w:r w:rsidRPr="00ED3791">
        <w:rPr>
          <w:rFonts w:ascii="Arial" w:hAnsi="Arial" w:cs="Arial"/>
          <w:lang w:val="mn-MN" w:eastAsia="zh-CN"/>
        </w:rPr>
        <w:tab/>
      </w:r>
      <w:r w:rsidRPr="00ED3791">
        <w:rPr>
          <w:rFonts w:ascii="Arial" w:hAnsi="Arial" w:cs="Arial"/>
          <w:b/>
          <w:bCs/>
          <w:lang w:val="mn-MN" w:eastAsia="zh-CN"/>
        </w:rPr>
        <w:t>Бусад улсын туршлага</w:t>
      </w:r>
    </w:p>
    <w:p w14:paraId="1624F9A3" w14:textId="77777777" w:rsidR="00B44273" w:rsidRPr="00ED3791" w:rsidRDefault="00B44273" w:rsidP="00B44273">
      <w:pPr>
        <w:jc w:val="both"/>
        <w:rPr>
          <w:rFonts w:ascii="Arial" w:hAnsi="Arial" w:cs="Arial"/>
          <w:lang w:val="mn-MN" w:eastAsia="zh-CN"/>
        </w:rPr>
      </w:pPr>
      <w:r w:rsidRPr="00ED3791">
        <w:rPr>
          <w:rFonts w:ascii="Arial" w:hAnsi="Arial" w:cs="Arial"/>
          <w:lang w:val="mn-MN" w:eastAsia="zh-CN"/>
        </w:rPr>
        <w:tab/>
      </w:r>
    </w:p>
    <w:p w14:paraId="2389929F" w14:textId="77777777" w:rsidR="00B44273" w:rsidRPr="00ED3791" w:rsidRDefault="00B44273" w:rsidP="00B44273">
      <w:pPr>
        <w:jc w:val="both"/>
        <w:rPr>
          <w:rFonts w:ascii="Arial" w:hAnsi="Arial" w:cs="Arial"/>
          <w:b/>
          <w:bCs/>
          <w:lang w:val="mn-MN" w:eastAsia="zh-CN"/>
        </w:rPr>
      </w:pPr>
      <w:r w:rsidRPr="00ED3791">
        <w:rPr>
          <w:rFonts w:ascii="Arial" w:hAnsi="Arial" w:cs="Arial"/>
          <w:lang w:val="mn-MN" w:eastAsia="zh-CN"/>
        </w:rPr>
        <w:tab/>
      </w:r>
      <w:r w:rsidRPr="00ED3791">
        <w:rPr>
          <w:rFonts w:ascii="Arial" w:hAnsi="Arial" w:cs="Arial"/>
          <w:b/>
          <w:bCs/>
          <w:lang w:val="mn-MN" w:eastAsia="zh-CN"/>
        </w:rPr>
        <w:t>Зардал ба түүнээс бодох шийдвэр гүйцэтгэгчийн бонус</w:t>
      </w:r>
    </w:p>
    <w:p w14:paraId="6FCA9E46" w14:textId="77777777" w:rsidR="00B44273" w:rsidRPr="00ED3791" w:rsidRDefault="00B44273" w:rsidP="00B44273">
      <w:pPr>
        <w:jc w:val="both"/>
        <w:rPr>
          <w:rFonts w:ascii="Arial" w:hAnsi="Arial" w:cs="Arial"/>
          <w:lang w:val="mn-MN" w:eastAsia="zh-CN"/>
        </w:rPr>
      </w:pPr>
    </w:p>
    <w:p w14:paraId="4B26CC54" w14:textId="77777777" w:rsidR="00B44273" w:rsidRPr="00ED3791" w:rsidRDefault="00B44273" w:rsidP="00B44273">
      <w:pPr>
        <w:jc w:val="both"/>
        <w:rPr>
          <w:rFonts w:asciiTheme="minorBidi" w:hAnsiTheme="minorBidi"/>
          <w:lang w:val="mn-MN"/>
        </w:rPr>
      </w:pPr>
      <w:r w:rsidRPr="00ED3791">
        <w:rPr>
          <w:rFonts w:ascii="Arial" w:hAnsi="Arial" w:cs="Arial"/>
          <w:lang w:val="mn-MN" w:bidi="mn-Mong-MN"/>
        </w:rPr>
        <w:lastRenderedPageBreak/>
        <w:tab/>
        <w:t xml:space="preserve">ХБНГУ-ын хувьд гэхэд, </w:t>
      </w:r>
      <w:r w:rsidRPr="00ED3791">
        <w:rPr>
          <w:rFonts w:asciiTheme="minorBidi" w:hAnsiTheme="minorBidi"/>
          <w:lang w:val="mn-MN"/>
        </w:rPr>
        <w:t>шийдвэр гүйцэтгэгч нь төрийн албан хаагчийн үндсэн цалингаас гадна төлбөр авагчийн урьдчилан төлсөн ажиллагааны зардлын 15 хувийг бонус болгон авдаг.</w:t>
      </w:r>
      <w:r w:rsidRPr="00ED3791">
        <w:rPr>
          <w:rStyle w:val="FootnoteReference"/>
          <w:rFonts w:asciiTheme="minorBidi" w:eastAsiaTheme="majorEastAsia" w:hAnsiTheme="minorBidi"/>
          <w:lang w:val="mn-MN"/>
        </w:rPr>
        <w:footnoteReference w:id="12"/>
      </w:r>
      <w:r w:rsidRPr="00ED3791">
        <w:rPr>
          <w:rFonts w:asciiTheme="minorBidi" w:hAnsiTheme="minorBidi"/>
          <w:lang w:val="mn-MN"/>
        </w:rPr>
        <w:t xml:space="preserve"> Ажиллагаа бүр энэхүү бонусыг шингээсэн хэмжээнд тогтоосон зардалтай байдаг. </w:t>
      </w:r>
    </w:p>
    <w:p w14:paraId="2A7997BF" w14:textId="77777777" w:rsidR="00B44273" w:rsidRPr="00ED3791" w:rsidRDefault="00B44273" w:rsidP="00B44273">
      <w:pPr>
        <w:jc w:val="both"/>
        <w:rPr>
          <w:rFonts w:asciiTheme="minorBidi" w:hAnsiTheme="minorBidi"/>
          <w:lang w:val="mn-MN"/>
        </w:rPr>
      </w:pPr>
    </w:p>
    <w:p w14:paraId="15BF3D13" w14:textId="77777777" w:rsidR="00B44273" w:rsidRPr="00ED3791" w:rsidRDefault="00B44273" w:rsidP="00B44273">
      <w:pPr>
        <w:jc w:val="both"/>
        <w:rPr>
          <w:rFonts w:asciiTheme="minorBidi" w:hAnsiTheme="minorBidi"/>
          <w:lang w:val="mn-MN"/>
        </w:rPr>
      </w:pPr>
      <w:r w:rsidRPr="00ED3791">
        <w:rPr>
          <w:rFonts w:asciiTheme="minorBidi" w:hAnsiTheme="minorBidi"/>
          <w:lang w:val="mn-MN"/>
        </w:rPr>
        <w:tab/>
        <w:t>Түүнчлэн Гүрж улсын хувьд мөн адил шийдвэр гүйцэтгэгч ажиллагааны зардлаас 15 хувийг бонус байдлаар авдаг, хувийн шийдвэр гүйцэтгэгч зардлыг бүтэн авч, үйл ажиллагаандаа зарцуулдаг байна.</w:t>
      </w:r>
      <w:r w:rsidRPr="00ED3791">
        <w:rPr>
          <w:rStyle w:val="FootnoteReference"/>
          <w:rFonts w:asciiTheme="minorBidi" w:eastAsiaTheme="majorEastAsia" w:hAnsiTheme="minorBidi"/>
          <w:lang w:val="mn-MN"/>
        </w:rPr>
        <w:footnoteReference w:id="13"/>
      </w:r>
    </w:p>
    <w:p w14:paraId="6496CEB4" w14:textId="77777777" w:rsidR="00B44273" w:rsidRPr="00ED3791" w:rsidRDefault="00B44273" w:rsidP="00B44273">
      <w:pPr>
        <w:jc w:val="both"/>
        <w:rPr>
          <w:rFonts w:asciiTheme="minorBidi" w:hAnsiTheme="minorBidi"/>
          <w:lang w:val="mn-MN"/>
        </w:rPr>
      </w:pPr>
    </w:p>
    <w:p w14:paraId="0884B034" w14:textId="77777777" w:rsidR="00B44273" w:rsidRPr="00ED3791" w:rsidRDefault="00B44273" w:rsidP="00B44273">
      <w:pPr>
        <w:jc w:val="both"/>
        <w:rPr>
          <w:rFonts w:asciiTheme="minorBidi" w:hAnsiTheme="minorBidi"/>
          <w:b/>
          <w:bCs/>
          <w:lang w:val="mn-MN"/>
        </w:rPr>
      </w:pPr>
      <w:r w:rsidRPr="00ED3791">
        <w:rPr>
          <w:rFonts w:asciiTheme="minorBidi" w:hAnsiTheme="minorBidi"/>
          <w:lang w:val="mn-MN"/>
        </w:rPr>
        <w:tab/>
      </w:r>
      <w:r w:rsidRPr="00ED3791">
        <w:rPr>
          <w:rFonts w:asciiTheme="minorBidi" w:hAnsiTheme="minorBidi"/>
          <w:b/>
          <w:bCs/>
          <w:lang w:val="mn-MN"/>
        </w:rPr>
        <w:t>Шийдвэр гүйцэтгэгч ба бусад ажилтан</w:t>
      </w:r>
    </w:p>
    <w:p w14:paraId="65686213" w14:textId="77777777" w:rsidR="00B44273" w:rsidRPr="00ED3791" w:rsidRDefault="00B44273" w:rsidP="00B44273">
      <w:pPr>
        <w:jc w:val="both"/>
        <w:rPr>
          <w:rFonts w:asciiTheme="minorBidi" w:hAnsiTheme="minorBidi"/>
          <w:lang w:val="mn-MN"/>
        </w:rPr>
      </w:pPr>
    </w:p>
    <w:p w14:paraId="70877307" w14:textId="77777777" w:rsidR="00B44273" w:rsidRPr="00ED3791" w:rsidRDefault="00B44273" w:rsidP="00B44273">
      <w:pPr>
        <w:jc w:val="both"/>
        <w:rPr>
          <w:rFonts w:asciiTheme="minorBidi" w:hAnsiTheme="minorBidi"/>
          <w:lang w:val="mn-MN"/>
        </w:rPr>
      </w:pPr>
      <w:r w:rsidRPr="00ED3791">
        <w:rPr>
          <w:rFonts w:asciiTheme="minorBidi" w:hAnsiTheme="minorBidi"/>
          <w:lang w:val="mn-MN"/>
        </w:rPr>
        <w:tab/>
        <w:t>Гүржид нийт 424 албан хаагч байх ба үүний 158 нь шийдвэр гүйцэтгэгч, захиргаанд 157, шийдвэр гүйцэтгэлийн цагдаа 57 байна.</w:t>
      </w:r>
      <w:r w:rsidRPr="00ED3791">
        <w:rPr>
          <w:rStyle w:val="FootnoteReference"/>
          <w:rFonts w:asciiTheme="minorBidi" w:eastAsiaTheme="majorEastAsia" w:hAnsiTheme="minorBidi"/>
          <w:lang w:val="mn-MN"/>
        </w:rPr>
        <w:footnoteReference w:id="14"/>
      </w:r>
    </w:p>
    <w:p w14:paraId="1754C49D" w14:textId="77777777" w:rsidR="00B44273" w:rsidRPr="00ED3791" w:rsidRDefault="00B44273" w:rsidP="00B44273">
      <w:pPr>
        <w:jc w:val="both"/>
        <w:rPr>
          <w:rFonts w:ascii="Arial" w:hAnsi="Arial" w:cs="Arial"/>
          <w:lang w:val="mn-MN" w:eastAsia="zh-CN"/>
        </w:rPr>
      </w:pPr>
    </w:p>
    <w:p w14:paraId="2A077242" w14:textId="77777777" w:rsidR="00B44273" w:rsidRPr="00ED3791" w:rsidRDefault="00B44273" w:rsidP="00B44273">
      <w:pPr>
        <w:jc w:val="both"/>
        <w:rPr>
          <w:rFonts w:ascii="Arial" w:hAnsi="Arial" w:cs="Arial"/>
          <w:b/>
          <w:bCs/>
          <w:lang w:val="mn-MN" w:eastAsia="zh-CN"/>
        </w:rPr>
      </w:pPr>
      <w:r w:rsidRPr="00ED3791">
        <w:rPr>
          <w:rFonts w:ascii="Arial" w:hAnsi="Arial" w:cs="Arial"/>
          <w:lang w:val="mn-MN" w:eastAsia="zh-CN"/>
        </w:rPr>
        <w:tab/>
      </w:r>
      <w:r w:rsidRPr="00ED3791">
        <w:rPr>
          <w:rFonts w:ascii="Arial" w:hAnsi="Arial" w:cs="Arial"/>
          <w:b/>
          <w:bCs/>
          <w:lang w:val="mn-MN" w:eastAsia="zh-CN"/>
        </w:rPr>
        <w:t>Цалин урамшуулал</w:t>
      </w:r>
    </w:p>
    <w:p w14:paraId="7AB722CB" w14:textId="77777777" w:rsidR="00B44273" w:rsidRPr="00ED3791" w:rsidRDefault="00B44273" w:rsidP="00B44273">
      <w:pPr>
        <w:jc w:val="both"/>
        <w:rPr>
          <w:rFonts w:ascii="Arial" w:hAnsi="Arial" w:cs="Arial"/>
          <w:lang w:val="mn-MN" w:eastAsia="zh-CN"/>
        </w:rPr>
      </w:pPr>
    </w:p>
    <w:p w14:paraId="5EBEB743" w14:textId="77777777" w:rsidR="00B44273" w:rsidRPr="00ED3791" w:rsidRDefault="00B44273" w:rsidP="00B44273">
      <w:pPr>
        <w:jc w:val="both"/>
        <w:rPr>
          <w:rFonts w:ascii="Arial" w:hAnsi="Arial" w:cs="Arial"/>
          <w:lang w:val="mn-MN" w:eastAsia="zh-CN"/>
        </w:rPr>
      </w:pPr>
      <w:r w:rsidRPr="00ED3791">
        <w:rPr>
          <w:rFonts w:ascii="Arial" w:hAnsi="Arial" w:cs="Arial"/>
          <w:lang w:val="mn-MN" w:eastAsia="zh-CN"/>
        </w:rPr>
        <w:tab/>
        <w:t xml:space="preserve">Монгол Улсын иргэний шийдвэр гүйцэтгэгчид төрийн тусгай албан хаагч бөгөөд цолны нэмэгдэл авч байна. Гэхдээ бонусгүй. </w:t>
      </w:r>
    </w:p>
    <w:p w14:paraId="5589665F" w14:textId="77777777" w:rsidR="00B44273" w:rsidRPr="00ED3791" w:rsidRDefault="00B44273" w:rsidP="00B44273">
      <w:pPr>
        <w:jc w:val="both"/>
        <w:rPr>
          <w:rFonts w:ascii="Arial" w:hAnsi="Arial" w:cs="Arial"/>
          <w:lang w:val="mn-MN" w:eastAsia="zh-CN"/>
        </w:rPr>
      </w:pPr>
    </w:p>
    <w:p w14:paraId="13292CF8" w14:textId="77777777" w:rsidR="00B44273" w:rsidRPr="00ED3791" w:rsidRDefault="00B44273" w:rsidP="00B44273">
      <w:pPr>
        <w:jc w:val="both"/>
        <w:rPr>
          <w:rFonts w:ascii="Arial" w:hAnsi="Arial" w:cs="Arial"/>
          <w:lang w:val="mn-MN" w:eastAsia="zh-CN"/>
        </w:rPr>
      </w:pPr>
      <w:r w:rsidRPr="00ED3791">
        <w:rPr>
          <w:rFonts w:ascii="Arial" w:hAnsi="Arial" w:cs="Arial"/>
          <w:lang w:val="mn-MN" w:eastAsia="zh-CN"/>
        </w:rPr>
        <w:tab/>
      </w:r>
    </w:p>
    <w:p w14:paraId="2DAEF37F" w14:textId="77777777" w:rsidR="00B44273" w:rsidRDefault="00B44273" w:rsidP="00B44273">
      <w:pPr>
        <w:jc w:val="both"/>
        <w:rPr>
          <w:rFonts w:ascii="Arial" w:hAnsi="Arial" w:cs="Arial"/>
          <w:lang w:val="mn-MN" w:eastAsia="zh-CN"/>
        </w:rPr>
      </w:pPr>
      <w:r w:rsidRPr="00ED3791">
        <w:rPr>
          <w:rFonts w:ascii="Arial" w:hAnsi="Arial" w:cs="Arial"/>
          <w:lang w:val="mn-MN" w:eastAsia="zh-CN"/>
        </w:rPr>
        <w:tab/>
        <w:t>Бусад улсын хувьд цэргийн цолгүй ч бонус авч, төрийн албан хаагч байгаа нь урамшуулах тогтолцоог бүрдүүлжээ. Цэргийн цолгүй болвол уг бонусаар нэмэгдэл цалинтай байх боломжтой бай</w:t>
      </w:r>
      <w:r>
        <w:rPr>
          <w:rFonts w:ascii="Arial" w:hAnsi="Arial" w:cs="Arial"/>
          <w:lang w:val="mn-MN" w:eastAsia="zh-CN"/>
        </w:rPr>
        <w:t xml:space="preserve">гааг харгалзан урамшууллыг сэргээсэн. </w:t>
      </w:r>
    </w:p>
    <w:p w14:paraId="2BC01AF7" w14:textId="77777777" w:rsidR="00B44273" w:rsidRDefault="00B44273" w:rsidP="00B44273">
      <w:pPr>
        <w:jc w:val="both"/>
        <w:rPr>
          <w:rFonts w:ascii="Arial" w:hAnsi="Arial" w:cs="Arial"/>
          <w:lang w:val="mn-MN" w:eastAsia="zh-CN"/>
        </w:rPr>
      </w:pPr>
    </w:p>
    <w:p w14:paraId="03D748AE" w14:textId="77777777" w:rsidR="00B44273" w:rsidRPr="00ED3791" w:rsidRDefault="00B44273" w:rsidP="00B44273">
      <w:pPr>
        <w:jc w:val="both"/>
        <w:rPr>
          <w:rFonts w:ascii="Arial" w:hAnsi="Arial" w:cs="Arial"/>
          <w:lang w:val="mn-MN" w:eastAsia="zh-CN"/>
        </w:rPr>
      </w:pPr>
      <w:r>
        <w:rPr>
          <w:rFonts w:ascii="Arial" w:hAnsi="Arial" w:cs="Arial"/>
          <w:lang w:val="mn-MN" w:eastAsia="zh-CN"/>
        </w:rPr>
        <w:tab/>
        <w:t xml:space="preserve">Цэргийн цолтой байснаар иргэний шийдвэр гүйцэтгэх ажиллагаанд дээд албан тушаалтны үүрэг даалгаврыг биелүүлэх, цол авахын тулд дээд албан тушаалтанд таалагдах зэрэг ашиг сонирхлын зөрчил үүсгэх боломжтой байгааг засч, ажиллагааг шуурхай, үр дүнтэй байлгах үүднээс цэргийн цолыг болиулж, урамшууллаар нэмэгдэл орлого олох олон улсын сайн туршлагыг бий болголоо. </w:t>
      </w:r>
    </w:p>
    <w:p w14:paraId="750BF19B" w14:textId="77777777" w:rsidR="00B44273" w:rsidRPr="00ED3791" w:rsidRDefault="00B44273" w:rsidP="00B44273">
      <w:pPr>
        <w:jc w:val="both"/>
        <w:rPr>
          <w:rFonts w:ascii="Arial" w:hAnsi="Arial" w:cs="Arial"/>
          <w:lang w:val="mn-MN" w:eastAsia="zh-CN"/>
        </w:rPr>
      </w:pPr>
    </w:p>
    <w:p w14:paraId="6640C290" w14:textId="77777777" w:rsidR="00B44273" w:rsidRPr="00ED3791" w:rsidRDefault="00B44273" w:rsidP="00B44273">
      <w:pPr>
        <w:jc w:val="both"/>
        <w:rPr>
          <w:rFonts w:ascii="Arial" w:hAnsi="Arial" w:cs="Arial"/>
          <w:b/>
          <w:bCs/>
          <w:lang w:val="mn-MN" w:eastAsia="zh-CN"/>
        </w:rPr>
      </w:pPr>
      <w:r w:rsidRPr="00ED3791">
        <w:rPr>
          <w:rFonts w:ascii="Arial" w:hAnsi="Arial" w:cs="Arial"/>
          <w:lang w:val="mn-MN" w:eastAsia="zh-CN"/>
        </w:rPr>
        <w:tab/>
      </w:r>
      <w:r w:rsidRPr="00ED3791">
        <w:rPr>
          <w:rFonts w:ascii="Arial" w:hAnsi="Arial" w:cs="Arial"/>
          <w:b/>
          <w:bCs/>
          <w:lang w:val="mn-MN" w:eastAsia="zh-CN"/>
        </w:rPr>
        <w:t>Шийдвэр гүйцэтгэгч ба бусад захиргааны албан хаагч</w:t>
      </w:r>
    </w:p>
    <w:p w14:paraId="5D7506DF" w14:textId="77777777" w:rsidR="00B44273" w:rsidRPr="00ED3791" w:rsidRDefault="00B44273" w:rsidP="00B44273">
      <w:pPr>
        <w:jc w:val="both"/>
        <w:rPr>
          <w:rFonts w:ascii="Arial" w:hAnsi="Arial" w:cs="Arial"/>
          <w:b/>
          <w:bCs/>
          <w:lang w:val="mn-MN" w:eastAsia="zh-CN"/>
        </w:rPr>
      </w:pPr>
    </w:p>
    <w:p w14:paraId="6D957CD0" w14:textId="77777777" w:rsidR="00B44273" w:rsidRDefault="00B44273" w:rsidP="00B44273">
      <w:pPr>
        <w:jc w:val="both"/>
        <w:rPr>
          <w:rFonts w:ascii="Arial" w:hAnsi="Arial" w:cs="Arial"/>
          <w:lang w:val="mn-MN"/>
        </w:rPr>
      </w:pPr>
      <w:r w:rsidRPr="00ED3791">
        <w:rPr>
          <w:rFonts w:ascii="Arial" w:hAnsi="Arial" w:cs="Arial"/>
          <w:lang w:val="mn-MN" w:eastAsia="zh-CN"/>
        </w:rPr>
        <w:tab/>
        <w:t>Гүрж улс гэхэд 3 сая 800 мянга гаруй хүн амтай ч</w:t>
      </w:r>
      <w:r w:rsidRPr="00ED3791">
        <w:rPr>
          <w:rStyle w:val="FootnoteReference"/>
          <w:rFonts w:ascii="Arial" w:eastAsiaTheme="majorEastAsia" w:hAnsi="Arial" w:cs="Arial"/>
          <w:lang w:val="mn-MN" w:eastAsia="zh-CN"/>
        </w:rPr>
        <w:footnoteReference w:id="15"/>
      </w:r>
      <w:r w:rsidRPr="00ED3791">
        <w:rPr>
          <w:rFonts w:ascii="Arial" w:hAnsi="Arial" w:cs="Arial"/>
          <w:lang w:val="mn-MN" w:eastAsia="zh-CN"/>
        </w:rPr>
        <w:t xml:space="preserve"> нийт 424 албан хаагчтай 158 шийдвэр гүйцэтгэгчтэй тэдэнд туслах 157 захиргааны албан хаагчтай, 57 шийдвэр гүйцэтгэлийн цагдаатай багтай байна. Манай улсад 304 шийдвэр гүйцэтгэгч, 56 ахлах шийдвэр гүйцэтгэгчтэй ч </w:t>
      </w:r>
      <w:r w:rsidRPr="00ED3791">
        <w:rPr>
          <w:rFonts w:ascii="Arial" w:hAnsi="Arial" w:cs="Arial"/>
          <w:lang w:val="mn-MN"/>
        </w:rPr>
        <w:t>Захиргаа, мэргэжлийн удирдлага-хяналт тавих 26 албан хаагч байгаа нь нийт 460 албан хаагчийн 6.7 хувь нь байгаа нь туслах чиг үүрэгтэй захиргааны албан хаагч дутмаг байгаа нь ажиллагаа удаашралтай, шийдвэр гүйцэтгэгч ачаалалтай байгаатай холбоотой байж болохоор байна.</w:t>
      </w:r>
      <w:r>
        <w:rPr>
          <w:rFonts w:ascii="Arial" w:hAnsi="Arial" w:cs="Arial"/>
          <w:lang w:val="mn-MN"/>
        </w:rPr>
        <w:t xml:space="preserve"> </w:t>
      </w:r>
    </w:p>
    <w:p w14:paraId="1AE235AB" w14:textId="77777777" w:rsidR="00B44273" w:rsidRDefault="00B44273" w:rsidP="00B44273">
      <w:pPr>
        <w:jc w:val="both"/>
        <w:rPr>
          <w:rFonts w:ascii="Arial" w:hAnsi="Arial" w:cs="Arial"/>
          <w:lang w:val="mn-MN"/>
        </w:rPr>
      </w:pPr>
    </w:p>
    <w:p w14:paraId="7331AF91" w14:textId="77777777" w:rsidR="00B44273" w:rsidRPr="00DA4375" w:rsidRDefault="00B44273" w:rsidP="00B44273">
      <w:pPr>
        <w:jc w:val="both"/>
        <w:rPr>
          <w:rFonts w:asciiTheme="minorBidi" w:hAnsiTheme="minorBidi" w:cstheme="minorBidi"/>
          <w:noProof/>
          <w:lang w:val="mn-MN"/>
        </w:rPr>
      </w:pPr>
      <w:r>
        <w:rPr>
          <w:rFonts w:ascii="Arial" w:hAnsi="Arial" w:cs="Arial"/>
          <w:lang w:val="mn-MN"/>
        </w:rPr>
        <w:tab/>
        <w:t xml:space="preserve">Иймээс иргэний шийдвэр гүйцэтгэх ажиллагаанд ахлах шийдвэр гүйцэтгэгч, ерөнхий шийдвэр гүйцэтгэгч хянах, тушаал өгөх бус туслах чиг үүргийн алба хаагчийг бүрдүүлэх шаардлагыг хуулийн төсөлд тусгалаа. </w:t>
      </w:r>
    </w:p>
    <w:p w14:paraId="542954B2" w14:textId="77777777" w:rsidR="00B44273" w:rsidRPr="001C1AA8" w:rsidRDefault="00B44273" w:rsidP="00B44273">
      <w:pPr>
        <w:ind w:firstLine="720"/>
        <w:jc w:val="both"/>
        <w:rPr>
          <w:noProof/>
          <w:lang w:val="bs-Latn-BA"/>
        </w:rPr>
      </w:pPr>
    </w:p>
    <w:p w14:paraId="50A316CA" w14:textId="77777777" w:rsidR="00B44273" w:rsidRPr="007C7DAE" w:rsidRDefault="00B44273" w:rsidP="00B44273">
      <w:pPr>
        <w:jc w:val="center"/>
        <w:rPr>
          <w:rFonts w:asciiTheme="minorBidi" w:hAnsiTheme="minorBidi" w:cstheme="minorBidi"/>
          <w:b/>
          <w:bCs/>
          <w:noProof/>
          <w:lang w:val="bs-Latn-BA"/>
        </w:rPr>
      </w:pPr>
      <w:r>
        <w:rPr>
          <w:rFonts w:asciiTheme="minorBidi" w:hAnsiTheme="minorBidi" w:cstheme="minorBidi"/>
          <w:b/>
          <w:bCs/>
          <w:noProof/>
          <w:lang w:val="bs-Latn-BA"/>
        </w:rPr>
        <w:t>Х</w:t>
      </w:r>
      <w:r w:rsidRPr="007C7DAE">
        <w:rPr>
          <w:rFonts w:asciiTheme="minorBidi" w:hAnsiTheme="minorBidi" w:cstheme="minorBidi"/>
          <w:b/>
          <w:bCs/>
          <w:noProof/>
          <w:lang w:val="bs-Latn-BA"/>
        </w:rPr>
        <w:t>оёрдугаар бүлэг</w:t>
      </w:r>
    </w:p>
    <w:p w14:paraId="1BAE3354" w14:textId="77777777" w:rsidR="00B44273" w:rsidRPr="007C7DAE" w:rsidRDefault="00B44273" w:rsidP="00B44273">
      <w:pPr>
        <w:jc w:val="center"/>
        <w:rPr>
          <w:rFonts w:asciiTheme="minorBidi" w:eastAsiaTheme="minorEastAsia" w:hAnsiTheme="minorBidi" w:cstheme="minorBidi"/>
          <w:b/>
          <w:bCs/>
          <w:noProof/>
          <w:lang w:val="bs-Latn-BA"/>
        </w:rPr>
      </w:pPr>
      <w:r>
        <w:rPr>
          <w:rFonts w:asciiTheme="minorBidi" w:eastAsiaTheme="minorEastAsia" w:hAnsiTheme="minorBidi" w:cstheme="minorBidi"/>
          <w:b/>
          <w:bCs/>
          <w:noProof/>
          <w:lang w:val="bs-Latn-BA"/>
        </w:rPr>
        <w:t>Ш</w:t>
      </w:r>
      <w:r w:rsidRPr="007C7DAE">
        <w:rPr>
          <w:rFonts w:asciiTheme="minorBidi" w:eastAsiaTheme="minorEastAsia" w:hAnsiTheme="minorBidi" w:cstheme="minorBidi"/>
          <w:b/>
          <w:bCs/>
          <w:noProof/>
          <w:lang w:val="bs-Latn-BA"/>
        </w:rPr>
        <w:t>үүхийн шийдвэр гүйцэтгэх байгууллагын тогтолцоо</w:t>
      </w:r>
    </w:p>
    <w:p w14:paraId="04F3DF3B" w14:textId="77777777" w:rsidR="00B44273" w:rsidRPr="001C1AA8" w:rsidRDefault="00B44273" w:rsidP="00B44273">
      <w:pPr>
        <w:shd w:val="clear" w:color="auto" w:fill="FFFFFF"/>
        <w:jc w:val="center"/>
        <w:textAlignment w:val="top"/>
        <w:rPr>
          <w:noProof/>
          <w:lang w:val="bs-Latn-BA"/>
        </w:rPr>
      </w:pPr>
      <w:r w:rsidRPr="001C1AA8">
        <w:rPr>
          <w:b/>
          <w:bCs/>
          <w:noProof/>
          <w:lang w:val="bs-Latn-BA"/>
        </w:rPr>
        <w:lastRenderedPageBreak/>
        <w:t xml:space="preserve">  </w:t>
      </w:r>
    </w:p>
    <w:p w14:paraId="1AC79960" w14:textId="77777777" w:rsidR="00B44273" w:rsidRPr="007C7DAE" w:rsidRDefault="00B44273" w:rsidP="00B44273">
      <w:pPr>
        <w:pStyle w:val="NormalWeb"/>
        <w:ind w:firstLine="709"/>
        <w:jc w:val="both"/>
        <w:rPr>
          <w:rFonts w:ascii="Arial" w:hAnsi="Arial" w:cs="Arial"/>
          <w:noProof/>
          <w:lang w:val="bs-Latn-BA"/>
        </w:rPr>
      </w:pPr>
      <w:r w:rsidRPr="007C7DAE">
        <w:rPr>
          <w:rFonts w:ascii="Arial" w:hAnsi="Arial" w:cs="Arial"/>
          <w:noProof/>
          <w:lang w:val="bs-Latn-BA"/>
        </w:rPr>
        <w:t xml:space="preserve">Энэ бүлэгт байгууллагын тогтолцоо, туг, далбаа, бэлэг тэмдэг хэрэглэх алба хаагчийн тангараг зэргийг тусгалаа. </w:t>
      </w:r>
    </w:p>
    <w:p w14:paraId="7653C187" w14:textId="77777777" w:rsidR="00B44273" w:rsidRDefault="00B44273" w:rsidP="00B44273">
      <w:pPr>
        <w:shd w:val="clear" w:color="auto" w:fill="FFFFFF"/>
        <w:jc w:val="both"/>
        <w:textAlignment w:val="top"/>
        <w:rPr>
          <w:noProof/>
          <w:lang w:val="bs-Latn-BA"/>
        </w:rPr>
      </w:pPr>
    </w:p>
    <w:p w14:paraId="06344717" w14:textId="77777777" w:rsidR="00B44273" w:rsidRPr="007C7DAE" w:rsidRDefault="00B44273" w:rsidP="00B44273">
      <w:pPr>
        <w:jc w:val="center"/>
        <w:rPr>
          <w:rFonts w:asciiTheme="minorBidi" w:hAnsiTheme="minorBidi" w:cstheme="minorBidi"/>
          <w:b/>
          <w:bCs/>
          <w:noProof/>
          <w:lang w:val="bs-Latn-BA"/>
        </w:rPr>
      </w:pPr>
      <w:r>
        <w:rPr>
          <w:rFonts w:asciiTheme="minorBidi" w:hAnsiTheme="minorBidi" w:cstheme="minorBidi"/>
          <w:b/>
          <w:bCs/>
          <w:noProof/>
          <w:lang w:val="bs-Latn-BA"/>
        </w:rPr>
        <w:t>Г</w:t>
      </w:r>
      <w:r w:rsidRPr="007C7DAE">
        <w:rPr>
          <w:rFonts w:asciiTheme="minorBidi" w:hAnsiTheme="minorBidi" w:cstheme="minorBidi"/>
          <w:b/>
          <w:bCs/>
          <w:noProof/>
          <w:lang w:val="bs-Latn-BA"/>
        </w:rPr>
        <w:t>уравдугаар бүлэг</w:t>
      </w:r>
    </w:p>
    <w:p w14:paraId="1E97F854" w14:textId="77777777" w:rsidR="00B44273" w:rsidRPr="007C7DAE" w:rsidRDefault="00B44273" w:rsidP="00B44273">
      <w:pPr>
        <w:jc w:val="center"/>
        <w:rPr>
          <w:rFonts w:asciiTheme="minorBidi" w:eastAsiaTheme="minorEastAsia" w:hAnsiTheme="minorBidi" w:cstheme="minorBidi"/>
          <w:b/>
          <w:bCs/>
          <w:noProof/>
          <w:lang w:val="bs-Latn-BA"/>
        </w:rPr>
      </w:pPr>
      <w:r>
        <w:rPr>
          <w:rFonts w:asciiTheme="minorBidi" w:eastAsiaTheme="minorEastAsia" w:hAnsiTheme="minorBidi" w:cstheme="minorBidi"/>
          <w:b/>
          <w:bCs/>
          <w:noProof/>
          <w:lang w:val="bs-Latn-BA"/>
        </w:rPr>
        <w:t>Б</w:t>
      </w:r>
      <w:r w:rsidRPr="007C7DAE">
        <w:rPr>
          <w:rFonts w:asciiTheme="minorBidi" w:eastAsiaTheme="minorEastAsia" w:hAnsiTheme="minorBidi" w:cstheme="minorBidi"/>
          <w:b/>
          <w:bCs/>
          <w:noProof/>
          <w:lang w:val="bs-Latn-BA"/>
        </w:rPr>
        <w:t>үрэн эрх, чиг үүрэг</w:t>
      </w:r>
    </w:p>
    <w:p w14:paraId="471E601E" w14:textId="77777777" w:rsidR="00B44273" w:rsidRDefault="00B44273" w:rsidP="00B44273">
      <w:pPr>
        <w:jc w:val="center"/>
        <w:rPr>
          <w:rFonts w:eastAsiaTheme="minorEastAsia"/>
          <w:b/>
          <w:bCs/>
          <w:noProof/>
          <w:lang w:val="bs-Latn-BA"/>
        </w:rPr>
      </w:pPr>
    </w:p>
    <w:p w14:paraId="735A422D" w14:textId="77777777" w:rsidR="00B44273" w:rsidRPr="007C7DAE" w:rsidRDefault="00B44273" w:rsidP="00B44273">
      <w:pPr>
        <w:shd w:val="clear" w:color="auto" w:fill="FFFFFF"/>
        <w:ind w:firstLine="720"/>
        <w:jc w:val="both"/>
        <w:textAlignment w:val="top"/>
        <w:rPr>
          <w:rFonts w:asciiTheme="minorBidi" w:hAnsiTheme="minorBidi" w:cstheme="minorBidi"/>
          <w:noProof/>
          <w:lang w:val="bs-Latn-BA"/>
        </w:rPr>
      </w:pPr>
      <w:r w:rsidRPr="007C7DAE">
        <w:rPr>
          <w:rFonts w:asciiTheme="minorBidi" w:hAnsiTheme="minorBidi" w:cstheme="minorBidi"/>
          <w:noProof/>
          <w:lang w:val="bs-Latn-BA"/>
        </w:rPr>
        <w:t xml:space="preserve">Энэ бүлэгт шийдвэр гүйцэтгэх төв байгууллага, даргын бүрэн эрх, мөн иргэний шийдвэр гүйцэтгэх албаны онцлог, албаны чиг үүрэг, даргын бүрэн эрхийг тусгалаа. </w:t>
      </w:r>
    </w:p>
    <w:p w14:paraId="68A9AC09" w14:textId="77777777" w:rsidR="00B44273" w:rsidRDefault="00B44273" w:rsidP="00B44273">
      <w:pPr>
        <w:shd w:val="clear" w:color="auto" w:fill="FFFFFF"/>
        <w:ind w:firstLine="720"/>
        <w:jc w:val="both"/>
        <w:textAlignment w:val="top"/>
        <w:rPr>
          <w:b/>
          <w:bCs/>
          <w:noProof/>
          <w:lang w:val="bs-Latn-BA"/>
        </w:rPr>
      </w:pPr>
    </w:p>
    <w:p w14:paraId="5039C07E" w14:textId="77777777" w:rsidR="00B44273" w:rsidRPr="007C7DAE" w:rsidRDefault="00B44273" w:rsidP="00B44273">
      <w:pPr>
        <w:ind w:right="142" w:firstLine="627"/>
        <w:jc w:val="both"/>
        <w:rPr>
          <w:rFonts w:asciiTheme="minorBidi" w:hAnsiTheme="minorBidi" w:cstheme="minorBidi"/>
          <w:noProof/>
          <w:lang w:val="bs-Latn-BA" w:eastAsia="en-GB"/>
        </w:rPr>
      </w:pPr>
      <w:r w:rsidRPr="007C7DAE">
        <w:rPr>
          <w:rFonts w:asciiTheme="minorBidi" w:hAnsiTheme="minorBidi" w:cstheme="minorBidi"/>
          <w:noProof/>
          <w:lang w:val="bs-Latn-BA"/>
        </w:rPr>
        <w:t xml:space="preserve">Ингэхдээ иргэний шийдвэр гүйцэтгэх алба нь Шүүхийн шийдвэр гүйцэтгэх төв байгууллагын харьяанд байх бөгөөд </w:t>
      </w:r>
      <w:r w:rsidRPr="007C7DAE">
        <w:rPr>
          <w:rFonts w:asciiTheme="minorBidi" w:hAnsiTheme="minorBidi" w:cstheme="minorBidi"/>
          <w:noProof/>
          <w:lang w:val="bs-Latn-BA" w:eastAsia="en-GB"/>
        </w:rPr>
        <w:t>Засгийн газрын агентлагийн эрх зүйн байдлын тухай хуульд</w:t>
      </w:r>
      <w:r w:rsidRPr="007C7DAE">
        <w:rPr>
          <w:rStyle w:val="FootnoteReference"/>
          <w:rFonts w:asciiTheme="minorBidi" w:hAnsiTheme="minorBidi" w:cstheme="minorBidi"/>
          <w:noProof/>
          <w:lang w:val="bs-Latn-BA" w:eastAsia="en-GB"/>
        </w:rPr>
        <w:footnoteReference w:id="16"/>
      </w:r>
      <w:r w:rsidRPr="007C7DAE">
        <w:rPr>
          <w:rFonts w:asciiTheme="minorBidi" w:hAnsiTheme="minorBidi" w:cstheme="minorBidi"/>
          <w:noProof/>
          <w:lang w:val="bs-Latn-BA" w:eastAsia="en-GB"/>
        </w:rPr>
        <w:t xml:space="preserve"> зааснаас гадна иргэний болон захиргааны хэргийн шүүхийн шийдвэр гүйцэтгэх албаны боловсон хүчний бодлого боловсруулах, алба хаагчийг сургаж бэлтгэх, мэдлэг чадварыг дээшлүүлэх арга хэмжээ авах, иргэний болон захиргааны хэргийн шүүхийн шийдвэр гүйцэтгэх ажиллагааг шуурхай, үр дүнтэй болгоход чиглэсэн төлөвлөгөө, санал боловсруулж, хууль зүйн асуудал эрхэлсэн Засгийн газрын гишүүнд хүргүүлж, батлуулах, хэрэгжүүлэх, хэрэгжилтэд хяналт тавих чиг үүрэгтэй байхаар тусгасан. </w:t>
      </w:r>
    </w:p>
    <w:p w14:paraId="529A78D7" w14:textId="77777777" w:rsidR="00B44273" w:rsidRPr="007C7DAE" w:rsidRDefault="00B44273" w:rsidP="00B44273">
      <w:pPr>
        <w:ind w:right="142" w:firstLine="627"/>
        <w:jc w:val="both"/>
        <w:rPr>
          <w:rFonts w:asciiTheme="minorBidi" w:hAnsiTheme="minorBidi" w:cstheme="minorBidi"/>
          <w:noProof/>
          <w:lang w:val="bs-Latn-BA" w:eastAsia="en-GB"/>
        </w:rPr>
      </w:pPr>
    </w:p>
    <w:p w14:paraId="0B1AAC7F" w14:textId="77777777" w:rsidR="00B44273" w:rsidRPr="007C7DAE" w:rsidRDefault="00B44273" w:rsidP="00B44273">
      <w:pPr>
        <w:ind w:right="142" w:firstLine="627"/>
        <w:jc w:val="both"/>
        <w:rPr>
          <w:rFonts w:asciiTheme="minorBidi" w:hAnsiTheme="minorBidi" w:cstheme="minorBidi"/>
          <w:noProof/>
          <w:lang w:val="bs-Latn-BA"/>
        </w:rPr>
      </w:pPr>
      <w:r w:rsidRPr="007C7DAE">
        <w:rPr>
          <w:rFonts w:asciiTheme="minorBidi" w:hAnsiTheme="minorBidi" w:cstheme="minorBidi"/>
          <w:noProof/>
          <w:lang w:val="bs-Latn-BA" w:eastAsia="en-GB"/>
        </w:rPr>
        <w:t>Мөн</w:t>
      </w:r>
      <w:r w:rsidRPr="007C7DAE">
        <w:rPr>
          <w:rFonts w:asciiTheme="minorBidi" w:hAnsiTheme="minorBidi" w:cstheme="minorBidi"/>
          <w:noProof/>
          <w:lang w:val="bs-Latn-BA"/>
        </w:rPr>
        <w:t xml:space="preserve"> шийдвэр гүйцэтгэх ажиллагаа, биелэгдээгүй шийдвэрийн шалтгаан нөхцөл, ажлын үр дүнг улирал бүр Улсын дээд шүүхэд танилцуулах бөгөөд Улсын дээд шүүх энэхүү ажиллагаанд хяналт тавьж, шүүхийн шийдвэрийн тогтоох хэсгийг сайжруулах зэрэг арга хэмжээ авч ажиллах, ингэснээр шийдвэр гүйцэтгэл, шийдвэр гаргасан шүүх хоорондын харилцан уялдааг хангах, ажиллагааг сайжруулахад чиглэсэн зохицуулалтыг бий болголоо.</w:t>
      </w:r>
    </w:p>
    <w:p w14:paraId="19583631" w14:textId="77777777" w:rsidR="00B44273" w:rsidRDefault="00B44273" w:rsidP="00B44273">
      <w:pPr>
        <w:shd w:val="clear" w:color="auto" w:fill="FFFFFF"/>
        <w:jc w:val="both"/>
        <w:textAlignment w:val="top"/>
        <w:rPr>
          <w:b/>
          <w:bCs/>
          <w:noProof/>
          <w:lang w:val="bs-Latn-BA"/>
        </w:rPr>
      </w:pPr>
    </w:p>
    <w:p w14:paraId="6823B629" w14:textId="77777777" w:rsidR="00B44273" w:rsidRPr="007C7DAE" w:rsidRDefault="00B44273" w:rsidP="00B44273">
      <w:pPr>
        <w:shd w:val="clear" w:color="auto" w:fill="FFFFFF"/>
        <w:ind w:firstLine="627"/>
        <w:jc w:val="both"/>
        <w:textAlignment w:val="top"/>
        <w:rPr>
          <w:rFonts w:asciiTheme="minorBidi" w:hAnsiTheme="minorBidi" w:cstheme="minorBidi"/>
          <w:noProof/>
          <w:lang w:val="bs-Latn-BA"/>
        </w:rPr>
      </w:pPr>
      <w:r w:rsidRPr="007C7DAE">
        <w:rPr>
          <w:rFonts w:asciiTheme="minorBidi" w:hAnsiTheme="minorBidi" w:cstheme="minorBidi"/>
          <w:noProof/>
          <w:lang w:val="bs-Latn-BA"/>
        </w:rPr>
        <w:t xml:space="preserve">Мөн тус албаны дарга нь цэргийн алба хаагч биш байх, дараах чиг үүргийг хэрэгжүүлэхээр тусгалаа. </w:t>
      </w:r>
    </w:p>
    <w:p w14:paraId="3D104439" w14:textId="77777777" w:rsidR="00B44273" w:rsidRPr="007C7DAE" w:rsidRDefault="00B44273" w:rsidP="00B44273">
      <w:pPr>
        <w:ind w:firstLine="700"/>
        <w:jc w:val="both"/>
        <w:rPr>
          <w:rFonts w:asciiTheme="minorBidi" w:hAnsiTheme="minorBidi" w:cstheme="minorBidi"/>
          <w:noProof/>
          <w:color w:val="000000" w:themeColor="text1"/>
          <w:szCs w:val="30"/>
          <w:shd w:val="clear" w:color="auto" w:fill="FFFFFF"/>
          <w:lang w:val="bs-Latn-BA" w:bidi="mn-Mong-CN"/>
        </w:rPr>
      </w:pPr>
    </w:p>
    <w:p w14:paraId="341605D1" w14:textId="77777777" w:rsidR="00B44273" w:rsidRPr="00163C21" w:rsidRDefault="00B44273" w:rsidP="00B44273">
      <w:pPr>
        <w:pStyle w:val="ListParagraph"/>
        <w:numPr>
          <w:ilvl w:val="0"/>
          <w:numId w:val="8"/>
        </w:numPr>
        <w:jc w:val="both"/>
        <w:rPr>
          <w:rFonts w:asciiTheme="minorBidi" w:hAnsiTheme="minorBidi" w:cstheme="minorBidi"/>
          <w:noProof/>
          <w:szCs w:val="30"/>
          <w:lang w:val="bs-Latn-BA" w:eastAsia="en-GB" w:bidi="mn-Mong-CN"/>
        </w:rPr>
      </w:pPr>
      <w:r w:rsidRPr="00163C21">
        <w:rPr>
          <w:rFonts w:asciiTheme="minorBidi" w:hAnsiTheme="minorBidi" w:cstheme="minorBidi"/>
          <w:noProof/>
          <w:lang w:val="bs-Latn-BA" w:eastAsia="en-GB"/>
        </w:rPr>
        <w:t>иргэний болон захиргааны хэргийн шүүхийн шийдвэр гүйцэтгэх албаны боловсон хүчний бодлого боловсруулах, алба хаагчийг сургаж бэлтгэх, мэдлэг чадварыг дээшлүүлэх арга хэмжээ авах</w:t>
      </w:r>
      <w:r w:rsidRPr="00163C21">
        <w:rPr>
          <w:rFonts w:asciiTheme="minorBidi" w:hAnsiTheme="minorBidi" w:cstheme="minorBidi"/>
          <w:noProof/>
          <w:szCs w:val="30"/>
          <w:lang w:val="bs-Latn-BA" w:eastAsia="en-GB" w:bidi="mn-Mong-CN"/>
        </w:rPr>
        <w:t>;</w:t>
      </w:r>
    </w:p>
    <w:p w14:paraId="4BE9E4DD" w14:textId="77777777" w:rsidR="00B44273" w:rsidRPr="00163C21" w:rsidRDefault="00B44273" w:rsidP="00B44273">
      <w:pPr>
        <w:ind w:firstLine="700"/>
        <w:jc w:val="both"/>
        <w:rPr>
          <w:rFonts w:asciiTheme="minorBidi" w:hAnsiTheme="minorBidi" w:cstheme="minorBidi"/>
          <w:noProof/>
          <w:szCs w:val="30"/>
          <w:lang w:val="bs-Latn-BA" w:eastAsia="en-GB" w:bidi="mn-Mong-CN"/>
        </w:rPr>
      </w:pPr>
    </w:p>
    <w:p w14:paraId="66FDC621" w14:textId="77777777" w:rsidR="00B44273" w:rsidRPr="00163C21" w:rsidRDefault="00B44273" w:rsidP="00B44273">
      <w:pPr>
        <w:pStyle w:val="ListParagraph"/>
        <w:numPr>
          <w:ilvl w:val="0"/>
          <w:numId w:val="8"/>
        </w:numPr>
        <w:jc w:val="both"/>
        <w:rPr>
          <w:rFonts w:asciiTheme="minorBidi" w:hAnsiTheme="minorBidi" w:cstheme="minorBidi"/>
          <w:noProof/>
          <w:szCs w:val="30"/>
          <w:lang w:val="bs-Latn-BA" w:eastAsia="en-GB" w:bidi="mn-Mong-CN"/>
        </w:rPr>
      </w:pPr>
      <w:r w:rsidRPr="00163C21">
        <w:rPr>
          <w:rFonts w:asciiTheme="minorBidi" w:hAnsiTheme="minorBidi" w:cstheme="minorBidi"/>
          <w:noProof/>
          <w:lang w:val="bs-Latn-BA" w:eastAsia="en-GB"/>
        </w:rPr>
        <w:t xml:space="preserve">иргэний болон захиргааны хэргийн шүүхийн шийдвэр гүйцэтгэх ажиллагааг шуурхай, үр дүнтэй болгоход чиглэсэн төлөвлөгөө, санал боловсруулж, хууль зүйн асуудал эрхэлсэн Засгийн газрын гишүүнд хүргүүлж, батлуулах, хэрэгжүүлэх, хэрэгжилтэд </w:t>
      </w:r>
      <w:r w:rsidRPr="00163C21">
        <w:rPr>
          <w:rFonts w:asciiTheme="minorBidi" w:hAnsiTheme="minorBidi" w:cstheme="minorBidi"/>
          <w:noProof/>
          <w:lang w:val="mn-MN" w:eastAsia="en-GB"/>
        </w:rPr>
        <w:t>хяналт тавих</w:t>
      </w:r>
      <w:r w:rsidRPr="00163C21">
        <w:rPr>
          <w:rFonts w:asciiTheme="minorBidi" w:hAnsiTheme="minorBidi" w:cstheme="minorBidi"/>
          <w:noProof/>
          <w:szCs w:val="30"/>
          <w:lang w:val="bs-Latn-BA" w:eastAsia="en-GB" w:bidi="mn-Mong-CN"/>
        </w:rPr>
        <w:t>;</w:t>
      </w:r>
    </w:p>
    <w:p w14:paraId="30A6C3A5" w14:textId="77777777" w:rsidR="00B44273" w:rsidRPr="00163C21" w:rsidRDefault="00B44273" w:rsidP="00B44273">
      <w:pPr>
        <w:ind w:firstLine="700"/>
        <w:jc w:val="both"/>
        <w:rPr>
          <w:rFonts w:asciiTheme="minorBidi" w:hAnsiTheme="minorBidi" w:cstheme="minorBidi"/>
          <w:noProof/>
          <w:szCs w:val="30"/>
          <w:lang w:val="bs-Latn-BA" w:eastAsia="en-GB" w:bidi="mn-Mong-CN"/>
        </w:rPr>
      </w:pPr>
    </w:p>
    <w:p w14:paraId="08AC5AC0" w14:textId="77777777" w:rsidR="00B44273" w:rsidRPr="00163C21" w:rsidRDefault="00B44273" w:rsidP="00B44273">
      <w:pPr>
        <w:pStyle w:val="ListParagraph"/>
        <w:numPr>
          <w:ilvl w:val="0"/>
          <w:numId w:val="8"/>
        </w:numPr>
        <w:jc w:val="both"/>
        <w:rPr>
          <w:rFonts w:asciiTheme="minorBidi" w:hAnsiTheme="minorBidi" w:cstheme="minorBidi"/>
          <w:noProof/>
          <w:szCs w:val="30"/>
          <w:lang w:val="bs-Latn-BA" w:eastAsia="en-GB" w:bidi="mn-Mong-CN"/>
        </w:rPr>
      </w:pPr>
      <w:r w:rsidRPr="00163C21">
        <w:rPr>
          <w:rFonts w:asciiTheme="minorBidi" w:hAnsiTheme="minorBidi" w:cstheme="minorBidi"/>
          <w:noProof/>
          <w:szCs w:val="30"/>
          <w:lang w:val="mn-MN" w:eastAsia="en-GB" w:bidi="mn-Mong-CN"/>
        </w:rPr>
        <w:t>иргэний шийдвэр гүйцэтгэгч, албаны бусад алба хаагчийг хуульд заасны дагуу томилж, чөлөөлөх, сэлгэх, шилжүүлэх</w:t>
      </w:r>
      <w:r w:rsidRPr="00163C21">
        <w:rPr>
          <w:rFonts w:asciiTheme="minorBidi" w:hAnsiTheme="minorBidi" w:cstheme="minorBidi"/>
          <w:noProof/>
          <w:szCs w:val="30"/>
          <w:lang w:val="bs-Latn-BA" w:eastAsia="en-GB" w:bidi="mn-Mong-CN"/>
        </w:rPr>
        <w:t>;</w:t>
      </w:r>
    </w:p>
    <w:p w14:paraId="57222801" w14:textId="77777777" w:rsidR="00B44273" w:rsidRPr="00163C21" w:rsidRDefault="00B44273" w:rsidP="00B44273">
      <w:pPr>
        <w:ind w:firstLine="700"/>
        <w:jc w:val="both"/>
        <w:rPr>
          <w:rFonts w:asciiTheme="minorBidi" w:hAnsiTheme="minorBidi" w:cstheme="minorBidi"/>
          <w:noProof/>
          <w:szCs w:val="30"/>
          <w:lang w:val="bs-Latn-BA" w:eastAsia="en-GB" w:bidi="mn-Mong-CN"/>
        </w:rPr>
      </w:pPr>
    </w:p>
    <w:p w14:paraId="5465874D" w14:textId="77777777" w:rsidR="00B44273" w:rsidRPr="00163C21" w:rsidRDefault="00B44273" w:rsidP="00B44273">
      <w:pPr>
        <w:pStyle w:val="ListParagraph"/>
        <w:numPr>
          <w:ilvl w:val="0"/>
          <w:numId w:val="8"/>
        </w:numPr>
        <w:jc w:val="both"/>
        <w:rPr>
          <w:rFonts w:asciiTheme="minorBidi" w:hAnsiTheme="minorBidi" w:cstheme="minorBidi"/>
          <w:noProof/>
          <w:szCs w:val="30"/>
          <w:lang w:val="mn-MN" w:eastAsia="en-GB" w:bidi="mn-Mong-CN"/>
        </w:rPr>
      </w:pPr>
      <w:r w:rsidRPr="00163C21">
        <w:rPr>
          <w:rFonts w:asciiTheme="minorBidi" w:hAnsiTheme="minorBidi" w:cstheme="minorBidi"/>
          <w:noProof/>
          <w:szCs w:val="30"/>
          <w:lang w:val="mn-MN" w:eastAsia="en-GB" w:bidi="mn-Mong-CN"/>
        </w:rPr>
        <w:t>иргэний шийдвэр гүйцэтгэгчийн сонгон шалгаруулалт зохион байгуулах;</w:t>
      </w:r>
    </w:p>
    <w:p w14:paraId="5604861D" w14:textId="77777777" w:rsidR="00B44273" w:rsidRPr="00163C21" w:rsidRDefault="00B44273" w:rsidP="00B44273">
      <w:pPr>
        <w:ind w:firstLine="1500"/>
        <w:jc w:val="both"/>
        <w:rPr>
          <w:rFonts w:asciiTheme="minorBidi" w:hAnsiTheme="minorBidi" w:cstheme="minorBidi"/>
          <w:noProof/>
          <w:szCs w:val="30"/>
          <w:lang w:val="mn-MN" w:bidi="mn-Mong-CN"/>
        </w:rPr>
      </w:pPr>
    </w:p>
    <w:p w14:paraId="0699EB05" w14:textId="77777777" w:rsidR="00B44273" w:rsidRPr="00163C21" w:rsidRDefault="00B44273" w:rsidP="00B44273">
      <w:pPr>
        <w:pStyle w:val="ListParagraph"/>
        <w:numPr>
          <w:ilvl w:val="0"/>
          <w:numId w:val="8"/>
        </w:numPr>
        <w:jc w:val="both"/>
        <w:rPr>
          <w:rFonts w:asciiTheme="minorBidi" w:hAnsiTheme="minorBidi" w:cstheme="minorBidi"/>
          <w:noProof/>
          <w:szCs w:val="30"/>
          <w:lang w:val="mn-MN" w:bidi="mn-Mong-CN"/>
        </w:rPr>
      </w:pPr>
      <w:r w:rsidRPr="00163C21">
        <w:rPr>
          <w:rFonts w:asciiTheme="minorBidi" w:hAnsiTheme="minorBidi" w:cstheme="minorBidi"/>
          <w:noProof/>
          <w:szCs w:val="30"/>
          <w:lang w:val="mn-MN" w:bidi="mn-Mong-CN"/>
        </w:rPr>
        <w:t>иргэний болон захиргааны хэргийн шүүхийн шийдвэр гүйцэтгэх тухай хуульд заасан урамшууллыг улирал бүр тус хуульд заасны дагуу хуваарилах, захиран зарцуулах;</w:t>
      </w:r>
    </w:p>
    <w:p w14:paraId="59D9C22E" w14:textId="77777777" w:rsidR="00B44273" w:rsidRPr="00163C21" w:rsidRDefault="00B44273" w:rsidP="00B44273">
      <w:pPr>
        <w:shd w:val="clear" w:color="auto" w:fill="FFFFFF"/>
        <w:jc w:val="both"/>
        <w:textAlignment w:val="top"/>
        <w:rPr>
          <w:rFonts w:asciiTheme="minorBidi" w:hAnsiTheme="minorBidi" w:cstheme="minorBidi"/>
          <w:noProof/>
          <w:szCs w:val="30"/>
          <w:lang w:val="mn-MN" w:bidi="mn-Mong-CN"/>
        </w:rPr>
      </w:pPr>
    </w:p>
    <w:p w14:paraId="11FB54BA" w14:textId="77777777" w:rsidR="00B44273" w:rsidRPr="00163C21" w:rsidRDefault="00B44273" w:rsidP="00B44273">
      <w:pPr>
        <w:pStyle w:val="ListParagraph"/>
        <w:numPr>
          <w:ilvl w:val="0"/>
          <w:numId w:val="8"/>
        </w:numPr>
        <w:shd w:val="clear" w:color="auto" w:fill="FFFFFF"/>
        <w:jc w:val="both"/>
        <w:textAlignment w:val="top"/>
        <w:rPr>
          <w:rFonts w:asciiTheme="minorBidi" w:hAnsiTheme="minorBidi" w:cstheme="minorBidi"/>
          <w:noProof/>
          <w:lang w:val="bs-Latn-BA"/>
        </w:rPr>
      </w:pPr>
      <w:r w:rsidRPr="00163C21">
        <w:rPr>
          <w:rFonts w:asciiTheme="minorBidi" w:hAnsiTheme="minorBidi" w:cstheme="minorBidi"/>
          <w:noProof/>
          <w:lang w:val="bs-Latn-BA"/>
        </w:rPr>
        <w:lastRenderedPageBreak/>
        <w:t>иргэний шийдвэр гүйцэтгэх албыг төлөөлж дотоод, гадаадын байгууллагатай харилцах;</w:t>
      </w:r>
    </w:p>
    <w:p w14:paraId="71EE1A44" w14:textId="77777777" w:rsidR="00B44273" w:rsidRPr="00163C21" w:rsidRDefault="00B44273" w:rsidP="00B44273">
      <w:pPr>
        <w:jc w:val="both"/>
        <w:rPr>
          <w:rFonts w:asciiTheme="minorBidi" w:hAnsiTheme="minorBidi" w:cstheme="minorBidi"/>
          <w:noProof/>
          <w:szCs w:val="30"/>
          <w:lang w:val="bs-Latn-BA" w:bidi="mn-Mong-CN"/>
        </w:rPr>
      </w:pPr>
    </w:p>
    <w:p w14:paraId="56729378" w14:textId="77777777" w:rsidR="00B44273" w:rsidRPr="001C1AA8" w:rsidRDefault="00B44273" w:rsidP="00B44273">
      <w:pPr>
        <w:pStyle w:val="NormalWeb"/>
        <w:jc w:val="center"/>
        <w:rPr>
          <w:rFonts w:ascii="Arial" w:hAnsi="Arial" w:cs="Arial"/>
          <w:b/>
          <w:noProof/>
          <w:lang w:val="bs-Latn-BA"/>
        </w:rPr>
      </w:pPr>
      <w:r>
        <w:rPr>
          <w:rFonts w:ascii="Arial" w:hAnsi="Arial" w:cs="Arial"/>
          <w:b/>
          <w:noProof/>
          <w:lang w:val="bs-Latn-BA"/>
        </w:rPr>
        <w:t>Дөрөвдүгээр</w:t>
      </w:r>
      <w:r w:rsidRPr="001C1AA8">
        <w:rPr>
          <w:rFonts w:ascii="Arial" w:hAnsi="Arial" w:cs="Arial"/>
          <w:b/>
          <w:noProof/>
          <w:lang w:val="bs-Latn-BA"/>
        </w:rPr>
        <w:t xml:space="preserve"> бүлэг</w:t>
      </w:r>
    </w:p>
    <w:p w14:paraId="04904AAC" w14:textId="77777777" w:rsidR="00B44273" w:rsidRPr="001C1AA8" w:rsidRDefault="00B44273" w:rsidP="00B44273">
      <w:pPr>
        <w:pStyle w:val="NormalWeb"/>
        <w:jc w:val="center"/>
        <w:rPr>
          <w:rFonts w:ascii="Arial" w:hAnsi="Arial" w:cs="Arial"/>
          <w:b/>
          <w:noProof/>
          <w:lang w:val="bs-Latn-BA"/>
        </w:rPr>
      </w:pPr>
      <w:r>
        <w:rPr>
          <w:rFonts w:ascii="Arial" w:hAnsi="Arial" w:cs="Arial"/>
          <w:b/>
          <w:noProof/>
          <w:lang w:val="bs-Latn-BA"/>
        </w:rPr>
        <w:t>Ш</w:t>
      </w:r>
      <w:r w:rsidRPr="001C1AA8">
        <w:rPr>
          <w:rFonts w:ascii="Arial" w:hAnsi="Arial" w:cs="Arial"/>
          <w:b/>
          <w:noProof/>
          <w:lang w:val="bs-Latn-BA"/>
        </w:rPr>
        <w:t>үүхийн шийдвэр гүйцэтгэх байгууллаг</w:t>
      </w:r>
      <w:r>
        <w:rPr>
          <w:rFonts w:ascii="Arial" w:hAnsi="Arial" w:cs="Arial"/>
          <w:b/>
          <w:noProof/>
          <w:lang w:val="bs-Latn-BA"/>
        </w:rPr>
        <w:t>а, иргэний шийдвэр гүйцэтгэх албаны</w:t>
      </w:r>
      <w:r w:rsidRPr="001C1AA8">
        <w:rPr>
          <w:rFonts w:ascii="Arial" w:hAnsi="Arial" w:cs="Arial"/>
          <w:b/>
          <w:noProof/>
          <w:lang w:val="bs-Latn-BA"/>
        </w:rPr>
        <w:t xml:space="preserve"> алба хаагчи</w:t>
      </w:r>
      <w:r>
        <w:rPr>
          <w:rFonts w:ascii="Arial" w:hAnsi="Arial" w:cs="Arial"/>
          <w:b/>
          <w:noProof/>
          <w:lang w:val="bs-Latn-BA"/>
        </w:rPr>
        <w:t>д тавигдах шаардлага</w:t>
      </w:r>
    </w:p>
    <w:p w14:paraId="2E8D676D" w14:textId="77777777" w:rsidR="00B44273" w:rsidRPr="001C1AA8" w:rsidRDefault="00B44273" w:rsidP="00B44273">
      <w:pPr>
        <w:pStyle w:val="NormalWeb"/>
        <w:jc w:val="center"/>
        <w:rPr>
          <w:rFonts w:ascii="Arial" w:hAnsi="Arial" w:cs="Arial"/>
          <w:b/>
          <w:noProof/>
          <w:lang w:val="bs-Latn-BA"/>
        </w:rPr>
      </w:pPr>
    </w:p>
    <w:p w14:paraId="01C58A42" w14:textId="77777777" w:rsidR="00B44273" w:rsidRPr="00163C21" w:rsidRDefault="00B44273" w:rsidP="00B44273">
      <w:pPr>
        <w:pStyle w:val="NormalWeb"/>
        <w:jc w:val="both"/>
        <w:rPr>
          <w:rFonts w:ascii="Arial" w:hAnsi="Arial" w:cs="Arial"/>
          <w:bCs/>
          <w:noProof/>
          <w:lang w:val="bs-Latn-BA"/>
        </w:rPr>
      </w:pPr>
      <w:r>
        <w:rPr>
          <w:rFonts w:ascii="Arial" w:hAnsi="Arial" w:cs="Arial"/>
          <w:b/>
          <w:noProof/>
          <w:lang w:val="bs-Latn-BA"/>
        </w:rPr>
        <w:tab/>
      </w:r>
      <w:r w:rsidRPr="00163C21">
        <w:rPr>
          <w:rFonts w:ascii="Arial" w:hAnsi="Arial" w:cs="Arial"/>
          <w:bCs/>
          <w:noProof/>
          <w:lang w:val="bs-Latn-BA"/>
        </w:rPr>
        <w:t xml:space="preserve">Энэ бүлэгт иргэний шийдвэр гүйцэтгэгч, эрүү, зөрчлийн шийдвэр гүйцэтгэгчид тавигдах шаардлагыг ажиллагааны онцлог бүрд нь тохирсон байдлаар хуульчиллаа. </w:t>
      </w:r>
      <w:r>
        <w:rPr>
          <w:rFonts w:ascii="Arial" w:hAnsi="Arial" w:cs="Arial"/>
          <w:bCs/>
          <w:noProof/>
          <w:lang w:val="bs-Latn-BA"/>
        </w:rPr>
        <w:t xml:space="preserve">Иргэний шийдвэр гүйцэтгэгчийг мөн сонгон шалгаруулалтаар өрсөлдүүлж, иргэний шийдвэр гүйцэтгэлийн албаны дарга томилохоор тусгасан. </w:t>
      </w:r>
    </w:p>
    <w:p w14:paraId="1255A84C" w14:textId="77777777" w:rsidR="00B44273" w:rsidRDefault="00B44273" w:rsidP="00B44273">
      <w:pPr>
        <w:pStyle w:val="NormalWeb"/>
        <w:jc w:val="center"/>
        <w:rPr>
          <w:rFonts w:ascii="Arial" w:hAnsi="Arial" w:cs="Arial"/>
          <w:b/>
          <w:noProof/>
          <w:lang w:val="bs-Latn-BA"/>
        </w:rPr>
      </w:pPr>
    </w:p>
    <w:p w14:paraId="7B26266D" w14:textId="77777777" w:rsidR="00B44273" w:rsidRPr="001C1AA8" w:rsidRDefault="00B44273" w:rsidP="00B44273">
      <w:pPr>
        <w:pStyle w:val="NormalWeb"/>
        <w:jc w:val="center"/>
        <w:rPr>
          <w:rFonts w:ascii="Arial" w:hAnsi="Arial" w:cs="Arial"/>
          <w:b/>
          <w:noProof/>
          <w:lang w:val="bs-Latn-BA"/>
        </w:rPr>
      </w:pPr>
      <w:r>
        <w:rPr>
          <w:rFonts w:ascii="Arial" w:hAnsi="Arial" w:cs="Arial"/>
          <w:b/>
          <w:noProof/>
          <w:lang w:val="bs-Latn-BA"/>
        </w:rPr>
        <w:t>Тавдугаар</w:t>
      </w:r>
      <w:r w:rsidRPr="001C1AA8">
        <w:rPr>
          <w:rFonts w:ascii="Arial" w:hAnsi="Arial" w:cs="Arial"/>
          <w:b/>
          <w:noProof/>
          <w:lang w:val="bs-Latn-BA"/>
        </w:rPr>
        <w:t xml:space="preserve"> бүлэг</w:t>
      </w:r>
    </w:p>
    <w:p w14:paraId="019D2AFF" w14:textId="77777777" w:rsidR="00B44273" w:rsidRDefault="00B44273" w:rsidP="00B44273">
      <w:pPr>
        <w:pStyle w:val="NormalWeb"/>
        <w:jc w:val="center"/>
        <w:rPr>
          <w:b/>
          <w:bCs/>
          <w:noProof/>
          <w:color w:val="000000" w:themeColor="text1"/>
          <w:shd w:val="clear" w:color="auto" w:fill="FFFFFF"/>
          <w:lang w:val="bs-Latn-BA"/>
        </w:rPr>
      </w:pPr>
      <w:r>
        <w:rPr>
          <w:rFonts w:ascii="Arial" w:hAnsi="Arial" w:cs="Arial"/>
          <w:b/>
          <w:noProof/>
          <w:lang w:val="bs-Latn-BA"/>
        </w:rPr>
        <w:t>Ш</w:t>
      </w:r>
      <w:r w:rsidRPr="001C1AA8">
        <w:rPr>
          <w:rFonts w:ascii="Arial" w:hAnsi="Arial" w:cs="Arial"/>
          <w:b/>
          <w:noProof/>
          <w:lang w:val="bs-Latn-BA"/>
        </w:rPr>
        <w:t>үүхийн шийдвэр гүйцэтгэх байгууллаг</w:t>
      </w:r>
      <w:r>
        <w:rPr>
          <w:rFonts w:ascii="Arial" w:hAnsi="Arial" w:cs="Arial"/>
          <w:b/>
          <w:noProof/>
          <w:lang w:val="bs-Latn-BA"/>
        </w:rPr>
        <w:t>а, иргэний шийдвэр гүйцэтгэх албаны</w:t>
      </w:r>
      <w:r w:rsidRPr="001C1AA8">
        <w:rPr>
          <w:rFonts w:ascii="Arial" w:hAnsi="Arial" w:cs="Arial"/>
          <w:b/>
          <w:noProof/>
          <w:lang w:val="bs-Latn-BA"/>
        </w:rPr>
        <w:t xml:space="preserve"> алба хаагчи</w:t>
      </w:r>
      <w:r>
        <w:rPr>
          <w:rFonts w:ascii="Arial" w:hAnsi="Arial" w:cs="Arial"/>
          <w:b/>
          <w:noProof/>
          <w:lang w:val="bs-Latn-BA"/>
        </w:rPr>
        <w:t>йн эрх зүйн байдал</w:t>
      </w:r>
    </w:p>
    <w:p w14:paraId="058734CF" w14:textId="77777777" w:rsidR="00B44273" w:rsidRDefault="00B44273" w:rsidP="00B44273">
      <w:pPr>
        <w:jc w:val="both"/>
        <w:rPr>
          <w:b/>
          <w:bCs/>
          <w:noProof/>
          <w:lang w:val="bs-Latn-BA"/>
        </w:rPr>
      </w:pPr>
    </w:p>
    <w:p w14:paraId="2F019735" w14:textId="77777777" w:rsidR="00B44273" w:rsidRPr="00163C21" w:rsidRDefault="00B44273" w:rsidP="00B44273">
      <w:pPr>
        <w:ind w:firstLine="567"/>
        <w:jc w:val="both"/>
        <w:rPr>
          <w:rFonts w:asciiTheme="minorBidi" w:hAnsiTheme="minorBidi" w:cstheme="minorBidi"/>
          <w:noProof/>
          <w:color w:val="000000" w:themeColor="text1"/>
          <w:shd w:val="clear" w:color="auto" w:fill="FFFFFF"/>
          <w:lang w:val="bs-Latn-BA"/>
        </w:rPr>
      </w:pPr>
      <w:r w:rsidRPr="00163C21">
        <w:rPr>
          <w:rFonts w:asciiTheme="minorBidi" w:hAnsiTheme="minorBidi" w:cstheme="minorBidi"/>
          <w:noProof/>
          <w:lang w:val="bs-Latn-BA"/>
        </w:rPr>
        <w:t>Энэ бүлэгт алба хаагчийн эрх зүйн байдлыг иргэний шийдвэр гүйцэтгэгч, эрүү, зөрчлийн шийдвэр гүйцэтгэгчид ялгаатай байдлаар тусгаж, алба хаагчийн нийгмийн баталгааг нарийвчлан тусгасан.</w:t>
      </w:r>
      <w:r w:rsidRPr="00163C21">
        <w:rPr>
          <w:rFonts w:asciiTheme="minorBidi" w:hAnsiTheme="minorBidi" w:cstheme="minorBidi"/>
          <w:noProof/>
          <w:lang w:val="bs-Latn-BA"/>
        </w:rPr>
        <w:tab/>
      </w:r>
    </w:p>
    <w:p w14:paraId="6B129F74" w14:textId="77777777" w:rsidR="00B44273" w:rsidRDefault="00B44273" w:rsidP="00B44273">
      <w:pPr>
        <w:pStyle w:val="NormalWeb"/>
        <w:shd w:val="clear" w:color="auto" w:fill="FFFFFF"/>
        <w:ind w:firstLine="567"/>
        <w:jc w:val="center"/>
        <w:rPr>
          <w:rFonts w:ascii="Arial" w:hAnsi="Arial" w:cs="Arial"/>
          <w:b/>
          <w:bCs/>
          <w:caps/>
          <w:noProof/>
          <w:lang w:val="bs-Latn-BA"/>
        </w:rPr>
      </w:pPr>
    </w:p>
    <w:p w14:paraId="447C25D4" w14:textId="77777777" w:rsidR="00B44273" w:rsidRPr="001C1AA8" w:rsidRDefault="00B44273" w:rsidP="00B44273">
      <w:pPr>
        <w:pStyle w:val="NormalWeb"/>
        <w:shd w:val="clear" w:color="auto" w:fill="FFFFFF"/>
        <w:ind w:firstLine="567"/>
        <w:jc w:val="center"/>
        <w:rPr>
          <w:rFonts w:ascii="Arial" w:hAnsi="Arial" w:cs="Arial"/>
          <w:b/>
          <w:bCs/>
          <w:caps/>
          <w:noProof/>
          <w:lang w:val="bs-Latn-BA"/>
        </w:rPr>
      </w:pPr>
      <w:r>
        <w:rPr>
          <w:rFonts w:ascii="Arial" w:hAnsi="Arial" w:cs="Arial"/>
          <w:b/>
          <w:bCs/>
          <w:noProof/>
          <w:lang w:val="bs-Latn-BA"/>
        </w:rPr>
        <w:t>Зурга</w:t>
      </w:r>
      <w:r w:rsidRPr="001C1AA8">
        <w:rPr>
          <w:rFonts w:ascii="Arial" w:hAnsi="Arial" w:cs="Arial"/>
          <w:b/>
          <w:bCs/>
          <w:noProof/>
          <w:lang w:val="bs-Latn-BA"/>
        </w:rPr>
        <w:t>дугаар бүлэг</w:t>
      </w:r>
    </w:p>
    <w:p w14:paraId="69C421D6" w14:textId="77777777" w:rsidR="00B44273" w:rsidRPr="001C1AA8" w:rsidRDefault="00B44273" w:rsidP="00B44273">
      <w:pPr>
        <w:pStyle w:val="NormalWeb"/>
        <w:shd w:val="clear" w:color="auto" w:fill="FFFFFF"/>
        <w:jc w:val="center"/>
        <w:rPr>
          <w:rFonts w:ascii="Arial" w:hAnsi="Arial" w:cs="Arial"/>
          <w:b/>
          <w:bCs/>
          <w:noProof/>
          <w:lang w:val="bs-Latn-BA"/>
        </w:rPr>
      </w:pPr>
      <w:r>
        <w:rPr>
          <w:rFonts w:ascii="Arial" w:hAnsi="Arial" w:cs="Arial"/>
          <w:b/>
          <w:bCs/>
          <w:noProof/>
          <w:lang w:val="bs-Latn-BA"/>
        </w:rPr>
        <w:t>Ш</w:t>
      </w:r>
      <w:r w:rsidRPr="001C1AA8">
        <w:rPr>
          <w:rFonts w:ascii="Arial" w:hAnsi="Arial" w:cs="Arial"/>
          <w:b/>
          <w:bCs/>
          <w:noProof/>
          <w:lang w:val="bs-Latn-BA"/>
        </w:rPr>
        <w:t>үүхийн шийдвэр гүйцэтгэх байгууллаг</w:t>
      </w:r>
      <w:r>
        <w:rPr>
          <w:rFonts w:ascii="Arial" w:hAnsi="Arial" w:cs="Arial"/>
          <w:b/>
          <w:bCs/>
          <w:noProof/>
          <w:lang w:val="bs-Latn-BA"/>
        </w:rPr>
        <w:t>ын</w:t>
      </w:r>
      <w:r w:rsidRPr="001C1AA8">
        <w:rPr>
          <w:rFonts w:ascii="Arial" w:hAnsi="Arial" w:cs="Arial"/>
          <w:b/>
          <w:bCs/>
          <w:noProof/>
          <w:lang w:val="bs-Latn-BA"/>
        </w:rPr>
        <w:t xml:space="preserve"> </w:t>
      </w:r>
    </w:p>
    <w:p w14:paraId="2452F732" w14:textId="77777777" w:rsidR="00B44273" w:rsidRPr="001C1AA8" w:rsidRDefault="00B44273" w:rsidP="00B44273">
      <w:pPr>
        <w:pStyle w:val="NormalWeb"/>
        <w:shd w:val="clear" w:color="auto" w:fill="FFFFFF"/>
        <w:jc w:val="center"/>
        <w:rPr>
          <w:rFonts w:ascii="Arial" w:hAnsi="Arial" w:cs="Arial"/>
          <w:b/>
          <w:bCs/>
          <w:noProof/>
          <w:lang w:val="bs-Latn-BA"/>
        </w:rPr>
      </w:pPr>
      <w:r w:rsidRPr="001C1AA8">
        <w:rPr>
          <w:rFonts w:ascii="Arial" w:hAnsi="Arial" w:cs="Arial"/>
          <w:b/>
          <w:bCs/>
          <w:noProof/>
          <w:lang w:val="bs-Latn-BA"/>
        </w:rPr>
        <w:t>төсөв, данс бүртгэл</w:t>
      </w:r>
    </w:p>
    <w:p w14:paraId="1DE1F496" w14:textId="77777777" w:rsidR="00B44273" w:rsidRPr="00163C21" w:rsidRDefault="00B44273" w:rsidP="00B44273">
      <w:pPr>
        <w:pStyle w:val="NormalWeb"/>
        <w:shd w:val="clear" w:color="auto" w:fill="FFFFFF"/>
        <w:jc w:val="center"/>
        <w:rPr>
          <w:rFonts w:asciiTheme="minorBidi" w:hAnsiTheme="minorBidi" w:cstheme="minorBidi"/>
          <w:b/>
          <w:bCs/>
          <w:noProof/>
          <w:lang w:val="bs-Latn-BA"/>
        </w:rPr>
      </w:pPr>
    </w:p>
    <w:p w14:paraId="0070D38C" w14:textId="77777777" w:rsidR="00B44273" w:rsidRPr="00163C21" w:rsidRDefault="00B44273" w:rsidP="00B44273">
      <w:pPr>
        <w:ind w:firstLine="709"/>
        <w:jc w:val="both"/>
        <w:rPr>
          <w:rFonts w:asciiTheme="minorBidi" w:hAnsiTheme="minorBidi" w:cstheme="minorBidi"/>
          <w:bCs/>
          <w:noProof/>
          <w:lang w:val="bs-Latn-BA" w:bidi="mn-Mong-CN"/>
        </w:rPr>
      </w:pPr>
      <w:r w:rsidRPr="00163C21">
        <w:rPr>
          <w:rFonts w:asciiTheme="minorBidi" w:hAnsiTheme="minorBidi" w:cstheme="minorBidi"/>
          <w:bCs/>
          <w:noProof/>
          <w:lang w:val="bs-Latn-BA" w:bidi="mn-Mong-CN"/>
        </w:rPr>
        <w:t xml:space="preserve">Энэ бүлэгт байгууллагын данс, төсвийн талаар тусгаж, шийдвэр гүйцэтгэх ажиллагаа бүхэлдээ улсын төсвөөс санхүүжих ч иргэний шийдвэр гүйцэтгэх албаны хувьд урамшууллын 30 хувиар сургалт, цахим систем зэргийг зохион байгуулах, 70 хувийг алба хаагчдаа хуваарилах байдлаар тусгасан. </w:t>
      </w:r>
    </w:p>
    <w:p w14:paraId="0370460E" w14:textId="77777777" w:rsidR="00B44273" w:rsidRDefault="00B44273" w:rsidP="00B44273">
      <w:pPr>
        <w:shd w:val="clear" w:color="auto" w:fill="FFFFFF"/>
        <w:ind w:left="720" w:hanging="720"/>
        <w:jc w:val="center"/>
        <w:rPr>
          <w:b/>
          <w:bCs/>
          <w:noProof/>
          <w:color w:val="000000" w:themeColor="text1"/>
          <w:lang w:val="bs-Latn-BA"/>
        </w:rPr>
      </w:pPr>
    </w:p>
    <w:p w14:paraId="053C304D" w14:textId="77777777" w:rsidR="00B44273" w:rsidRPr="00163C21" w:rsidRDefault="00B44273" w:rsidP="00B44273">
      <w:pPr>
        <w:shd w:val="clear" w:color="auto" w:fill="FFFFFF"/>
        <w:ind w:left="720" w:hanging="720"/>
        <w:jc w:val="center"/>
        <w:rPr>
          <w:rFonts w:asciiTheme="minorBidi" w:hAnsiTheme="minorBidi" w:cstheme="minorBidi"/>
          <w:b/>
          <w:bCs/>
          <w:noProof/>
          <w:color w:val="000000" w:themeColor="text1"/>
          <w:lang w:val="bs-Latn-BA"/>
        </w:rPr>
      </w:pPr>
      <w:r w:rsidRPr="00163C21">
        <w:rPr>
          <w:rFonts w:asciiTheme="minorBidi" w:hAnsiTheme="minorBidi" w:cstheme="minorBidi"/>
          <w:b/>
          <w:bCs/>
          <w:noProof/>
          <w:color w:val="000000" w:themeColor="text1"/>
          <w:lang w:val="bs-Latn-BA"/>
        </w:rPr>
        <w:t>Долдугаар бүлэг</w:t>
      </w:r>
    </w:p>
    <w:p w14:paraId="7115B532" w14:textId="77777777" w:rsidR="00B44273" w:rsidRPr="00163C21" w:rsidRDefault="00B44273" w:rsidP="00B44273">
      <w:pPr>
        <w:shd w:val="clear" w:color="auto" w:fill="FFFFFF"/>
        <w:jc w:val="center"/>
        <w:rPr>
          <w:rFonts w:asciiTheme="minorBidi" w:hAnsiTheme="minorBidi" w:cstheme="minorBidi"/>
          <w:b/>
          <w:bCs/>
          <w:noProof/>
          <w:color w:val="000000" w:themeColor="text1"/>
          <w:lang w:val="bs-Latn-BA"/>
        </w:rPr>
      </w:pPr>
      <w:r w:rsidRPr="00163C21">
        <w:rPr>
          <w:rFonts w:asciiTheme="minorBidi" w:hAnsiTheme="minorBidi" w:cstheme="minorBidi"/>
          <w:b/>
          <w:bCs/>
          <w:noProof/>
          <w:color w:val="000000" w:themeColor="text1"/>
          <w:lang w:val="bs-Latn-BA"/>
        </w:rPr>
        <w:t>Бусад</w:t>
      </w:r>
      <w:r w:rsidRPr="00163C21">
        <w:rPr>
          <w:rFonts w:asciiTheme="minorBidi" w:hAnsiTheme="minorBidi" w:cstheme="minorBidi"/>
          <w:noProof/>
          <w:color w:val="000000" w:themeColor="text1"/>
          <w:lang w:val="bs-Latn-BA"/>
        </w:rPr>
        <w:t xml:space="preserve"> </w:t>
      </w:r>
    </w:p>
    <w:p w14:paraId="68D53B12" w14:textId="77777777" w:rsidR="00B44273" w:rsidRPr="00DF2A6B" w:rsidRDefault="00B44273" w:rsidP="00B44273">
      <w:pPr>
        <w:shd w:val="clear" w:color="auto" w:fill="FFFFFF"/>
        <w:spacing w:line="300" w:lineRule="atLeast"/>
        <w:ind w:firstLine="720"/>
        <w:jc w:val="both"/>
        <w:rPr>
          <w:rFonts w:ascii="Arial" w:hAnsi="Arial" w:cs="Arial"/>
          <w:color w:val="000000" w:themeColor="text1"/>
          <w:lang w:val="sq-AL"/>
        </w:rPr>
      </w:pPr>
      <w:r w:rsidRPr="00DF2A6B">
        <w:rPr>
          <w:rFonts w:ascii="Arial" w:hAnsi="Arial" w:cs="Arial"/>
          <w:color w:val="000000" w:themeColor="text1"/>
          <w:lang w:val="sq-AL"/>
        </w:rPr>
        <w:t xml:space="preserve">Энэ бүлэгт уг хуулийг зөрчсөн этгээдэд хүлээлгэх хариуцлага, хууль хүчин төгөлдөр болох хугацааг тусгалаа. </w:t>
      </w:r>
    </w:p>
    <w:p w14:paraId="57480C50" w14:textId="77777777" w:rsidR="00B44273" w:rsidRPr="001C1AA8" w:rsidRDefault="00B44273" w:rsidP="00B44273">
      <w:pPr>
        <w:rPr>
          <w:noProof/>
          <w:lang w:val="bs-Latn-BA"/>
        </w:rPr>
      </w:pPr>
    </w:p>
    <w:p w14:paraId="020D2CB0" w14:textId="77777777" w:rsidR="00B44273" w:rsidRDefault="00B44273" w:rsidP="00B44273">
      <w:pPr>
        <w:ind w:firstLine="720"/>
        <w:jc w:val="both"/>
        <w:rPr>
          <w:rFonts w:asciiTheme="minorBidi" w:hAnsiTheme="minorBidi" w:cstheme="minorBidi"/>
          <w:noProof/>
          <w:lang w:val="mn-MN"/>
        </w:rPr>
      </w:pPr>
    </w:p>
    <w:p w14:paraId="74345E3D" w14:textId="77777777" w:rsidR="0039500B" w:rsidRPr="009844F9" w:rsidRDefault="0039500B" w:rsidP="0039500B">
      <w:pPr>
        <w:ind w:firstLine="567"/>
        <w:jc w:val="center"/>
        <w:rPr>
          <w:rFonts w:ascii="Arial" w:hAnsi="Arial" w:cs="Arial"/>
          <w:color w:val="000000" w:themeColor="text1"/>
          <w:lang w:val="mn-MN"/>
        </w:rPr>
      </w:pPr>
      <w:r w:rsidRPr="00074ED6">
        <w:rPr>
          <w:rFonts w:ascii="Arial" w:hAnsi="Arial" w:cs="Arial"/>
          <w:color w:val="000000" w:themeColor="text1"/>
          <w:lang w:val="mn-MN"/>
        </w:rPr>
        <w:t>---оОо---</w:t>
      </w:r>
    </w:p>
    <w:p w14:paraId="66DAC848" w14:textId="77777777" w:rsidR="00B44273" w:rsidRPr="007C7DAE" w:rsidRDefault="00B44273" w:rsidP="00B44273">
      <w:pPr>
        <w:ind w:firstLine="720"/>
        <w:jc w:val="both"/>
        <w:rPr>
          <w:rFonts w:asciiTheme="minorBidi" w:hAnsiTheme="minorBidi" w:cstheme="minorBidi"/>
          <w:lang w:val="mn-MN"/>
        </w:rPr>
      </w:pPr>
    </w:p>
    <w:p w14:paraId="2954965F" w14:textId="77777777" w:rsidR="00C26315" w:rsidRDefault="00C26315"/>
    <w:sectPr w:rsidR="00C26315" w:rsidSect="00E8074F">
      <w:footerReference w:type="default" r:id="rId7"/>
      <w:pgSz w:w="11906" w:h="16838"/>
      <w:pgMar w:top="1134" w:right="851"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40E59" w14:textId="77777777" w:rsidR="002204D3" w:rsidRDefault="002204D3" w:rsidP="00B44273">
      <w:r>
        <w:separator/>
      </w:r>
    </w:p>
  </w:endnote>
  <w:endnote w:type="continuationSeparator" w:id="0">
    <w:p w14:paraId="76FB7A7B" w14:textId="77777777" w:rsidR="002204D3" w:rsidRDefault="002204D3" w:rsidP="00B44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charset w:val="01"/>
    <w:family w:val="modern"/>
    <w:pitch w:val="fixed"/>
  </w:font>
  <w:font w:name="Noto Sans Mono CJK SC">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775110"/>
      <w:docPartObj>
        <w:docPartGallery w:val="Page Numbers (Bottom of Page)"/>
        <w:docPartUnique/>
      </w:docPartObj>
    </w:sdtPr>
    <w:sdtEndPr>
      <w:rPr>
        <w:noProof/>
      </w:rPr>
    </w:sdtEndPr>
    <w:sdtContent>
      <w:p w14:paraId="79364F50" w14:textId="0645690C" w:rsidR="00B44273" w:rsidRDefault="00B442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EBB026" w14:textId="77777777" w:rsidR="00B44273" w:rsidRDefault="00B44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6781E" w14:textId="77777777" w:rsidR="002204D3" w:rsidRDefault="002204D3" w:rsidP="00B44273">
      <w:r>
        <w:separator/>
      </w:r>
    </w:p>
  </w:footnote>
  <w:footnote w:type="continuationSeparator" w:id="0">
    <w:p w14:paraId="41C0C43D" w14:textId="77777777" w:rsidR="002204D3" w:rsidRDefault="002204D3" w:rsidP="00B44273">
      <w:r>
        <w:continuationSeparator/>
      </w:r>
    </w:p>
  </w:footnote>
  <w:footnote w:id="1">
    <w:p w14:paraId="7F57C472" w14:textId="77777777" w:rsidR="00B44273" w:rsidRPr="00DF6BE6" w:rsidRDefault="00B44273" w:rsidP="00B44273">
      <w:pPr>
        <w:pStyle w:val="FootnoteText"/>
        <w:jc w:val="both"/>
        <w:rPr>
          <w:rFonts w:ascii="Arial" w:hAnsi="Arial" w:cs="Arial"/>
          <w:szCs w:val="25"/>
          <w:lang w:val="en-US" w:bidi="mn-Mong-CN"/>
        </w:rPr>
      </w:pPr>
      <w:r w:rsidRPr="00DF6BE6">
        <w:rPr>
          <w:rStyle w:val="FootnoteReference"/>
          <w:rFonts w:ascii="Arial" w:hAnsi="Arial" w:cs="Arial"/>
        </w:rPr>
        <w:footnoteRef/>
      </w:r>
      <w:r w:rsidRPr="00DF6BE6">
        <w:rPr>
          <w:rFonts w:ascii="Arial" w:hAnsi="Arial" w:cs="Arial"/>
        </w:rPr>
        <w:t xml:space="preserve"> </w:t>
      </w:r>
      <w:r w:rsidRPr="00DF6BE6">
        <w:rPr>
          <w:rFonts w:ascii="Arial" w:hAnsi="Arial" w:cs="Arial"/>
          <w:lang w:val="mn-MN"/>
        </w:rPr>
        <w:t xml:space="preserve">Монгол Улсын Үндсэн хууль </w:t>
      </w:r>
      <w:r w:rsidRPr="00DF6BE6">
        <w:rPr>
          <w:rFonts w:ascii="Arial" w:hAnsi="Arial" w:cs="Arial"/>
          <w:szCs w:val="25"/>
          <w:lang w:val="en-US" w:bidi="mn-Mong-CN"/>
        </w:rPr>
        <w:t>“</w:t>
      </w:r>
      <w:r w:rsidRPr="00DF6BE6">
        <w:rPr>
          <w:rFonts w:ascii="Arial" w:hAnsi="Arial" w:cs="Arial"/>
          <w:szCs w:val="25"/>
          <w:lang w:val="mn-MN" w:bidi="mn-Mong-CN"/>
        </w:rPr>
        <w:t>Төрийн мэдээлэл</w:t>
      </w:r>
      <w:r w:rsidRPr="00DF6BE6">
        <w:rPr>
          <w:rFonts w:ascii="Arial" w:hAnsi="Arial" w:cs="Arial"/>
          <w:szCs w:val="25"/>
          <w:lang w:val="en-US" w:bidi="mn-Mong-CN"/>
        </w:rPr>
        <w:t xml:space="preserve">” эмхэтгэлийн 1992 оны 1 дугаарт нийтлэгдсэн. </w:t>
      </w:r>
    </w:p>
  </w:footnote>
  <w:footnote w:id="2">
    <w:p w14:paraId="5F2F7E6C" w14:textId="77777777" w:rsidR="00B44273" w:rsidRPr="004D7E03" w:rsidRDefault="00B44273" w:rsidP="00B44273">
      <w:pPr>
        <w:pStyle w:val="FootnoteText"/>
        <w:jc w:val="both"/>
        <w:rPr>
          <w:rFonts w:ascii="Arial" w:hAnsi="Arial" w:cs="Arial"/>
          <w:lang w:val="mn-MN"/>
        </w:rPr>
      </w:pPr>
      <w:r w:rsidRPr="004D7E03">
        <w:rPr>
          <w:rStyle w:val="FootnoteReference"/>
          <w:rFonts w:ascii="Arial" w:hAnsi="Arial" w:cs="Arial"/>
        </w:rPr>
        <w:footnoteRef/>
      </w:r>
      <w:r w:rsidRPr="004D7E03">
        <w:rPr>
          <w:rFonts w:ascii="Arial" w:hAnsi="Arial" w:cs="Arial"/>
          <w:lang w:val="mn-MN"/>
        </w:rPr>
        <w:t xml:space="preserve"> </w:t>
      </w:r>
      <w:r w:rsidRPr="004D7E03">
        <w:rPr>
          <w:rFonts w:ascii="Arial" w:hAnsi="Arial" w:cs="Arial"/>
          <w:lang w:val="mn-MN"/>
        </w:rPr>
        <w:t>ХЗДХС-ын Шийдвэр гүйцэтгэх ажиллагаа явуулах тойргийн тоо тогтоох тухай 2021 оны А/293 тоот тушаал.</w:t>
      </w:r>
    </w:p>
  </w:footnote>
  <w:footnote w:id="3">
    <w:p w14:paraId="3C11D631" w14:textId="77777777" w:rsidR="00B44273" w:rsidRPr="004D7E03" w:rsidRDefault="00B44273" w:rsidP="00B44273">
      <w:pPr>
        <w:pStyle w:val="FootnoteText"/>
        <w:jc w:val="both"/>
        <w:rPr>
          <w:rFonts w:ascii="Arial" w:hAnsi="Arial" w:cs="Arial"/>
          <w:lang w:val="mn-MN"/>
        </w:rPr>
      </w:pPr>
      <w:r w:rsidRPr="004D7E03">
        <w:rPr>
          <w:rStyle w:val="FootnoteReference"/>
          <w:rFonts w:ascii="Arial" w:hAnsi="Arial" w:cs="Arial"/>
        </w:rPr>
        <w:footnoteRef/>
      </w:r>
      <w:r w:rsidRPr="004D7E03">
        <w:rPr>
          <w:rFonts w:ascii="Arial" w:hAnsi="Arial" w:cs="Arial"/>
          <w:lang w:val="mn-MN"/>
        </w:rPr>
        <w:t xml:space="preserve"> </w:t>
      </w:r>
      <w:r w:rsidRPr="004D7E03">
        <w:rPr>
          <w:rFonts w:ascii="Arial" w:hAnsi="Arial" w:cs="Arial"/>
          <w:lang w:val="mn-MN"/>
        </w:rPr>
        <w:t>ХЗДХС-ын Шийдвэр гүйцэтгэх ажиллагаа явуулах тойргийн тоо тогтоох тухай 2025 оны А/23 тоот тушаал.</w:t>
      </w:r>
    </w:p>
  </w:footnote>
  <w:footnote w:id="4">
    <w:p w14:paraId="1352F14B" w14:textId="77777777" w:rsidR="00B44273" w:rsidRPr="004D7E03" w:rsidRDefault="00B44273" w:rsidP="00B44273">
      <w:pPr>
        <w:jc w:val="both"/>
        <w:rPr>
          <w:rFonts w:ascii="Arial" w:eastAsia="Calibri" w:hAnsi="Arial" w:cs="Arial"/>
          <w:noProof/>
          <w:sz w:val="20"/>
          <w:szCs w:val="20"/>
          <w:shd w:val="clear" w:color="auto" w:fill="FFFFFF"/>
          <w:lang w:val="mn-MN" w:eastAsia="en-GB"/>
        </w:rPr>
      </w:pPr>
      <w:r w:rsidRPr="004D7E03">
        <w:rPr>
          <w:rStyle w:val="FootnoteReference"/>
          <w:rFonts w:ascii="Arial" w:eastAsiaTheme="majorEastAsia" w:hAnsi="Arial" w:cs="Arial"/>
          <w:sz w:val="20"/>
          <w:szCs w:val="20"/>
        </w:rPr>
        <w:footnoteRef/>
      </w:r>
      <w:r w:rsidRPr="003F48C8">
        <w:rPr>
          <w:rFonts w:ascii="Arial" w:hAnsi="Arial" w:cs="Arial"/>
          <w:sz w:val="20"/>
          <w:szCs w:val="20"/>
          <w:lang w:val="mn-MN"/>
        </w:rPr>
        <w:t xml:space="preserve"> </w:t>
      </w:r>
      <w:r w:rsidRPr="004D7E03">
        <w:rPr>
          <w:rFonts w:ascii="Arial" w:eastAsia="MS Mincho" w:hAnsi="Arial" w:cs="Arial"/>
          <w:noProof/>
          <w:color w:val="000000"/>
          <w:sz w:val="20"/>
          <w:szCs w:val="20"/>
          <w:lang w:val="bg-BG"/>
        </w:rPr>
        <w:t>З</w:t>
      </w:r>
      <w:r w:rsidRPr="004D7E03">
        <w:rPr>
          <w:rFonts w:ascii="Arial" w:eastAsia="MS Mincho" w:hAnsi="Arial" w:cs="Arial"/>
          <w:color w:val="000000"/>
          <w:sz w:val="20"/>
          <w:szCs w:val="20"/>
          <w:lang w:val="bg-BG"/>
        </w:rPr>
        <w:t>Г-ын</w:t>
      </w:r>
      <w:r w:rsidRPr="004D7E03">
        <w:rPr>
          <w:rFonts w:ascii="Arial" w:eastAsia="MS Mincho" w:hAnsi="Arial" w:cs="Arial"/>
          <w:noProof/>
          <w:color w:val="000000"/>
          <w:sz w:val="20"/>
          <w:szCs w:val="20"/>
          <w:lang w:val="bg-BG"/>
        </w:rPr>
        <w:t xml:space="preserve"> 2024 оны </w:t>
      </w:r>
      <w:r w:rsidRPr="004D7E03">
        <w:rPr>
          <w:rFonts w:ascii="Arial" w:eastAsia="Calibri" w:hAnsi="Arial" w:cs="Arial"/>
          <w:noProof/>
          <w:color w:val="000000"/>
          <w:sz w:val="20"/>
          <w:szCs w:val="20"/>
          <w:lang w:val="bg-BG"/>
        </w:rPr>
        <w:t>238</w:t>
      </w:r>
      <w:r w:rsidRPr="004D7E03">
        <w:rPr>
          <w:rFonts w:ascii="Arial" w:eastAsia="MS Mincho" w:hAnsi="Arial" w:cs="Arial"/>
          <w:noProof/>
          <w:color w:val="000000"/>
          <w:sz w:val="20"/>
          <w:szCs w:val="20"/>
          <w:lang w:val="bg-BG"/>
        </w:rPr>
        <w:t xml:space="preserve"> дугаар тогтоолын 4 дүгээр хавсралт</w:t>
      </w:r>
      <w:r w:rsidRPr="004D7E03">
        <w:rPr>
          <w:rFonts w:ascii="Arial" w:eastAsia="Calibri" w:hAnsi="Arial" w:cs="Arial"/>
          <w:sz w:val="20"/>
          <w:szCs w:val="20"/>
          <w:shd w:val="clear" w:color="auto" w:fill="FFFFFF"/>
          <w:lang w:val="bg-BG" w:eastAsia="en-GB"/>
        </w:rPr>
        <w:t xml:space="preserve"> </w:t>
      </w:r>
      <w:r w:rsidRPr="003F48C8">
        <w:rPr>
          <w:rFonts w:ascii="Arial" w:eastAsia="Calibri" w:hAnsi="Arial" w:cs="Arial"/>
          <w:sz w:val="20"/>
          <w:szCs w:val="20"/>
          <w:shd w:val="clear" w:color="auto" w:fill="FFFFFF"/>
          <w:lang w:val="mn-MN" w:eastAsia="en-GB"/>
        </w:rPr>
        <w:t xml:space="preserve"> “</w:t>
      </w:r>
      <w:r w:rsidRPr="004D7E03">
        <w:rPr>
          <w:rFonts w:ascii="Arial" w:eastAsia="Calibri" w:hAnsi="Arial" w:cs="Arial"/>
          <w:sz w:val="20"/>
          <w:szCs w:val="20"/>
          <w:shd w:val="clear" w:color="auto" w:fill="FFFFFF"/>
          <w:lang w:val="bg-BG" w:eastAsia="en-GB"/>
        </w:rPr>
        <w:t>Төрийн тусгай албан тушаалын цалингийн хэмжээ</w:t>
      </w:r>
      <w:r w:rsidRPr="003F48C8">
        <w:rPr>
          <w:rFonts w:ascii="Arial" w:eastAsia="Calibri" w:hAnsi="Arial" w:cs="Arial"/>
          <w:sz w:val="20"/>
          <w:szCs w:val="20"/>
          <w:shd w:val="clear" w:color="auto" w:fill="FFFFFF"/>
          <w:lang w:val="mn-MN" w:eastAsia="en-GB"/>
        </w:rPr>
        <w:t>”</w:t>
      </w:r>
    </w:p>
  </w:footnote>
  <w:footnote w:id="5">
    <w:p w14:paraId="6FFF7567" w14:textId="77777777" w:rsidR="00B44273" w:rsidRPr="003F48C8" w:rsidRDefault="00B44273" w:rsidP="00B44273">
      <w:pPr>
        <w:jc w:val="both"/>
        <w:rPr>
          <w:rFonts w:ascii="Arial" w:eastAsia="Calibri" w:hAnsi="Arial" w:cs="Arial"/>
          <w:noProof/>
          <w:sz w:val="20"/>
          <w:szCs w:val="20"/>
          <w:shd w:val="clear" w:color="auto" w:fill="FFFFFF"/>
          <w:lang w:val="mn-MN" w:eastAsia="en-GB"/>
        </w:rPr>
      </w:pPr>
      <w:r w:rsidRPr="004D7E03">
        <w:rPr>
          <w:rStyle w:val="FootnoteReference"/>
          <w:rFonts w:ascii="Arial" w:eastAsiaTheme="majorEastAsia" w:hAnsi="Arial" w:cs="Arial"/>
          <w:sz w:val="20"/>
          <w:szCs w:val="20"/>
        </w:rPr>
        <w:footnoteRef/>
      </w:r>
      <w:r w:rsidRPr="003F48C8">
        <w:rPr>
          <w:rFonts w:ascii="Arial" w:hAnsi="Arial" w:cs="Arial"/>
          <w:sz w:val="20"/>
          <w:szCs w:val="20"/>
          <w:lang w:val="mn-MN"/>
        </w:rPr>
        <w:t xml:space="preserve"> </w:t>
      </w:r>
      <w:r w:rsidRPr="004D7E03">
        <w:rPr>
          <w:rFonts w:ascii="Arial" w:eastAsia="MS Mincho" w:hAnsi="Arial" w:cs="Arial"/>
          <w:noProof/>
          <w:color w:val="000000"/>
          <w:sz w:val="20"/>
          <w:szCs w:val="20"/>
          <w:lang w:val="bg-BG"/>
        </w:rPr>
        <w:t>З</w:t>
      </w:r>
      <w:r w:rsidRPr="004D7E03">
        <w:rPr>
          <w:rFonts w:ascii="Arial" w:eastAsia="MS Mincho" w:hAnsi="Arial" w:cs="Arial"/>
          <w:color w:val="000000"/>
          <w:sz w:val="20"/>
          <w:szCs w:val="20"/>
          <w:lang w:val="bg-BG"/>
        </w:rPr>
        <w:t>Г-ын</w:t>
      </w:r>
      <w:r w:rsidRPr="004D7E03">
        <w:rPr>
          <w:rFonts w:ascii="Arial" w:eastAsia="MS Mincho" w:hAnsi="Arial" w:cs="Arial"/>
          <w:noProof/>
          <w:color w:val="000000"/>
          <w:sz w:val="20"/>
          <w:szCs w:val="20"/>
          <w:lang w:val="bg-BG"/>
        </w:rPr>
        <w:t xml:space="preserve"> 2024 оны </w:t>
      </w:r>
      <w:r w:rsidRPr="004D7E03">
        <w:rPr>
          <w:rFonts w:ascii="Arial" w:eastAsia="Calibri" w:hAnsi="Arial" w:cs="Arial"/>
          <w:noProof/>
          <w:color w:val="000000"/>
          <w:sz w:val="20"/>
          <w:szCs w:val="20"/>
          <w:lang w:val="bg-BG"/>
        </w:rPr>
        <w:t>238</w:t>
      </w:r>
      <w:r w:rsidRPr="004D7E03">
        <w:rPr>
          <w:rFonts w:ascii="Arial" w:eastAsia="MS Mincho" w:hAnsi="Arial" w:cs="Arial"/>
          <w:noProof/>
          <w:color w:val="000000"/>
          <w:sz w:val="20"/>
          <w:szCs w:val="20"/>
          <w:lang w:val="bg-BG"/>
        </w:rPr>
        <w:t xml:space="preserve"> дугаар тогтоолын </w:t>
      </w:r>
      <w:r w:rsidRPr="004D7E03">
        <w:rPr>
          <w:rFonts w:ascii="Arial" w:eastAsia="MS Mincho" w:hAnsi="Arial" w:cs="Arial"/>
          <w:color w:val="000000"/>
          <w:sz w:val="20"/>
          <w:szCs w:val="20"/>
          <w:lang w:val="bg-BG"/>
        </w:rPr>
        <w:t>3</w:t>
      </w:r>
      <w:r w:rsidRPr="004D7E03">
        <w:rPr>
          <w:rFonts w:ascii="Arial" w:eastAsia="MS Mincho" w:hAnsi="Arial" w:cs="Arial"/>
          <w:noProof/>
          <w:color w:val="000000"/>
          <w:sz w:val="20"/>
          <w:szCs w:val="20"/>
          <w:lang w:val="bg-BG"/>
        </w:rPr>
        <w:t xml:space="preserve"> д</w:t>
      </w:r>
      <w:r w:rsidRPr="004D7E03">
        <w:rPr>
          <w:rFonts w:ascii="Arial" w:eastAsia="MS Mincho" w:hAnsi="Arial" w:cs="Arial"/>
          <w:color w:val="000000"/>
          <w:sz w:val="20"/>
          <w:szCs w:val="20"/>
          <w:lang w:val="bg-BG"/>
        </w:rPr>
        <w:t>угаа</w:t>
      </w:r>
      <w:r w:rsidRPr="004D7E03">
        <w:rPr>
          <w:rFonts w:ascii="Arial" w:eastAsia="MS Mincho" w:hAnsi="Arial" w:cs="Arial"/>
          <w:noProof/>
          <w:color w:val="000000"/>
          <w:sz w:val="20"/>
          <w:szCs w:val="20"/>
          <w:lang w:val="bg-BG"/>
        </w:rPr>
        <w:t>р хавсралт</w:t>
      </w:r>
      <w:r w:rsidRPr="004D7E03">
        <w:rPr>
          <w:rFonts w:ascii="Arial" w:eastAsia="Calibri" w:hAnsi="Arial" w:cs="Arial"/>
          <w:sz w:val="20"/>
          <w:szCs w:val="20"/>
          <w:shd w:val="clear" w:color="auto" w:fill="FFFFFF"/>
          <w:lang w:val="bg-BG" w:eastAsia="en-GB"/>
        </w:rPr>
        <w:t xml:space="preserve"> </w:t>
      </w:r>
      <w:r w:rsidRPr="003F48C8">
        <w:rPr>
          <w:rFonts w:ascii="Arial" w:eastAsia="Calibri" w:hAnsi="Arial" w:cs="Arial"/>
          <w:color w:val="000000" w:themeColor="text1"/>
          <w:sz w:val="20"/>
          <w:szCs w:val="20"/>
          <w:shd w:val="clear" w:color="auto" w:fill="FFFFFF"/>
          <w:lang w:val="mn-MN" w:eastAsia="en-GB"/>
        </w:rPr>
        <w:t xml:space="preserve"> “</w:t>
      </w:r>
      <w:r w:rsidRPr="003F48C8">
        <w:rPr>
          <w:rFonts w:ascii="Arial" w:hAnsi="Arial" w:cs="Arial"/>
          <w:color w:val="000000" w:themeColor="text1"/>
          <w:sz w:val="20"/>
          <w:szCs w:val="20"/>
          <w:shd w:val="clear" w:color="auto" w:fill="FFFFFF"/>
          <w:lang w:val="mn-MN"/>
        </w:rPr>
        <w:t>Засгийн газрын агентлаг, нутгийн захиргааны байгууллага болон төрийн захиргааны бусад байгууллагын төрийн захиргааны албан тушаалын цалингийн хэмжээ</w:t>
      </w:r>
      <w:r w:rsidRPr="003F48C8">
        <w:rPr>
          <w:rFonts w:ascii="Arial" w:eastAsia="Calibri" w:hAnsi="Arial" w:cs="Arial"/>
          <w:color w:val="000000" w:themeColor="text1"/>
          <w:sz w:val="20"/>
          <w:szCs w:val="20"/>
          <w:shd w:val="clear" w:color="auto" w:fill="FFFFFF"/>
          <w:lang w:val="mn-MN" w:eastAsia="en-GB"/>
        </w:rPr>
        <w:t>”</w:t>
      </w:r>
    </w:p>
    <w:p w14:paraId="3647E23C" w14:textId="77777777" w:rsidR="00B44273" w:rsidRPr="003F48C8" w:rsidRDefault="00B44273" w:rsidP="00B44273">
      <w:pPr>
        <w:pStyle w:val="FootnoteText"/>
        <w:rPr>
          <w:lang w:val="mn-MN"/>
        </w:rPr>
      </w:pPr>
    </w:p>
  </w:footnote>
  <w:footnote w:id="6">
    <w:p w14:paraId="7EBEEE56" w14:textId="77777777" w:rsidR="00B44273" w:rsidRPr="00F10EB0" w:rsidRDefault="00B44273" w:rsidP="00B44273">
      <w:pPr>
        <w:pStyle w:val="FootnoteText"/>
        <w:rPr>
          <w:lang w:val="mn-MN"/>
        </w:rPr>
      </w:pPr>
      <w:r>
        <w:rPr>
          <w:rStyle w:val="FootnoteReference"/>
        </w:rPr>
        <w:footnoteRef/>
      </w:r>
      <w:r w:rsidRPr="00F10EB0">
        <w:rPr>
          <w:lang w:val="mn-MN"/>
        </w:rPr>
        <w:t xml:space="preserve"> </w:t>
      </w:r>
      <w:r>
        <w:fldChar w:fldCharType="begin"/>
      </w:r>
      <w:r w:rsidRPr="0039500B">
        <w:rPr>
          <w:lang w:val="mn-MN"/>
        </w:rPr>
        <w:instrText>HYPERLINK "https://legalinfo.mn/mn/detail?lawId=7165"</w:instrText>
      </w:r>
      <w:r>
        <w:fldChar w:fldCharType="separate"/>
      </w:r>
      <w:r w:rsidRPr="005A1345">
        <w:rPr>
          <w:rStyle w:val="Hyperlink"/>
          <w:lang w:val="mn-MN"/>
        </w:rPr>
        <w:t>https://legalinfo.mn/mn/detail?lawId=7165</w:t>
      </w:r>
      <w:r>
        <w:fldChar w:fldCharType="end"/>
      </w:r>
      <w:r>
        <w:rPr>
          <w:lang w:val="mn-MN"/>
        </w:rPr>
        <w:t xml:space="preserve"> </w:t>
      </w:r>
    </w:p>
  </w:footnote>
  <w:footnote w:id="7">
    <w:p w14:paraId="7DCA5193" w14:textId="77777777" w:rsidR="00B44273" w:rsidRPr="00F10EB0" w:rsidRDefault="00B44273" w:rsidP="00B44273">
      <w:pPr>
        <w:pStyle w:val="FootnoteText"/>
        <w:rPr>
          <w:lang w:val="mn-MN"/>
        </w:rPr>
      </w:pPr>
      <w:r>
        <w:rPr>
          <w:rStyle w:val="FootnoteReference"/>
        </w:rPr>
        <w:footnoteRef/>
      </w:r>
      <w:r w:rsidRPr="00F10EB0">
        <w:rPr>
          <w:lang w:val="mn-MN"/>
        </w:rPr>
        <w:t xml:space="preserve"> </w:t>
      </w:r>
      <w:r>
        <w:fldChar w:fldCharType="begin"/>
      </w:r>
      <w:r w:rsidRPr="0039500B">
        <w:rPr>
          <w:lang w:val="mn-MN"/>
        </w:rPr>
        <w:instrText>HYPERLINK "https://legalinfo.mn/mn/detail?lawId=89"</w:instrText>
      </w:r>
      <w:r>
        <w:fldChar w:fldCharType="separate"/>
      </w:r>
      <w:r w:rsidRPr="005A1345">
        <w:rPr>
          <w:rStyle w:val="Hyperlink"/>
          <w:lang w:val="mn-MN"/>
        </w:rPr>
        <w:t>https://legalinfo.mn/mn/detail?lawId=89</w:t>
      </w:r>
      <w:r>
        <w:fldChar w:fldCharType="end"/>
      </w:r>
      <w:r>
        <w:rPr>
          <w:lang w:val="mn-MN"/>
        </w:rPr>
        <w:t xml:space="preserve"> </w:t>
      </w:r>
    </w:p>
  </w:footnote>
  <w:footnote w:id="8">
    <w:p w14:paraId="55A869D0" w14:textId="77777777" w:rsidR="00B44273" w:rsidRPr="0091271E" w:rsidRDefault="00B44273" w:rsidP="00B44273">
      <w:pPr>
        <w:pStyle w:val="FootnoteText"/>
        <w:rPr>
          <w:lang w:val="mn-MN"/>
        </w:rPr>
      </w:pPr>
      <w:r>
        <w:rPr>
          <w:rStyle w:val="FootnoteReference"/>
        </w:rPr>
        <w:footnoteRef/>
      </w:r>
      <w:r w:rsidRPr="0091271E">
        <w:rPr>
          <w:lang w:val="mn-MN"/>
        </w:rPr>
        <w:t xml:space="preserve"> </w:t>
      </w:r>
      <w:r>
        <w:fldChar w:fldCharType="begin"/>
      </w:r>
      <w:r w:rsidRPr="0039500B">
        <w:rPr>
          <w:lang w:val="mn-MN"/>
        </w:rPr>
        <w:instrText>HYPERLINK "https://legalinfo.mn/mn/detail?lawId=203760"</w:instrText>
      </w:r>
      <w:r>
        <w:fldChar w:fldCharType="separate"/>
      </w:r>
      <w:r w:rsidRPr="00E76A1F">
        <w:rPr>
          <w:rStyle w:val="Hyperlink"/>
          <w:lang w:val="mn-MN"/>
        </w:rPr>
        <w:t>https://legalinfo.mn/mn/detail?lawId=203760</w:t>
      </w:r>
      <w:r>
        <w:fldChar w:fldCharType="end"/>
      </w:r>
      <w:r>
        <w:rPr>
          <w:lang w:val="mn-MN"/>
        </w:rPr>
        <w:t xml:space="preserve"> </w:t>
      </w:r>
    </w:p>
  </w:footnote>
  <w:footnote w:id="9">
    <w:p w14:paraId="38F042AE" w14:textId="77777777" w:rsidR="00B44273" w:rsidRPr="00674968" w:rsidRDefault="00B44273" w:rsidP="00B44273">
      <w:pPr>
        <w:pStyle w:val="FootnoteText"/>
        <w:rPr>
          <w:lang w:val="mn-MN"/>
        </w:rPr>
      </w:pPr>
      <w:r>
        <w:rPr>
          <w:rStyle w:val="FootnoteReference"/>
        </w:rPr>
        <w:footnoteRef/>
      </w:r>
      <w:r w:rsidRPr="00674968">
        <w:rPr>
          <w:lang w:val="mn-MN"/>
        </w:rPr>
        <w:t xml:space="preserve"> </w:t>
      </w:r>
      <w:r>
        <w:fldChar w:fldCharType="begin"/>
      </w:r>
      <w:r w:rsidRPr="0039500B">
        <w:rPr>
          <w:lang w:val="mn-MN"/>
        </w:rPr>
        <w:instrText>HYPERLINK "https://legalinfo.mn/mn/detail?lawId=205350"</w:instrText>
      </w:r>
      <w:r>
        <w:fldChar w:fldCharType="separate"/>
      </w:r>
      <w:r w:rsidRPr="00E76A1F">
        <w:rPr>
          <w:rStyle w:val="Hyperlink"/>
          <w:lang w:val="mn-MN"/>
        </w:rPr>
        <w:t>https://legalinfo.mn/mn/detail?lawId=205350</w:t>
      </w:r>
      <w:r>
        <w:fldChar w:fldCharType="end"/>
      </w:r>
      <w:r>
        <w:rPr>
          <w:lang w:val="mn-MN"/>
        </w:rPr>
        <w:t xml:space="preserve"> </w:t>
      </w:r>
    </w:p>
  </w:footnote>
  <w:footnote w:id="10">
    <w:p w14:paraId="743AD92F" w14:textId="77777777" w:rsidR="00B44273" w:rsidRPr="0000744B" w:rsidRDefault="00B44273" w:rsidP="00B44273">
      <w:pPr>
        <w:pStyle w:val="FootnoteText"/>
        <w:rPr>
          <w:rFonts w:ascii="Arial" w:hAnsi="Arial" w:cs="Arial"/>
          <w:lang w:val="mn-MN"/>
        </w:rPr>
      </w:pPr>
      <w:r w:rsidRPr="0000744B">
        <w:rPr>
          <w:rStyle w:val="FootnoteReference"/>
          <w:rFonts w:ascii="Arial" w:hAnsi="Arial" w:cs="Arial"/>
        </w:rPr>
        <w:footnoteRef/>
      </w:r>
      <w:r w:rsidRPr="0000744B">
        <w:rPr>
          <w:rFonts w:ascii="Arial" w:hAnsi="Arial" w:cs="Arial"/>
          <w:lang w:val="mn-MN"/>
        </w:rPr>
        <w:t xml:space="preserve"> </w:t>
      </w:r>
      <w:r w:rsidRPr="0000744B">
        <w:rPr>
          <w:rFonts w:ascii="Arial" w:hAnsi="Arial" w:cs="Arial"/>
          <w:lang w:val="mn-MN"/>
        </w:rPr>
        <w:t>Я.Батгэрэл, Шийдвэр гүйцэтгэгчийн урамшуулал, хэрэгцээ шаардлага, ШШГЕГ-ын Шүүхийн шийдвэрийн биелэлтэд нөлөөлөх хүчин зүйлс, тулгамдаж буй асуудал, шийдвэрлэх арга зам хэлэлцүүлэг, 2023.</w:t>
      </w:r>
    </w:p>
  </w:footnote>
  <w:footnote w:id="11">
    <w:p w14:paraId="10AAE753" w14:textId="77777777" w:rsidR="00B44273" w:rsidRPr="0000744B" w:rsidRDefault="00B44273" w:rsidP="00B44273">
      <w:pPr>
        <w:pStyle w:val="FootnoteText"/>
        <w:rPr>
          <w:rFonts w:ascii="Arial" w:hAnsi="Arial" w:cs="Arial"/>
          <w:lang w:val="mn-MN"/>
        </w:rPr>
      </w:pPr>
      <w:r w:rsidRPr="0000744B">
        <w:rPr>
          <w:rStyle w:val="FootnoteReference"/>
          <w:rFonts w:ascii="Arial" w:hAnsi="Arial" w:cs="Arial"/>
        </w:rPr>
        <w:footnoteRef/>
      </w:r>
      <w:r w:rsidRPr="0000744B">
        <w:rPr>
          <w:rFonts w:ascii="Arial" w:hAnsi="Arial" w:cs="Arial"/>
          <w:lang w:val="mn-MN"/>
        </w:rPr>
        <w:t xml:space="preserve"> </w:t>
      </w:r>
      <w:r w:rsidRPr="0000744B">
        <w:rPr>
          <w:rFonts w:ascii="Arial" w:hAnsi="Arial" w:cs="Arial"/>
          <w:lang w:val="mn-MN"/>
        </w:rPr>
        <w:t>З.Шагдарсүрэн, Шийдвэр гүйцэтгэх ажиллагааны урамшууллын тогтолцоо, олон улсын туршлага, ШШГЕГ-ын Шүүхийн шийдвэрийн биелэлтэд нөлөөлөх хүчин зүйлс, тулгамдаж буй асуудал, шийдвэрлэх арга зам хэлэлцүүлэг, 2023.</w:t>
      </w:r>
    </w:p>
  </w:footnote>
  <w:footnote w:id="12">
    <w:p w14:paraId="07790963" w14:textId="77777777" w:rsidR="00B44273" w:rsidRPr="00DA4375" w:rsidRDefault="00B44273" w:rsidP="00B44273">
      <w:pPr>
        <w:pStyle w:val="FootnoteText"/>
        <w:rPr>
          <w:rFonts w:ascii="Arial" w:hAnsi="Arial" w:cs="Arial"/>
          <w:lang w:val="mn-MN"/>
        </w:rPr>
      </w:pPr>
      <w:r w:rsidRPr="000C41FD">
        <w:rPr>
          <w:rStyle w:val="FootnoteReference"/>
          <w:rFonts w:ascii="Arial" w:hAnsi="Arial" w:cs="Arial"/>
        </w:rPr>
        <w:footnoteRef/>
      </w:r>
      <w:r w:rsidRPr="00DA4375">
        <w:rPr>
          <w:rFonts w:ascii="Arial" w:hAnsi="Arial" w:cs="Arial"/>
          <w:lang w:val="mn-MN"/>
        </w:rPr>
        <w:t xml:space="preserve"> </w:t>
      </w:r>
      <w:r w:rsidRPr="00DA4375">
        <w:rPr>
          <w:rFonts w:ascii="Arial" w:hAnsi="Arial" w:cs="Arial"/>
          <w:lang w:val="mn-MN"/>
        </w:rPr>
        <w:t xml:space="preserve">Хууль зүй, дотоод хэргийн сайд О.Алтангэрэлийн Холбооны Бүгд Найрамдах Герман Улсын Бавариа мужид хийсэн ажлын айлчлалын үр дүнгээс, 2024 оны 12 дугаар сар. </w:t>
      </w:r>
    </w:p>
  </w:footnote>
  <w:footnote w:id="13">
    <w:p w14:paraId="4969D136" w14:textId="77777777" w:rsidR="00B44273" w:rsidRPr="00DA4375" w:rsidRDefault="00B44273" w:rsidP="00B44273">
      <w:pPr>
        <w:pStyle w:val="FootnoteText"/>
        <w:rPr>
          <w:lang w:val="mn-MN"/>
        </w:rPr>
      </w:pPr>
      <w:r w:rsidRPr="000C41FD">
        <w:rPr>
          <w:rStyle w:val="FootnoteReference"/>
          <w:rFonts w:ascii="Arial" w:hAnsi="Arial" w:cs="Arial"/>
        </w:rPr>
        <w:footnoteRef/>
      </w:r>
      <w:r w:rsidRPr="00DA4375">
        <w:rPr>
          <w:rFonts w:ascii="Arial" w:hAnsi="Arial" w:cs="Arial"/>
          <w:lang w:val="mn-MN"/>
        </w:rPr>
        <w:t xml:space="preserve"> </w:t>
      </w:r>
      <w:r w:rsidRPr="00DA4375">
        <w:rPr>
          <w:rFonts w:ascii="Arial" w:hAnsi="Arial" w:cs="Arial"/>
          <w:lang w:val="mn-MN"/>
        </w:rPr>
        <w:t>Гүржийн шийдвэр гүйцэтгэлийн туршлага судлах аялалын баримтаас 2023</w:t>
      </w:r>
    </w:p>
  </w:footnote>
  <w:footnote w:id="14">
    <w:p w14:paraId="7B8BF1EF" w14:textId="77777777" w:rsidR="00B44273" w:rsidRPr="00DA4375" w:rsidRDefault="00B44273" w:rsidP="00B44273">
      <w:pPr>
        <w:pStyle w:val="FootnoteText"/>
        <w:rPr>
          <w:lang w:val="mn-MN"/>
        </w:rPr>
      </w:pPr>
      <w:r>
        <w:rPr>
          <w:rStyle w:val="FootnoteReference"/>
        </w:rPr>
        <w:footnoteRef/>
      </w:r>
      <w:r w:rsidRPr="00DA4375">
        <w:rPr>
          <w:lang w:val="mn-MN"/>
        </w:rPr>
        <w:t xml:space="preserve"> </w:t>
      </w:r>
      <w:r w:rsidRPr="00DA4375">
        <w:rPr>
          <w:rFonts w:ascii="Arial" w:hAnsi="Arial" w:cs="Arial"/>
          <w:lang w:val="mn-MN"/>
        </w:rPr>
        <w:t xml:space="preserve">Гүржийн шийдвэр гүйцэтгэлийн туршлага судлах аялалын баримтаас 2023 </w:t>
      </w:r>
    </w:p>
    <w:p w14:paraId="42CD5E8D" w14:textId="77777777" w:rsidR="00B44273" w:rsidRPr="00DA4375" w:rsidRDefault="00B44273" w:rsidP="00B44273">
      <w:pPr>
        <w:pStyle w:val="FootnoteText"/>
        <w:rPr>
          <w:lang w:val="mn-MN"/>
        </w:rPr>
      </w:pPr>
    </w:p>
  </w:footnote>
  <w:footnote w:id="15">
    <w:p w14:paraId="5BB12375" w14:textId="77777777" w:rsidR="00B44273" w:rsidRPr="003D21CB" w:rsidRDefault="00B44273" w:rsidP="00B44273">
      <w:pPr>
        <w:pStyle w:val="FootnoteText"/>
        <w:rPr>
          <w:lang w:val="mn-MN"/>
        </w:rPr>
      </w:pPr>
      <w:r>
        <w:rPr>
          <w:rStyle w:val="FootnoteReference"/>
        </w:rPr>
        <w:footnoteRef/>
      </w:r>
      <w:r w:rsidRPr="00DA4375">
        <w:rPr>
          <w:lang w:val="mn-MN"/>
        </w:rPr>
        <w:t xml:space="preserve"> </w:t>
      </w:r>
      <w:r>
        <w:fldChar w:fldCharType="begin"/>
      </w:r>
      <w:r w:rsidRPr="0039500B">
        <w:rPr>
          <w:lang w:val="mn-MN"/>
        </w:rPr>
        <w:instrText>HYPERLINK "https://www.worldometers.info/world-population/georgia-population/"</w:instrText>
      </w:r>
      <w:r>
        <w:fldChar w:fldCharType="separate"/>
      </w:r>
      <w:r w:rsidRPr="00DA4375">
        <w:rPr>
          <w:rStyle w:val="Hyperlink"/>
          <w:lang w:val="mn-MN"/>
        </w:rPr>
        <w:t>https://www.worldometers.info/world-population/georgia-population/</w:t>
      </w:r>
      <w:r>
        <w:fldChar w:fldCharType="end"/>
      </w:r>
      <w:r>
        <w:rPr>
          <w:lang w:val="mn-MN"/>
        </w:rPr>
        <w:t xml:space="preserve"> </w:t>
      </w:r>
    </w:p>
  </w:footnote>
  <w:footnote w:id="16">
    <w:p w14:paraId="35AA3059" w14:textId="77777777" w:rsidR="00B44273" w:rsidRPr="007C7DAE" w:rsidRDefault="00B44273" w:rsidP="00B44273">
      <w:pPr>
        <w:pStyle w:val="FootnoteText"/>
        <w:rPr>
          <w:rFonts w:ascii="Arial" w:hAnsi="Arial" w:cs="Mongolian Baiti"/>
          <w:szCs w:val="25"/>
          <w:lang w:val="mn-MN" w:bidi="mn-Mong-CN"/>
        </w:rPr>
      </w:pPr>
      <w:r w:rsidRPr="009009F9">
        <w:rPr>
          <w:rStyle w:val="FootnoteReference"/>
          <w:rFonts w:ascii="Arial" w:hAnsi="Arial" w:cs="Arial"/>
        </w:rPr>
        <w:footnoteRef/>
      </w:r>
      <w:r w:rsidRPr="007C7DAE">
        <w:rPr>
          <w:rFonts w:ascii="Arial" w:hAnsi="Arial" w:cs="Arial"/>
          <w:lang w:val="mn-MN"/>
        </w:rPr>
        <w:t xml:space="preserve"> </w:t>
      </w:r>
      <w:r w:rsidRPr="007C7DAE">
        <w:rPr>
          <w:rFonts w:ascii="Arial" w:hAnsi="Arial" w:cs="Arial"/>
          <w:lang w:val="mn-MN"/>
        </w:rPr>
        <w:t xml:space="preserve">Засгийн газрын агентлагийн эрх зүйн байдлын тухай хууль </w:t>
      </w:r>
      <w:r w:rsidRPr="007C7DAE">
        <w:rPr>
          <w:rFonts w:ascii="Arial" w:hAnsi="Arial" w:cs="Mongolian Baiti"/>
          <w:szCs w:val="25"/>
          <w:lang w:val="mn-MN" w:bidi="mn-Mong-CN"/>
        </w:rPr>
        <w:t xml:space="preserve">“Төрийн мэдээлэл” эмхэтгэлийн 2004 оны 16 дугаарт нийтлэгдсэн.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060F5"/>
    <w:multiLevelType w:val="hybridMultilevel"/>
    <w:tmpl w:val="C548D4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7A4F4B"/>
    <w:multiLevelType w:val="hybridMultilevel"/>
    <w:tmpl w:val="E774E5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EE46FC"/>
    <w:multiLevelType w:val="hybridMultilevel"/>
    <w:tmpl w:val="F30A6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D0A6C"/>
    <w:multiLevelType w:val="hybridMultilevel"/>
    <w:tmpl w:val="DB781F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F114B0"/>
    <w:multiLevelType w:val="hybridMultilevel"/>
    <w:tmpl w:val="C548D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0036B"/>
    <w:multiLevelType w:val="hybridMultilevel"/>
    <w:tmpl w:val="11DA4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696658"/>
    <w:multiLevelType w:val="hybridMultilevel"/>
    <w:tmpl w:val="FD008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717402"/>
    <w:multiLevelType w:val="hybridMultilevel"/>
    <w:tmpl w:val="B69C0DE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774018D"/>
    <w:multiLevelType w:val="hybridMultilevel"/>
    <w:tmpl w:val="392CA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176D28"/>
    <w:multiLevelType w:val="hybridMultilevel"/>
    <w:tmpl w:val="C7FA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585487">
    <w:abstractNumId w:val="8"/>
  </w:num>
  <w:num w:numId="2" w16cid:durableId="61149736">
    <w:abstractNumId w:val="2"/>
  </w:num>
  <w:num w:numId="3" w16cid:durableId="573324461">
    <w:abstractNumId w:val="9"/>
  </w:num>
  <w:num w:numId="4" w16cid:durableId="1346906700">
    <w:abstractNumId w:val="7"/>
  </w:num>
  <w:num w:numId="5" w16cid:durableId="203564276">
    <w:abstractNumId w:val="5"/>
  </w:num>
  <w:num w:numId="6" w16cid:durableId="1507094202">
    <w:abstractNumId w:val="1"/>
  </w:num>
  <w:num w:numId="7" w16cid:durableId="1993019614">
    <w:abstractNumId w:val="3"/>
  </w:num>
  <w:num w:numId="8" w16cid:durableId="1343750482">
    <w:abstractNumId w:val="6"/>
  </w:num>
  <w:num w:numId="9" w16cid:durableId="1850370129">
    <w:abstractNumId w:val="4"/>
  </w:num>
  <w:num w:numId="10" w16cid:durableId="177740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73"/>
    <w:rsid w:val="00052083"/>
    <w:rsid w:val="00157517"/>
    <w:rsid w:val="00172822"/>
    <w:rsid w:val="002204D3"/>
    <w:rsid w:val="002827CC"/>
    <w:rsid w:val="0039500B"/>
    <w:rsid w:val="003D2460"/>
    <w:rsid w:val="003F0277"/>
    <w:rsid w:val="004067EF"/>
    <w:rsid w:val="004E7B01"/>
    <w:rsid w:val="0053360F"/>
    <w:rsid w:val="0096414B"/>
    <w:rsid w:val="00A673EF"/>
    <w:rsid w:val="00A84C9A"/>
    <w:rsid w:val="00B001DC"/>
    <w:rsid w:val="00B44273"/>
    <w:rsid w:val="00C26315"/>
    <w:rsid w:val="00CF2556"/>
    <w:rsid w:val="00D70C65"/>
    <w:rsid w:val="00E8074F"/>
    <w:rsid w:val="00E828A6"/>
    <w:rsid w:val="00F75320"/>
    <w:rsid w:val="00FD09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74C41"/>
  <w15:chartTrackingRefBased/>
  <w15:docId w15:val="{D95576FF-7200-4812-9843-233DE4E6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ind w:firstLine="7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273"/>
    <w:pPr>
      <w:ind w:firstLine="0"/>
      <w:jc w:val="left"/>
    </w:pPr>
    <w:rPr>
      <w:rFonts w:eastAsia="Times New Roman" w:cs="Times New Roman"/>
      <w:szCs w:val="24"/>
    </w:rPr>
  </w:style>
  <w:style w:type="paragraph" w:styleId="Heading1">
    <w:name w:val="heading 1"/>
    <w:basedOn w:val="Normal"/>
    <w:next w:val="Normal"/>
    <w:link w:val="Heading1Char"/>
    <w:uiPriority w:val="9"/>
    <w:qFormat/>
    <w:rsid w:val="00B442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42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427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427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4427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4427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427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427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427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2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442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427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427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4427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442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42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42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42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42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2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273"/>
    <w:pPr>
      <w:numPr>
        <w:ilvl w:val="1"/>
      </w:numPr>
      <w:spacing w:after="160"/>
      <w:ind w:firstLine="734"/>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2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442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4273"/>
    <w:rPr>
      <w:i/>
      <w:iCs/>
      <w:color w:val="404040" w:themeColor="text1" w:themeTint="BF"/>
    </w:rPr>
  </w:style>
  <w:style w:type="paragraph" w:styleId="ListParagraph">
    <w:name w:val="List Paragraph"/>
    <w:aliases w:val="Bullet EY,Sàraðo pastraipa,S?ra?o pastraipa,Bullets,List Paragraph (numbered (a)),References,WB List Paragraph,Lapis Bulleted List,Dot pt,F5 List Paragraph,List Paragraph1,List Paragraph Char Char Char,Indicator Text,Numbered Para 1,Ha"/>
    <w:basedOn w:val="Normal"/>
    <w:link w:val="ListParagraphChar"/>
    <w:uiPriority w:val="34"/>
    <w:qFormat/>
    <w:rsid w:val="00B44273"/>
    <w:pPr>
      <w:ind w:left="720"/>
      <w:contextualSpacing/>
    </w:pPr>
  </w:style>
  <w:style w:type="character" w:styleId="IntenseEmphasis">
    <w:name w:val="Intense Emphasis"/>
    <w:basedOn w:val="DefaultParagraphFont"/>
    <w:uiPriority w:val="21"/>
    <w:qFormat/>
    <w:rsid w:val="00B44273"/>
    <w:rPr>
      <w:i/>
      <w:iCs/>
      <w:color w:val="2F5496" w:themeColor="accent1" w:themeShade="BF"/>
    </w:rPr>
  </w:style>
  <w:style w:type="paragraph" w:styleId="IntenseQuote">
    <w:name w:val="Intense Quote"/>
    <w:basedOn w:val="Normal"/>
    <w:next w:val="Normal"/>
    <w:link w:val="IntenseQuoteChar"/>
    <w:uiPriority w:val="30"/>
    <w:qFormat/>
    <w:rsid w:val="00B442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4273"/>
    <w:rPr>
      <w:i/>
      <w:iCs/>
      <w:color w:val="2F5496" w:themeColor="accent1" w:themeShade="BF"/>
    </w:rPr>
  </w:style>
  <w:style w:type="character" w:styleId="IntenseReference">
    <w:name w:val="Intense Reference"/>
    <w:basedOn w:val="DefaultParagraphFont"/>
    <w:uiPriority w:val="32"/>
    <w:qFormat/>
    <w:rsid w:val="00B44273"/>
    <w:rPr>
      <w:b/>
      <w:bCs/>
      <w:smallCaps/>
      <w:color w:val="2F5496" w:themeColor="accent1" w:themeShade="BF"/>
      <w:spacing w:val="5"/>
    </w:rPr>
  </w:style>
  <w:style w:type="paragraph" w:styleId="FootnoteText">
    <w:name w:val="footnote text"/>
    <w:aliases w:val="Footnote Text Char Car,Footnote Text Char1 Char Car,Footnote Text Char Char Char Car, Char Char Char Char Car, Char Char1 Char Car,Footnote Text Char1 Char,Footnote Text Char Char Char,Footnote Text Char1,Char Char Char Char Car,Car"/>
    <w:basedOn w:val="Normal"/>
    <w:link w:val="FootnoteTextChar"/>
    <w:uiPriority w:val="99"/>
    <w:unhideWhenUsed/>
    <w:qFormat/>
    <w:rsid w:val="00B44273"/>
    <w:rPr>
      <w:rFonts w:asciiTheme="minorHAnsi" w:eastAsiaTheme="minorEastAsia" w:hAnsiTheme="minorHAnsi" w:cstheme="minorBidi"/>
      <w:noProof/>
      <w:sz w:val="20"/>
      <w:szCs w:val="20"/>
      <w:lang w:val="ru-RU" w:eastAsia="zh-CN"/>
    </w:rPr>
  </w:style>
  <w:style w:type="character" w:customStyle="1" w:styleId="FootnoteTextChar">
    <w:name w:val="Footnote Text Char"/>
    <w:aliases w:val="Footnote Text Char Car Char,Footnote Text Char1 Char Car Char,Footnote Text Char Char Char Car Char, Char Char Char Char Car Char, Char Char1 Char Car Char,Footnote Text Char1 Char Char,Footnote Text Char Char Char Char,Car Char"/>
    <w:basedOn w:val="DefaultParagraphFont"/>
    <w:link w:val="FootnoteText"/>
    <w:uiPriority w:val="99"/>
    <w:qFormat/>
    <w:rsid w:val="00B44273"/>
    <w:rPr>
      <w:rFonts w:asciiTheme="minorHAnsi" w:eastAsiaTheme="minorEastAsia" w:hAnsiTheme="minorHAnsi"/>
      <w:noProof/>
      <w:sz w:val="20"/>
      <w:szCs w:val="20"/>
      <w:lang w:val="ru-RU" w:eastAsia="zh-CN"/>
    </w:rPr>
  </w:style>
  <w:style w:type="character" w:styleId="FootnoteReference">
    <w:name w:val="footnote reference"/>
    <w:aliases w:val="Footnote Refernece,4_G,Footnote Reference Superscript,Footnote symbol,Footnote,Footnote Reference/,BVI fnr,callout,Footnote Refernece + (Latein) Arial,10 pt,Blau,Footnote reference number,note TESI,Ref,de nota al pie,Footnotes refss"/>
    <w:basedOn w:val="DefaultParagraphFont"/>
    <w:link w:val="BVIfnrCharCharCharChar"/>
    <w:uiPriority w:val="99"/>
    <w:unhideWhenUsed/>
    <w:qFormat/>
    <w:rsid w:val="00B44273"/>
    <w:rPr>
      <w:vertAlign w:val="superscript"/>
    </w:rPr>
  </w:style>
  <w:style w:type="paragraph" w:customStyle="1" w:styleId="BVIfnrCharCharCharChar">
    <w:name w:val="BVI fnr Char Char Char Char"/>
    <w:aliases w:val=" BVI fnr Car Car Char Char Char Char,BVI fnr Car Char Char Char Char, BVI fnr Car Car Car Car Char Char Char Char,BVI fnr Car Car Char Char Char Char,BVI fnr Car Car Car Car Char Char Char Char, BVI fnr Char Char Char Char"/>
    <w:basedOn w:val="Normal"/>
    <w:link w:val="FootnoteReference"/>
    <w:uiPriority w:val="99"/>
    <w:rsid w:val="00B44273"/>
    <w:pPr>
      <w:spacing w:after="160" w:line="240" w:lineRule="exact"/>
    </w:pPr>
    <w:rPr>
      <w:rFonts w:eastAsiaTheme="minorHAnsi" w:cstheme="minorBidi"/>
      <w:szCs w:val="22"/>
      <w:vertAlign w:val="superscript"/>
    </w:rPr>
  </w:style>
  <w:style w:type="character" w:styleId="Strong">
    <w:name w:val="Strong"/>
    <w:basedOn w:val="DefaultParagraphFont"/>
    <w:uiPriority w:val="22"/>
    <w:qFormat/>
    <w:rsid w:val="00B44273"/>
    <w:rPr>
      <w:b/>
      <w:bCs/>
    </w:rPr>
  </w:style>
  <w:style w:type="paragraph" w:customStyle="1" w:styleId="Bold">
    <w:name w:val="Bold"/>
    <w:basedOn w:val="Normal"/>
    <w:qFormat/>
    <w:rsid w:val="00B44273"/>
    <w:pPr>
      <w:spacing w:after="200" w:line="276" w:lineRule="auto"/>
    </w:pPr>
    <w:rPr>
      <w:rFonts w:ascii="Franklin Gothic Demi" w:eastAsia="Calibri" w:hAnsi="Franklin Gothic Demi"/>
      <w:b/>
      <w:bCs/>
      <w:color w:val="006857"/>
    </w:rPr>
  </w:style>
  <w:style w:type="table" w:styleId="TableGrid">
    <w:name w:val="Table Grid"/>
    <w:basedOn w:val="TableNormal"/>
    <w:uiPriority w:val="39"/>
    <w:rsid w:val="00B44273"/>
    <w:pPr>
      <w:ind w:firstLine="0"/>
      <w:jc w:val="left"/>
    </w:pPr>
    <w:rPr>
      <w:rFonts w:asciiTheme="minorHAnsi" w:eastAsia="SimSun"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B44273"/>
  </w:style>
  <w:style w:type="character" w:customStyle="1" w:styleId="ListParagraphChar">
    <w:name w:val="List Paragraph Char"/>
    <w:aliases w:val="Bullet EY Char,Sàraðo pastraipa Char,S?ra?o pastraipa Char,Bullets Char,List Paragraph (numbered (a)) Char,References Char,WB List Paragraph Char,Lapis Bulleted List Char,Dot pt Char,F5 List Paragraph Char,List Paragraph1 Char"/>
    <w:link w:val="ListParagraph"/>
    <w:uiPriority w:val="34"/>
    <w:qFormat/>
    <w:rsid w:val="00B44273"/>
  </w:style>
  <w:style w:type="character" w:styleId="Hyperlink">
    <w:name w:val="Hyperlink"/>
    <w:basedOn w:val="DefaultParagraphFont"/>
    <w:uiPriority w:val="99"/>
    <w:unhideWhenUsed/>
    <w:rsid w:val="00B44273"/>
    <w:rPr>
      <w:color w:val="0000FF"/>
      <w:u w:val="single"/>
    </w:rPr>
  </w:style>
  <w:style w:type="character" w:customStyle="1" w:styleId="Bodytext8">
    <w:name w:val="Body text (8)_"/>
    <w:basedOn w:val="DefaultParagraphFont"/>
    <w:link w:val="Bodytext80"/>
    <w:rsid w:val="00B44273"/>
    <w:rPr>
      <w:rFonts w:ascii="Arial" w:eastAsia="Arial" w:hAnsi="Arial" w:cs="Arial"/>
      <w:sz w:val="26"/>
      <w:szCs w:val="26"/>
      <w:shd w:val="clear" w:color="auto" w:fill="FFFFFF"/>
    </w:rPr>
  </w:style>
  <w:style w:type="paragraph" w:customStyle="1" w:styleId="Bodytext80">
    <w:name w:val="Body text (8)"/>
    <w:basedOn w:val="Normal"/>
    <w:link w:val="Bodytext8"/>
    <w:rsid w:val="00B44273"/>
    <w:pPr>
      <w:widowControl w:val="0"/>
      <w:shd w:val="clear" w:color="auto" w:fill="FFFFFF"/>
      <w:spacing w:line="0" w:lineRule="atLeast"/>
    </w:pPr>
    <w:rPr>
      <w:rFonts w:ascii="Arial" w:eastAsia="Arial" w:hAnsi="Arial" w:cs="Arial"/>
      <w:sz w:val="26"/>
      <w:szCs w:val="26"/>
    </w:rPr>
  </w:style>
  <w:style w:type="paragraph" w:styleId="NormalWeb">
    <w:name w:val="Normal (Web)"/>
    <w:basedOn w:val="Normal"/>
    <w:uiPriority w:val="99"/>
    <w:unhideWhenUsed/>
    <w:rsid w:val="00B44273"/>
    <w:rPr>
      <w:lang w:val="en-AU"/>
    </w:rPr>
  </w:style>
  <w:style w:type="paragraph" w:styleId="Header">
    <w:name w:val="header"/>
    <w:basedOn w:val="Normal"/>
    <w:link w:val="HeaderChar"/>
    <w:uiPriority w:val="99"/>
    <w:unhideWhenUsed/>
    <w:rsid w:val="00B44273"/>
    <w:pPr>
      <w:tabs>
        <w:tab w:val="center" w:pos="4680"/>
        <w:tab w:val="right" w:pos="9360"/>
      </w:tabs>
    </w:pPr>
  </w:style>
  <w:style w:type="character" w:customStyle="1" w:styleId="HeaderChar">
    <w:name w:val="Header Char"/>
    <w:basedOn w:val="DefaultParagraphFont"/>
    <w:link w:val="Header"/>
    <w:uiPriority w:val="99"/>
    <w:rsid w:val="00B44273"/>
    <w:rPr>
      <w:rFonts w:eastAsia="Times New Roman" w:cs="Times New Roman"/>
      <w:szCs w:val="24"/>
    </w:rPr>
  </w:style>
  <w:style w:type="paragraph" w:styleId="Footer">
    <w:name w:val="footer"/>
    <w:basedOn w:val="Normal"/>
    <w:link w:val="FooterChar"/>
    <w:uiPriority w:val="99"/>
    <w:unhideWhenUsed/>
    <w:rsid w:val="00B44273"/>
    <w:pPr>
      <w:tabs>
        <w:tab w:val="center" w:pos="4680"/>
        <w:tab w:val="right" w:pos="9360"/>
      </w:tabs>
    </w:pPr>
  </w:style>
  <w:style w:type="character" w:customStyle="1" w:styleId="FooterChar">
    <w:name w:val="Footer Char"/>
    <w:basedOn w:val="DefaultParagraphFont"/>
    <w:link w:val="Footer"/>
    <w:uiPriority w:val="99"/>
    <w:rsid w:val="00B44273"/>
    <w:rPr>
      <w:rFonts w:eastAsia="Times New Roman" w:cs="Times New Roman"/>
      <w:szCs w:val="24"/>
    </w:rPr>
  </w:style>
  <w:style w:type="character" w:customStyle="1" w:styleId="HeaderChar1">
    <w:name w:val="Header Char1"/>
    <w:basedOn w:val="DefaultParagraphFont"/>
    <w:uiPriority w:val="99"/>
    <w:semiHidden/>
    <w:rsid w:val="00B44273"/>
  </w:style>
  <w:style w:type="character" w:customStyle="1" w:styleId="FooterChar1">
    <w:name w:val="Footer Char1"/>
    <w:basedOn w:val="DefaultParagraphFont"/>
    <w:uiPriority w:val="99"/>
    <w:semiHidden/>
    <w:rsid w:val="00B44273"/>
  </w:style>
  <w:style w:type="character" w:customStyle="1" w:styleId="pull-right">
    <w:name w:val="pull-right"/>
    <w:basedOn w:val="DefaultParagraphFont"/>
    <w:rsid w:val="00B44273"/>
  </w:style>
  <w:style w:type="paragraph" w:customStyle="1" w:styleId="PreformattedText">
    <w:name w:val="Preformatted Text"/>
    <w:basedOn w:val="Normal"/>
    <w:qFormat/>
    <w:rsid w:val="00B44273"/>
    <w:pPr>
      <w:widowControl w:val="0"/>
      <w:suppressAutoHyphens/>
    </w:pPr>
    <w:rPr>
      <w:rFonts w:ascii="Liberation Mono" w:eastAsia="Noto Sans Mono CJK SC" w:hAnsi="Liberation Mono" w:cs="Liberation Mono"/>
      <w:sz w:val="20"/>
      <w:szCs w:val="20"/>
      <w:lang w:eastAsia="zh-CN" w:bidi="hi-IN"/>
    </w:rPr>
  </w:style>
  <w:style w:type="character" w:styleId="CommentReference">
    <w:name w:val="annotation reference"/>
    <w:basedOn w:val="DefaultParagraphFont"/>
    <w:uiPriority w:val="99"/>
    <w:semiHidden/>
    <w:unhideWhenUsed/>
    <w:rsid w:val="00B44273"/>
    <w:rPr>
      <w:sz w:val="16"/>
      <w:szCs w:val="16"/>
    </w:rPr>
  </w:style>
  <w:style w:type="paragraph" w:styleId="CommentText">
    <w:name w:val="annotation text"/>
    <w:basedOn w:val="Normal"/>
    <w:link w:val="CommentTextChar"/>
    <w:uiPriority w:val="99"/>
    <w:semiHidden/>
    <w:unhideWhenUsed/>
    <w:rsid w:val="00B44273"/>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44273"/>
    <w:rPr>
      <w:rFonts w:asciiTheme="minorHAnsi" w:hAnsiTheme="minorHAnsi"/>
      <w:sz w:val="20"/>
      <w:szCs w:val="20"/>
    </w:rPr>
  </w:style>
  <w:style w:type="character" w:customStyle="1" w:styleId="highlight">
    <w:name w:val="highlight"/>
    <w:basedOn w:val="DefaultParagraphFont"/>
    <w:rsid w:val="00B44273"/>
  </w:style>
  <w:style w:type="character" w:customStyle="1" w:styleId="apple-converted-space">
    <w:name w:val="apple-converted-space"/>
    <w:basedOn w:val="DefaultParagraphFont"/>
    <w:rsid w:val="00B44273"/>
  </w:style>
  <w:style w:type="character" w:customStyle="1" w:styleId="BodyTextChar1">
    <w:name w:val="Body Text Char1"/>
    <w:basedOn w:val="DefaultParagraphFont"/>
    <w:link w:val="BodyText"/>
    <w:uiPriority w:val="99"/>
    <w:locked/>
    <w:rsid w:val="00B44273"/>
    <w:rPr>
      <w:sz w:val="21"/>
      <w:szCs w:val="21"/>
      <w:shd w:val="clear" w:color="auto" w:fill="FFFFFF"/>
    </w:rPr>
  </w:style>
  <w:style w:type="paragraph" w:styleId="BodyText">
    <w:name w:val="Body Text"/>
    <w:basedOn w:val="Normal"/>
    <w:link w:val="BodyTextChar1"/>
    <w:uiPriority w:val="99"/>
    <w:qFormat/>
    <w:rsid w:val="00B44273"/>
    <w:pPr>
      <w:widowControl w:val="0"/>
      <w:shd w:val="clear" w:color="auto" w:fill="FFFFFF"/>
      <w:spacing w:after="240" w:line="240" w:lineRule="atLeast"/>
      <w:jc w:val="center"/>
    </w:pPr>
    <w:rPr>
      <w:rFonts w:eastAsiaTheme="minorHAnsi" w:cstheme="minorBidi"/>
      <w:sz w:val="21"/>
      <w:szCs w:val="21"/>
    </w:rPr>
  </w:style>
  <w:style w:type="character" w:customStyle="1" w:styleId="BodyTextChar">
    <w:name w:val="Body Text Char"/>
    <w:basedOn w:val="DefaultParagraphFont"/>
    <w:uiPriority w:val="99"/>
    <w:semiHidden/>
    <w:rsid w:val="00B44273"/>
    <w:rPr>
      <w:rFonts w:eastAsia="Times New Roman" w:cs="Times New Roman"/>
      <w:szCs w:val="24"/>
    </w:rPr>
  </w:style>
  <w:style w:type="paragraph" w:styleId="BalloonText">
    <w:name w:val="Balloon Text"/>
    <w:basedOn w:val="Normal"/>
    <w:link w:val="BalloonTextChar"/>
    <w:uiPriority w:val="99"/>
    <w:semiHidden/>
    <w:unhideWhenUsed/>
    <w:rsid w:val="00B442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273"/>
    <w:rPr>
      <w:rFonts w:ascii="Segoe UI" w:eastAsia="Times New Roman" w:hAnsi="Segoe UI" w:cs="Segoe UI"/>
      <w:sz w:val="18"/>
      <w:szCs w:val="18"/>
    </w:rPr>
  </w:style>
  <w:style w:type="paragraph" w:customStyle="1" w:styleId="msghead">
    <w:name w:val="msg_head"/>
    <w:basedOn w:val="Normal"/>
    <w:rsid w:val="00B44273"/>
    <w:pPr>
      <w:spacing w:before="100" w:beforeAutospacing="1" w:after="100" w:afterAutospacing="1"/>
    </w:pPr>
    <w:rPr>
      <w:rFonts w:eastAsiaTheme="minorEastAsia"/>
    </w:rPr>
  </w:style>
  <w:style w:type="character" w:customStyle="1" w:styleId="Heading30">
    <w:name w:val="Heading #3_"/>
    <w:basedOn w:val="DefaultParagraphFont"/>
    <w:link w:val="Heading31"/>
    <w:rsid w:val="00B44273"/>
    <w:rPr>
      <w:rFonts w:eastAsia="Arial"/>
      <w:b/>
      <w:bCs/>
      <w:shd w:val="clear" w:color="auto" w:fill="FFFFFF"/>
    </w:rPr>
  </w:style>
  <w:style w:type="paragraph" w:customStyle="1" w:styleId="Heading31">
    <w:name w:val="Heading #3"/>
    <w:basedOn w:val="Normal"/>
    <w:link w:val="Heading30"/>
    <w:rsid w:val="00B44273"/>
    <w:pPr>
      <w:widowControl w:val="0"/>
      <w:shd w:val="clear" w:color="auto" w:fill="FFFFFF"/>
      <w:spacing w:before="300" w:after="300" w:line="0" w:lineRule="atLeast"/>
      <w:ind w:hanging="2020"/>
      <w:jc w:val="center"/>
      <w:outlineLvl w:val="2"/>
    </w:pPr>
    <w:rPr>
      <w:rFonts w:eastAsia="Arial" w:cstheme="minorBidi"/>
      <w:b/>
      <w:bCs/>
      <w:szCs w:val="22"/>
    </w:rPr>
  </w:style>
  <w:style w:type="character" w:styleId="PageNumber">
    <w:name w:val="page number"/>
    <w:basedOn w:val="DefaultParagraphFont"/>
    <w:uiPriority w:val="99"/>
    <w:semiHidden/>
    <w:unhideWhenUsed/>
    <w:rsid w:val="00B44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2165</Words>
  <Characters>12344</Characters>
  <Application>Microsoft Office Word</Application>
  <DocSecurity>0</DocSecurity>
  <Lines>102</Lines>
  <Paragraphs>28</Paragraphs>
  <ScaleCrop>false</ScaleCrop>
  <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Oyunzul O</dc:creator>
  <cp:keywords/>
  <dc:description/>
  <cp:lastModifiedBy>Oyunzul O</cp:lastModifiedBy>
  <cp:revision>4</cp:revision>
  <dcterms:created xsi:type="dcterms:W3CDTF">2025-04-15T07:44:00Z</dcterms:created>
  <dcterms:modified xsi:type="dcterms:W3CDTF">2025-05-22T07:00:00Z</dcterms:modified>
</cp:coreProperties>
</file>