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5D001" w14:textId="77777777" w:rsidR="00152159" w:rsidRPr="00E338FA" w:rsidRDefault="002907A2" w:rsidP="00E338FA">
      <w:pPr>
        <w:jc w:val="center"/>
        <w:rPr>
          <w:rFonts w:ascii="Arial" w:hAnsi="Arial" w:cs="Arial"/>
        </w:rPr>
      </w:pPr>
      <w:r w:rsidRPr="00E338FA">
        <w:rPr>
          <w:rFonts w:ascii="Arial" w:hAnsi="Arial" w:cs="Arial"/>
        </w:rPr>
        <w:t>ИННОВАЦИЙН ТУХАЙ ХУУЛЬД НЭМЭЛТ,ӨӨРЧЛӨЛТ ОРУУЛАХ ТУХАЙ ХУУЛИЙН ТӨСЛИЙН ЗАРДЛЫН ТООЦООНЫ ТАЙЛАН</w:t>
      </w:r>
    </w:p>
    <w:p w14:paraId="63E994B2" w14:textId="77777777" w:rsidR="00E338FA" w:rsidRPr="00E338FA" w:rsidRDefault="00E338FA" w:rsidP="00E338FA">
      <w:pPr>
        <w:jc w:val="center"/>
        <w:rPr>
          <w:rFonts w:ascii="Arial" w:hAnsi="Arial" w:cs="Arial"/>
        </w:rPr>
      </w:pPr>
    </w:p>
    <w:p w14:paraId="12FA64CE" w14:textId="77777777" w:rsidR="00E338FA" w:rsidRPr="00E338FA" w:rsidRDefault="00E338FA" w:rsidP="00E338FA">
      <w:pPr>
        <w:ind w:firstLine="720"/>
        <w:jc w:val="both"/>
        <w:rPr>
          <w:rFonts w:ascii="Arial" w:hAnsi="Arial" w:cs="Arial"/>
        </w:rPr>
      </w:pPr>
      <w:r w:rsidRPr="00E338FA">
        <w:rPr>
          <w:rFonts w:ascii="Arial" w:hAnsi="Arial" w:cs="Arial"/>
        </w:rPr>
        <w:t>Инновацийн тухай хуульд нэмэлт, өөрчлөлт оруулах тухай хуулийн төслийг хэрэгжүүлэхтэй холбогдуулан гарах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аргачлалын дагуу хийлээ.</w:t>
      </w:r>
    </w:p>
    <w:p w14:paraId="2AF9FB25" w14:textId="77777777" w:rsidR="00E338FA" w:rsidRPr="00E338FA" w:rsidRDefault="00E338FA" w:rsidP="00E338FA">
      <w:pPr>
        <w:ind w:firstLine="720"/>
        <w:jc w:val="both"/>
        <w:rPr>
          <w:rFonts w:ascii="Arial" w:hAnsi="Arial" w:cs="Arial"/>
        </w:rPr>
      </w:pPr>
    </w:p>
    <w:p w14:paraId="532478C8" w14:textId="77777777" w:rsidR="00E338FA" w:rsidRDefault="00E338FA" w:rsidP="00E338FA">
      <w:pPr>
        <w:ind w:firstLine="720"/>
        <w:jc w:val="both"/>
        <w:rPr>
          <w:rFonts w:ascii="Arial" w:hAnsi="Arial" w:cs="Arial"/>
          <w:lang w:val="mn-MN"/>
        </w:rPr>
      </w:pPr>
      <w:r w:rsidRPr="00E338FA">
        <w:rPr>
          <w:rFonts w:ascii="Arial" w:hAnsi="Arial" w:cs="Arial"/>
          <w:lang w:val="mn-MN"/>
        </w:rPr>
        <w:t>Нэг. Хуулийн этгээдийн зардал</w:t>
      </w:r>
    </w:p>
    <w:p w14:paraId="393A6F4B" w14:textId="77777777" w:rsidR="00E338FA" w:rsidRDefault="00CE7AB6" w:rsidP="00E338FA">
      <w:pPr>
        <w:pStyle w:val="NormalWeb"/>
        <w:spacing w:after="0"/>
        <w:ind w:firstLine="720"/>
        <w:jc w:val="both"/>
        <w:rPr>
          <w:rFonts w:ascii="Arial" w:eastAsiaTheme="minorHAnsi" w:hAnsi="Arial" w:cs="Arial"/>
          <w:noProof/>
          <w:lang w:val="mn-MN"/>
        </w:rPr>
      </w:pPr>
      <w:r>
        <w:rPr>
          <w:rFonts w:ascii="Arial" w:eastAsiaTheme="minorHAnsi" w:hAnsi="Arial" w:cs="Arial"/>
          <w:noProof/>
          <w:lang w:val="mn-MN"/>
        </w:rPr>
        <w:t>Засгийн газрын тусгай сангийн</w:t>
      </w:r>
      <w:r w:rsidR="00E338FA">
        <w:rPr>
          <w:rFonts w:ascii="Arial" w:eastAsiaTheme="minorHAnsi" w:hAnsi="Arial" w:cs="Arial"/>
          <w:noProof/>
          <w:lang w:val="mn-MN"/>
        </w:rPr>
        <w:t xml:space="preserve"> тухай хуульд нэмэлт, өөрчлөлт оруулах тухай хуулийн төслийг </w:t>
      </w:r>
      <w:r w:rsidR="00E338FA" w:rsidRPr="00E338FA">
        <w:rPr>
          <w:rFonts w:ascii="Arial" w:eastAsiaTheme="minorHAnsi" w:hAnsi="Arial" w:cs="Arial"/>
          <w:noProof/>
          <w:lang w:val="mn-MN"/>
        </w:rPr>
        <w:t>хэрэгжүүлэхтэй холбоотойгоор хуулийн этгээд</w:t>
      </w:r>
      <w:r w:rsidR="00E338FA">
        <w:rPr>
          <w:rFonts w:ascii="Arial" w:eastAsiaTheme="minorHAnsi" w:hAnsi="Arial" w:cs="Arial"/>
          <w:noProof/>
          <w:lang w:val="mn-MN"/>
        </w:rPr>
        <w:t>эд заавал биелүүлэх шинжтэй үүрэг хариуцлага тусгаагүй тул нэмэгдэл зардал үүсэхгүй.</w:t>
      </w:r>
    </w:p>
    <w:p w14:paraId="11CC5389" w14:textId="77777777" w:rsidR="00E338FA" w:rsidRDefault="00E338FA" w:rsidP="00E338FA">
      <w:pPr>
        <w:pStyle w:val="NormalWeb"/>
        <w:spacing w:after="0"/>
        <w:ind w:firstLine="720"/>
        <w:jc w:val="both"/>
        <w:rPr>
          <w:rFonts w:ascii="Arial" w:hAnsi="Arial" w:cs="Arial"/>
          <w:lang w:val="mn-MN"/>
        </w:rPr>
      </w:pPr>
      <w:r w:rsidRPr="00E338FA">
        <w:rPr>
          <w:rFonts w:ascii="Arial" w:hAnsi="Arial" w:cs="Arial"/>
          <w:lang w:val="mn-MN"/>
        </w:rPr>
        <w:t>Хоёр. Төрийн байгууллагын зардал буюу орон нутгийн төсөвт үүсэх зардал</w:t>
      </w:r>
    </w:p>
    <w:p w14:paraId="66AD6697" w14:textId="38D75DD6" w:rsidR="00E338FA" w:rsidRDefault="00CE7AB6" w:rsidP="00CB46EE">
      <w:pPr>
        <w:pStyle w:val="NormalWeb"/>
        <w:spacing w:after="0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Засгийн газрын тусгай сангийн</w:t>
      </w:r>
      <w:r w:rsidR="00E338FA">
        <w:rPr>
          <w:rFonts w:ascii="Arial" w:hAnsi="Arial" w:cs="Arial"/>
          <w:lang w:val="mn-MN"/>
        </w:rPr>
        <w:t xml:space="preserve"> тухай хуульд нэмэлт өөрчлөлт оруулах тухай хуулийн төсл</w:t>
      </w:r>
      <w:r>
        <w:rPr>
          <w:rFonts w:ascii="Arial" w:hAnsi="Arial" w:cs="Arial"/>
          <w:lang w:val="mn-MN"/>
        </w:rPr>
        <w:t>өөр Инновацын санг шинээр үүсгэн байгуулж байна</w:t>
      </w:r>
      <w:r w:rsidR="00E338FA">
        <w:rPr>
          <w:rFonts w:ascii="Arial" w:hAnsi="Arial" w:cs="Arial"/>
          <w:lang w:val="mn-MN"/>
        </w:rPr>
        <w:t xml:space="preserve">. </w:t>
      </w:r>
      <w:r w:rsidR="00CB46EE">
        <w:rPr>
          <w:rFonts w:ascii="Arial" w:hAnsi="Arial" w:cs="Arial"/>
          <w:lang w:val="mn-MN"/>
        </w:rPr>
        <w:t xml:space="preserve">Тус сан нь зээл олгох, </w:t>
      </w:r>
      <w:r w:rsidR="002907A2">
        <w:rPr>
          <w:rFonts w:ascii="Arial" w:hAnsi="Arial" w:cs="Arial"/>
          <w:lang w:val="mn-MN"/>
        </w:rPr>
        <w:t xml:space="preserve">олгосон </w:t>
      </w:r>
      <w:r w:rsidR="00CB46EE">
        <w:rPr>
          <w:rFonts w:ascii="Arial" w:hAnsi="Arial" w:cs="Arial"/>
          <w:lang w:val="mn-MN"/>
        </w:rPr>
        <w:t>зээлийн хүүгээр бусад дэмжлэг болон холбогдох зардлыг санхүүжүүлэхээр хуулийн төслийн үзэл баримтлалд тусгасан байна.</w:t>
      </w:r>
    </w:p>
    <w:p w14:paraId="2545950F" w14:textId="77777777" w:rsidR="00E357D5" w:rsidRDefault="00CB46EE" w:rsidP="00E357D5">
      <w:pPr>
        <w:pStyle w:val="NormalWeb"/>
        <w:spacing w:after="0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Дээрх санг шинээр үүсгэн байгуулахтай холбоотойгоор сангийн хөрөнгийг бүрдүүлэхдээ улсын төсвөөс санхүүжүүлэхээр тооцсон байх бөгөөд сан нь өөрөө өөрийгөө санхүүжүүлэх хэмжээнд хүрэх</w:t>
      </w:r>
      <w:r w:rsidR="00E357D5">
        <w:rPr>
          <w:rFonts w:ascii="Arial" w:hAnsi="Arial" w:cs="Arial"/>
          <w:lang w:val="mn-MN"/>
        </w:rPr>
        <w:t xml:space="preserve"> буюу </w:t>
      </w:r>
      <w:r w:rsidR="00E357D5" w:rsidRPr="0025287B">
        <w:rPr>
          <w:rFonts w:ascii="Arial" w:eastAsia="Arial" w:hAnsi="Arial" w:cs="Arial"/>
          <w:noProof/>
        </w:rPr>
        <w:t>21</w:t>
      </w:r>
      <w:r w:rsidR="00E357D5">
        <w:rPr>
          <w:rFonts w:ascii="Arial" w:eastAsia="Arial" w:hAnsi="Arial" w:cs="Arial"/>
          <w:noProof/>
          <w:vertAlign w:val="superscript"/>
        </w:rPr>
        <w:t>3</w:t>
      </w:r>
      <w:r w:rsidR="00E357D5" w:rsidRPr="0025287B">
        <w:rPr>
          <w:rFonts w:ascii="Arial" w:eastAsia="Arial" w:hAnsi="Arial" w:cs="Arial"/>
          <w:noProof/>
        </w:rPr>
        <w:t>.</w:t>
      </w:r>
      <w:r w:rsidR="00E357D5">
        <w:rPr>
          <w:rFonts w:ascii="Arial" w:eastAsia="Arial" w:hAnsi="Arial" w:cs="Arial"/>
          <w:noProof/>
          <w:lang w:val="mn-MN"/>
        </w:rPr>
        <w:t>4</w:t>
      </w:r>
      <w:r w:rsidR="00E357D5" w:rsidRPr="0025287B">
        <w:rPr>
          <w:rFonts w:ascii="Arial" w:eastAsia="Arial" w:hAnsi="Arial" w:cs="Arial"/>
          <w:noProof/>
        </w:rPr>
        <w:t>.</w:t>
      </w:r>
      <w:r w:rsidR="00E357D5">
        <w:rPr>
          <w:rFonts w:ascii="Arial" w:eastAsia="Arial" w:hAnsi="Arial" w:cs="Arial"/>
          <w:noProof/>
          <w:lang w:val="mn-MN"/>
        </w:rPr>
        <w:t>2-8-д заасан үйл ажиллагаанд</w:t>
      </w:r>
      <w:r w:rsidR="00E357D5">
        <w:rPr>
          <w:rFonts w:ascii="Arial" w:hAnsi="Arial" w:cs="Arial"/>
          <w:lang w:val="mn-MN"/>
        </w:rPr>
        <w:t xml:space="preserve"> жилд 1 тэрбум төгрөгийн дэмжлэгийг үзүүлэхээр тооцвол</w:t>
      </w:r>
      <w:r>
        <w:rPr>
          <w:rFonts w:ascii="Arial" w:hAnsi="Arial" w:cs="Arial"/>
          <w:lang w:val="mn-MN"/>
        </w:rPr>
        <w:t xml:space="preserve"> ойролцоогоор 3</w:t>
      </w:r>
      <w:r w:rsidR="00E357D5">
        <w:rPr>
          <w:rFonts w:ascii="Arial" w:hAnsi="Arial" w:cs="Arial"/>
          <w:lang w:val="mn-MN"/>
        </w:rPr>
        <w:t>3</w:t>
      </w:r>
      <w:r>
        <w:rPr>
          <w:rFonts w:ascii="Arial" w:hAnsi="Arial" w:cs="Arial"/>
          <w:lang w:val="mn-MN"/>
        </w:rPr>
        <w:t xml:space="preserve"> тэрбум төгрөг шаардлагатай байхаар байна.</w:t>
      </w:r>
      <w:r w:rsidR="002907A2">
        <w:rPr>
          <w:rFonts w:ascii="Arial" w:hAnsi="Arial" w:cs="Arial"/>
          <w:lang w:val="mn-MN"/>
        </w:rPr>
        <w:t xml:space="preserve"> Энэ </w:t>
      </w:r>
      <w:r w:rsidR="00E357D5">
        <w:rPr>
          <w:rFonts w:ascii="Arial" w:hAnsi="Arial" w:cs="Arial"/>
          <w:lang w:val="mn-MN"/>
        </w:rPr>
        <w:t>хөрөнгийг улсын төсөвт дарамт бага үзүүлэхээр тооцвол дунд хугацаанд буюу 3-5 жилд үе шаттайгаар бүрдүүлэх боломжтой байна.</w:t>
      </w:r>
    </w:p>
    <w:p w14:paraId="797430FE" w14:textId="77777777" w:rsidR="00E357D5" w:rsidRDefault="00E357D5" w:rsidP="00E357D5">
      <w:pPr>
        <w:pStyle w:val="NormalWeb"/>
        <w:spacing w:after="0" w:afterAutospacing="0"/>
        <w:ind w:firstLine="720"/>
        <w:jc w:val="righ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мян.төг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1681"/>
        <w:gridCol w:w="1829"/>
        <w:gridCol w:w="1505"/>
        <w:gridCol w:w="1829"/>
      </w:tblGrid>
      <w:tr w:rsidR="00E357D5" w:rsidRPr="00E357D5" w14:paraId="2A818501" w14:textId="77777777" w:rsidTr="002907A2">
        <w:trPr>
          <w:trHeight w:val="288"/>
        </w:trPr>
        <w:tc>
          <w:tcPr>
            <w:tcW w:w="1422" w:type="pct"/>
            <w:shd w:val="clear" w:color="auto" w:fill="auto"/>
            <w:noWrap/>
            <w:vAlign w:val="bottom"/>
            <w:hideMark/>
          </w:tcPr>
          <w:p w14:paraId="79888A96" w14:textId="77777777" w:rsidR="00E357D5" w:rsidRPr="00E357D5" w:rsidRDefault="00E357D5" w:rsidP="00E357D5">
            <w:pPr>
              <w:rPr>
                <w:rFonts w:ascii="Arial" w:eastAsia="Times New Roman" w:hAnsi="Arial" w:cs="Arial"/>
                <w:noProof w:val="0"/>
              </w:rPr>
            </w:pP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0639A8B0" w14:textId="77777777" w:rsidR="00E357D5" w:rsidRPr="002907A2" w:rsidRDefault="00E357D5" w:rsidP="002907A2">
            <w:pPr>
              <w:jc w:val="center"/>
              <w:rPr>
                <w:rFonts w:ascii="Arial" w:eastAsia="Times New Roman" w:hAnsi="Arial" w:cs="Arial"/>
                <w:i/>
                <w:noProof w:val="0"/>
                <w:color w:val="000000"/>
                <w:sz w:val="22"/>
                <w:szCs w:val="22"/>
              </w:rPr>
            </w:pPr>
            <w:proofErr w:type="spellStart"/>
            <w:r w:rsidRPr="002907A2">
              <w:rPr>
                <w:rFonts w:ascii="Arial" w:eastAsia="Times New Roman" w:hAnsi="Arial" w:cs="Arial"/>
                <w:i/>
                <w:noProof w:val="0"/>
                <w:color w:val="000000"/>
                <w:sz w:val="22"/>
                <w:szCs w:val="22"/>
              </w:rPr>
              <w:t>Хувилбар</w:t>
            </w:r>
            <w:proofErr w:type="spellEnd"/>
            <w:r w:rsidRPr="002907A2">
              <w:rPr>
                <w:rFonts w:ascii="Arial" w:eastAsia="Times New Roman" w:hAnsi="Arial" w:cs="Arial"/>
                <w:i/>
                <w:noProof w:val="0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956" w:type="pct"/>
            <w:shd w:val="clear" w:color="auto" w:fill="auto"/>
            <w:noWrap/>
            <w:vAlign w:val="center"/>
            <w:hideMark/>
          </w:tcPr>
          <w:p w14:paraId="6D0915B7" w14:textId="77777777" w:rsidR="00E357D5" w:rsidRPr="002907A2" w:rsidRDefault="00E357D5" w:rsidP="002907A2">
            <w:pPr>
              <w:jc w:val="center"/>
              <w:rPr>
                <w:rFonts w:ascii="Arial" w:eastAsia="Times New Roman" w:hAnsi="Arial" w:cs="Arial"/>
                <w:i/>
                <w:noProof w:val="0"/>
                <w:color w:val="000000"/>
                <w:sz w:val="22"/>
                <w:szCs w:val="22"/>
              </w:rPr>
            </w:pPr>
            <w:proofErr w:type="spellStart"/>
            <w:r w:rsidRPr="002907A2">
              <w:rPr>
                <w:rFonts w:ascii="Arial" w:eastAsia="Times New Roman" w:hAnsi="Arial" w:cs="Arial"/>
                <w:i/>
                <w:noProof w:val="0"/>
                <w:color w:val="000000"/>
                <w:sz w:val="22"/>
                <w:szCs w:val="22"/>
              </w:rPr>
              <w:t>Хувилбар</w:t>
            </w:r>
            <w:proofErr w:type="spellEnd"/>
            <w:r w:rsidRPr="002907A2">
              <w:rPr>
                <w:rFonts w:ascii="Arial" w:eastAsia="Times New Roman" w:hAnsi="Arial" w:cs="Arial"/>
                <w:i/>
                <w:noProof w:val="0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14:paraId="10930D03" w14:textId="77777777" w:rsidR="00E357D5" w:rsidRPr="002907A2" w:rsidRDefault="00E357D5" w:rsidP="002907A2">
            <w:pPr>
              <w:jc w:val="center"/>
              <w:rPr>
                <w:rFonts w:ascii="Arial" w:eastAsia="Times New Roman" w:hAnsi="Arial" w:cs="Arial"/>
                <w:i/>
                <w:noProof w:val="0"/>
                <w:color w:val="000000"/>
                <w:sz w:val="22"/>
                <w:szCs w:val="22"/>
              </w:rPr>
            </w:pPr>
            <w:proofErr w:type="spellStart"/>
            <w:r w:rsidRPr="002907A2">
              <w:rPr>
                <w:rFonts w:ascii="Arial" w:eastAsia="Times New Roman" w:hAnsi="Arial" w:cs="Arial"/>
                <w:i/>
                <w:noProof w:val="0"/>
                <w:color w:val="000000"/>
                <w:sz w:val="22"/>
                <w:szCs w:val="22"/>
              </w:rPr>
              <w:t>Хувилбар</w:t>
            </w:r>
            <w:proofErr w:type="spellEnd"/>
            <w:r w:rsidRPr="002907A2">
              <w:rPr>
                <w:rFonts w:ascii="Arial" w:eastAsia="Times New Roman" w:hAnsi="Arial" w:cs="Arial"/>
                <w:i/>
                <w:noProof w:val="0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956" w:type="pct"/>
            <w:shd w:val="clear" w:color="auto" w:fill="auto"/>
            <w:noWrap/>
            <w:vAlign w:val="center"/>
            <w:hideMark/>
          </w:tcPr>
          <w:p w14:paraId="7466E58F" w14:textId="77777777" w:rsidR="00E357D5" w:rsidRPr="002907A2" w:rsidRDefault="00E357D5" w:rsidP="002907A2">
            <w:pPr>
              <w:jc w:val="center"/>
              <w:rPr>
                <w:rFonts w:ascii="Arial" w:eastAsia="Times New Roman" w:hAnsi="Arial" w:cs="Arial"/>
                <w:i/>
                <w:noProof w:val="0"/>
                <w:color w:val="000000"/>
                <w:sz w:val="22"/>
                <w:szCs w:val="22"/>
              </w:rPr>
            </w:pPr>
            <w:proofErr w:type="spellStart"/>
            <w:r w:rsidRPr="002907A2">
              <w:rPr>
                <w:rFonts w:ascii="Arial" w:eastAsia="Times New Roman" w:hAnsi="Arial" w:cs="Arial"/>
                <w:i/>
                <w:noProof w:val="0"/>
                <w:color w:val="000000"/>
                <w:sz w:val="22"/>
                <w:szCs w:val="22"/>
              </w:rPr>
              <w:t>Хувилбар</w:t>
            </w:r>
            <w:proofErr w:type="spellEnd"/>
            <w:r w:rsidRPr="002907A2">
              <w:rPr>
                <w:rFonts w:ascii="Arial" w:eastAsia="Times New Roman" w:hAnsi="Arial" w:cs="Arial"/>
                <w:i/>
                <w:noProof w:val="0"/>
                <w:color w:val="000000"/>
                <w:sz w:val="22"/>
                <w:szCs w:val="22"/>
              </w:rPr>
              <w:t xml:space="preserve"> 4</w:t>
            </w:r>
          </w:p>
        </w:tc>
      </w:tr>
      <w:tr w:rsidR="00E357D5" w:rsidRPr="00E357D5" w14:paraId="2C90D2F7" w14:textId="77777777" w:rsidTr="002907A2">
        <w:trPr>
          <w:trHeight w:val="288"/>
        </w:trPr>
        <w:tc>
          <w:tcPr>
            <w:tcW w:w="1422" w:type="pct"/>
            <w:shd w:val="clear" w:color="auto" w:fill="auto"/>
            <w:noWrap/>
            <w:vAlign w:val="bottom"/>
            <w:hideMark/>
          </w:tcPr>
          <w:p w14:paraId="45D83A20" w14:textId="77777777" w:rsidR="00E357D5" w:rsidRPr="00E357D5" w:rsidRDefault="00E357D5" w:rsidP="00E357D5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E357D5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Сангийн</w:t>
            </w:r>
            <w:proofErr w:type="spellEnd"/>
            <w:r w:rsidR="002907A2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  <w:lang w:val="mn-MN"/>
              </w:rPr>
              <w:t xml:space="preserve"> </w:t>
            </w:r>
            <w:proofErr w:type="spellStart"/>
            <w:r w:rsidRPr="00E357D5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хөрөнгө</w:t>
            </w:r>
            <w:proofErr w:type="spellEnd"/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133AB166" w14:textId="77777777" w:rsidR="00E357D5" w:rsidRPr="00E357D5" w:rsidRDefault="00E357D5" w:rsidP="002907A2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E357D5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8,333,333</w:t>
            </w:r>
          </w:p>
        </w:tc>
        <w:tc>
          <w:tcPr>
            <w:tcW w:w="956" w:type="pct"/>
            <w:shd w:val="clear" w:color="auto" w:fill="auto"/>
            <w:noWrap/>
            <w:vAlign w:val="center"/>
            <w:hideMark/>
          </w:tcPr>
          <w:p w14:paraId="4DB44C61" w14:textId="77777777" w:rsidR="00E357D5" w:rsidRPr="00E357D5" w:rsidRDefault="00E357D5" w:rsidP="002907A2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E357D5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16,666,667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14:paraId="18E2F32B" w14:textId="77777777" w:rsidR="00E357D5" w:rsidRPr="00E357D5" w:rsidRDefault="00E357D5" w:rsidP="002907A2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E357D5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33,333,333</w:t>
            </w:r>
          </w:p>
        </w:tc>
        <w:tc>
          <w:tcPr>
            <w:tcW w:w="956" w:type="pct"/>
            <w:shd w:val="clear" w:color="auto" w:fill="auto"/>
            <w:noWrap/>
            <w:vAlign w:val="center"/>
            <w:hideMark/>
          </w:tcPr>
          <w:p w14:paraId="55976880" w14:textId="77777777" w:rsidR="00E357D5" w:rsidRPr="00E357D5" w:rsidRDefault="00E357D5" w:rsidP="002907A2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E357D5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66,666,667</w:t>
            </w:r>
          </w:p>
        </w:tc>
      </w:tr>
      <w:tr w:rsidR="00E357D5" w:rsidRPr="00E357D5" w14:paraId="028DC00B" w14:textId="77777777" w:rsidTr="002907A2">
        <w:trPr>
          <w:trHeight w:val="288"/>
        </w:trPr>
        <w:tc>
          <w:tcPr>
            <w:tcW w:w="1422" w:type="pct"/>
            <w:shd w:val="clear" w:color="auto" w:fill="auto"/>
            <w:noWrap/>
            <w:vAlign w:val="bottom"/>
            <w:hideMark/>
          </w:tcPr>
          <w:p w14:paraId="4AFA06C0" w14:textId="77777777" w:rsidR="00E357D5" w:rsidRPr="00E357D5" w:rsidRDefault="00E357D5" w:rsidP="00E357D5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E357D5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Хүүгийн</w:t>
            </w:r>
            <w:proofErr w:type="spellEnd"/>
            <w:r w:rsidR="002907A2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  <w:lang w:val="mn-MN"/>
              </w:rPr>
              <w:t xml:space="preserve"> </w:t>
            </w:r>
            <w:proofErr w:type="spellStart"/>
            <w:r w:rsidR="002907A2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орлого</w:t>
            </w:r>
            <w:proofErr w:type="spellEnd"/>
            <w:r w:rsidR="002907A2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 (</w:t>
            </w:r>
            <w:r w:rsidRPr="00E357D5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3%</w:t>
            </w:r>
            <w:r w:rsidR="002907A2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74E1D65A" w14:textId="77777777" w:rsidR="00E357D5" w:rsidRPr="00E357D5" w:rsidRDefault="00E357D5" w:rsidP="002907A2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E357D5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250,000</w:t>
            </w:r>
          </w:p>
        </w:tc>
        <w:tc>
          <w:tcPr>
            <w:tcW w:w="956" w:type="pct"/>
            <w:shd w:val="clear" w:color="auto" w:fill="auto"/>
            <w:noWrap/>
            <w:vAlign w:val="center"/>
            <w:hideMark/>
          </w:tcPr>
          <w:p w14:paraId="16E93C66" w14:textId="77777777" w:rsidR="00E357D5" w:rsidRPr="00E357D5" w:rsidRDefault="00E357D5" w:rsidP="002907A2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E357D5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500,000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14:paraId="0CBED8B8" w14:textId="77777777" w:rsidR="00E357D5" w:rsidRPr="00E357D5" w:rsidRDefault="00E357D5" w:rsidP="002907A2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E357D5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956" w:type="pct"/>
            <w:shd w:val="clear" w:color="auto" w:fill="auto"/>
            <w:noWrap/>
            <w:vAlign w:val="center"/>
            <w:hideMark/>
          </w:tcPr>
          <w:p w14:paraId="108CBF26" w14:textId="77777777" w:rsidR="00E357D5" w:rsidRPr="00E357D5" w:rsidRDefault="00E357D5" w:rsidP="002907A2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E357D5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2,000,000</w:t>
            </w:r>
          </w:p>
        </w:tc>
      </w:tr>
    </w:tbl>
    <w:p w14:paraId="130D120F" w14:textId="77777777" w:rsidR="00E338FA" w:rsidRDefault="00CB46EE" w:rsidP="00E338FA">
      <w:pPr>
        <w:pStyle w:val="NormalWeb"/>
        <w:spacing w:after="0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Засгийн газрын тусгай сангийн</w:t>
      </w:r>
      <w:r w:rsidR="00E338FA">
        <w:rPr>
          <w:rFonts w:ascii="Arial" w:hAnsi="Arial" w:cs="Arial"/>
          <w:lang w:val="mn-MN"/>
        </w:rPr>
        <w:t xml:space="preserve"> тухай хуульд нэмэлт</w:t>
      </w:r>
      <w:r>
        <w:rPr>
          <w:rFonts w:ascii="Arial" w:hAnsi="Arial" w:cs="Arial"/>
          <w:lang w:val="mn-MN"/>
        </w:rPr>
        <w:t>,</w:t>
      </w:r>
      <w:r w:rsidR="00E338FA">
        <w:rPr>
          <w:rFonts w:ascii="Arial" w:hAnsi="Arial" w:cs="Arial"/>
          <w:lang w:val="mn-MN"/>
        </w:rPr>
        <w:t xml:space="preserve"> өөрчлөлт оруулах тухай хуулийн төслийн хувьд төрийн байгууллагатай холбоотой нэмэгдэл зардал гарахгүй гэж үзэж байгаа бөгөөд одоогийн хүний нөөц, төсвийн хүрээнд хэрэгжүүлэх боломжтой.</w:t>
      </w:r>
    </w:p>
    <w:p w14:paraId="777A756E" w14:textId="3937B6D4" w:rsidR="00202ED6" w:rsidRDefault="00CB46EE" w:rsidP="00CB46EE">
      <w:pPr>
        <w:pStyle w:val="NormalWeb"/>
        <w:spacing w:after="0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Харин холбогдох төрийн байгууллагын хүний нөөцийн чадавхыг нэмэгдүүлэх зайлшгүй шаардлага байгааг анхаарч үзэх нь зүйтэй байна.</w:t>
      </w:r>
    </w:p>
    <w:p w14:paraId="2FF805B5" w14:textId="77777777" w:rsidR="00E338FA" w:rsidRPr="00E338FA" w:rsidRDefault="00E338FA" w:rsidP="00E338FA">
      <w:pPr>
        <w:ind w:firstLine="720"/>
        <w:jc w:val="both"/>
        <w:rPr>
          <w:rFonts w:ascii="Arial" w:hAnsi="Arial" w:cs="Arial"/>
          <w:lang w:val="mn-MN"/>
        </w:rPr>
      </w:pPr>
      <w:r w:rsidRPr="00E338FA">
        <w:rPr>
          <w:rFonts w:ascii="Arial" w:hAnsi="Arial" w:cs="Arial"/>
          <w:lang w:val="mn-MN"/>
        </w:rPr>
        <w:t>Гурав. Иргэний зардлыг тооцох</w:t>
      </w:r>
    </w:p>
    <w:p w14:paraId="58FFB743" w14:textId="77777777" w:rsidR="00E338FA" w:rsidRDefault="00E338FA" w:rsidP="00E338FA">
      <w:pPr>
        <w:ind w:firstLine="720"/>
        <w:jc w:val="both"/>
        <w:rPr>
          <w:rFonts w:ascii="Arial" w:hAnsi="Arial" w:cs="Arial"/>
        </w:rPr>
      </w:pPr>
    </w:p>
    <w:p w14:paraId="65265C41" w14:textId="77777777" w:rsidR="00E338FA" w:rsidRDefault="00E338FA" w:rsidP="00E338FA">
      <w:pPr>
        <w:ind w:firstLine="720"/>
        <w:jc w:val="both"/>
        <w:rPr>
          <w:rFonts w:ascii="Arial" w:hAnsi="Arial" w:cs="Arial"/>
        </w:rPr>
      </w:pPr>
      <w:r w:rsidRPr="00E338FA">
        <w:rPr>
          <w:rFonts w:ascii="Arial" w:hAnsi="Arial" w:cs="Arial"/>
        </w:rPr>
        <w:t>Уг хуулийн төслийг хэрэгжүүлэхэд иргэдэд үүсэх, нэмэгдэх зардал байхгүй.</w:t>
      </w:r>
    </w:p>
    <w:p w14:paraId="0BAE1E6E" w14:textId="77777777" w:rsidR="00E338FA" w:rsidRDefault="00E338FA" w:rsidP="00E338FA">
      <w:pPr>
        <w:ind w:firstLine="720"/>
        <w:jc w:val="both"/>
        <w:rPr>
          <w:rFonts w:ascii="Arial" w:hAnsi="Arial" w:cs="Arial"/>
        </w:rPr>
      </w:pPr>
    </w:p>
    <w:p w14:paraId="31D21C42" w14:textId="77777777" w:rsidR="00E338FA" w:rsidRDefault="00E338FA" w:rsidP="00E338FA">
      <w:pPr>
        <w:ind w:firstLine="720"/>
        <w:jc w:val="both"/>
        <w:rPr>
          <w:rFonts w:ascii="Arial" w:hAnsi="Arial" w:cs="Arial"/>
        </w:rPr>
      </w:pPr>
    </w:p>
    <w:p w14:paraId="6492CF97" w14:textId="77777777" w:rsidR="00E338FA" w:rsidRPr="00E338FA" w:rsidRDefault="00E338FA" w:rsidP="00E338F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--- оОо ---</w:t>
      </w:r>
    </w:p>
    <w:sectPr w:rsidR="00E338FA" w:rsidRPr="00E338FA" w:rsidSect="002907A2">
      <w:pgSz w:w="11900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7E0FA9"/>
    <w:multiLevelType w:val="hybridMultilevel"/>
    <w:tmpl w:val="0420A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8FA"/>
    <w:rsid w:val="0007188E"/>
    <w:rsid w:val="000A27A6"/>
    <w:rsid w:val="00202ED6"/>
    <w:rsid w:val="002907A2"/>
    <w:rsid w:val="004B14D0"/>
    <w:rsid w:val="006F7D4D"/>
    <w:rsid w:val="0072732B"/>
    <w:rsid w:val="0080493F"/>
    <w:rsid w:val="00833721"/>
    <w:rsid w:val="008448C1"/>
    <w:rsid w:val="009142A7"/>
    <w:rsid w:val="00BB63C5"/>
    <w:rsid w:val="00C53DDB"/>
    <w:rsid w:val="00CB46EE"/>
    <w:rsid w:val="00CE7AB6"/>
    <w:rsid w:val="00E338FA"/>
    <w:rsid w:val="00E35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7A93E"/>
  <w15:docId w15:val="{F4C24B8F-EA5C-F446-9225-D0789DD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DDB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38FA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9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Onolt Davaadorj</dc:creator>
  <cp:keywords/>
  <dc:description/>
  <cp:lastModifiedBy>Onolt Davaadorj</cp:lastModifiedBy>
  <cp:revision>5</cp:revision>
  <dcterms:created xsi:type="dcterms:W3CDTF">2021-06-09T07:16:00Z</dcterms:created>
  <dcterms:modified xsi:type="dcterms:W3CDTF">2021-06-10T22:57:00Z</dcterms:modified>
</cp:coreProperties>
</file>