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090A" w14:textId="77777777" w:rsidR="00B03EC3" w:rsidRDefault="00B03EC3" w:rsidP="00B03EC3">
      <w:pPr>
        <w:pStyle w:val="Heading10"/>
        <w:keepNext/>
        <w:keepLines/>
        <w:spacing w:before="60" w:after="60" w:line="360" w:lineRule="auto"/>
        <w:rPr>
          <w:rFonts w:ascii="Times New Roman" w:hAnsi="Times New Roman" w:cs="Times New Roman"/>
        </w:rPr>
      </w:pPr>
      <w:bookmarkStart w:id="0" w:name="bookmark0"/>
    </w:p>
    <w:p w14:paraId="43EFB6DB" w14:textId="77777777" w:rsidR="00B03EC3" w:rsidRDefault="00B03EC3" w:rsidP="00B03EC3">
      <w:pPr>
        <w:pStyle w:val="Heading10"/>
        <w:keepNext/>
        <w:keepLines/>
        <w:spacing w:before="60" w:after="60" w:line="360" w:lineRule="auto"/>
        <w:rPr>
          <w:rFonts w:ascii="Times New Roman" w:hAnsi="Times New Roman" w:cs="Times New Roman"/>
        </w:rPr>
      </w:pPr>
    </w:p>
    <w:p w14:paraId="5E300E23" w14:textId="77777777" w:rsidR="00B03EC3" w:rsidRDefault="00B03EC3" w:rsidP="00B03EC3">
      <w:pPr>
        <w:pStyle w:val="Heading10"/>
        <w:keepNext/>
        <w:keepLines/>
        <w:spacing w:before="60" w:after="60" w:line="360" w:lineRule="auto"/>
        <w:rPr>
          <w:rFonts w:ascii="Times New Roman" w:hAnsi="Times New Roman" w:cs="Times New Roman"/>
        </w:rPr>
      </w:pPr>
    </w:p>
    <w:p w14:paraId="0283762C" w14:textId="77777777" w:rsidR="00B03EC3" w:rsidRDefault="00B03EC3" w:rsidP="00B03EC3">
      <w:pPr>
        <w:pStyle w:val="Heading10"/>
        <w:keepNext/>
        <w:keepLines/>
        <w:spacing w:before="60" w:after="60" w:line="360" w:lineRule="auto"/>
        <w:rPr>
          <w:rFonts w:ascii="Times New Roman" w:hAnsi="Times New Roman" w:cs="Times New Roman"/>
        </w:rPr>
      </w:pPr>
    </w:p>
    <w:p w14:paraId="6072DBB6" w14:textId="77777777" w:rsidR="00B03EC3" w:rsidRDefault="00B03EC3" w:rsidP="00B03EC3">
      <w:pPr>
        <w:pStyle w:val="Heading10"/>
        <w:keepNext/>
        <w:keepLines/>
        <w:spacing w:before="60" w:after="60" w:line="360" w:lineRule="auto"/>
        <w:rPr>
          <w:rFonts w:ascii="Times New Roman" w:hAnsi="Times New Roman" w:cs="Times New Roman"/>
        </w:rPr>
      </w:pPr>
    </w:p>
    <w:p w14:paraId="5AAB2699" w14:textId="77777777" w:rsidR="00B03EC3" w:rsidRDefault="00B03EC3" w:rsidP="00B03EC3">
      <w:pPr>
        <w:pStyle w:val="Heading10"/>
        <w:keepNext/>
        <w:keepLines/>
        <w:spacing w:before="60" w:after="60" w:line="360" w:lineRule="auto"/>
        <w:rPr>
          <w:rFonts w:ascii="Times New Roman" w:hAnsi="Times New Roman" w:cs="Times New Roman"/>
        </w:rPr>
      </w:pPr>
    </w:p>
    <w:p w14:paraId="2FAA18A7" w14:textId="77777777" w:rsidR="00B03EC3" w:rsidRDefault="00B03EC3" w:rsidP="00B03EC3">
      <w:pPr>
        <w:pStyle w:val="Heading10"/>
        <w:keepNext/>
        <w:keepLines/>
        <w:spacing w:before="60" w:after="60" w:line="360" w:lineRule="auto"/>
        <w:rPr>
          <w:rFonts w:ascii="Times New Roman" w:hAnsi="Times New Roman" w:cs="Times New Roman"/>
        </w:rPr>
      </w:pPr>
    </w:p>
    <w:p w14:paraId="7DCF5742" w14:textId="77777777" w:rsidR="00B03EC3" w:rsidRDefault="00B03EC3" w:rsidP="00B03EC3">
      <w:pPr>
        <w:pStyle w:val="Heading10"/>
        <w:keepNext/>
        <w:keepLines/>
        <w:spacing w:before="60" w:after="60" w:line="360" w:lineRule="auto"/>
        <w:rPr>
          <w:rFonts w:ascii="Times New Roman" w:hAnsi="Times New Roman" w:cs="Times New Roman"/>
        </w:rPr>
      </w:pPr>
    </w:p>
    <w:p w14:paraId="535A49BF" w14:textId="2B808DDE" w:rsidR="006A710A" w:rsidRPr="00B03EC3" w:rsidRDefault="00AC728F" w:rsidP="00B03EC3">
      <w:pPr>
        <w:pStyle w:val="Heading10"/>
        <w:keepNext/>
        <w:keepLines/>
        <w:spacing w:before="60" w:after="60" w:line="360" w:lineRule="auto"/>
        <w:rPr>
          <w:rFonts w:ascii="Times New Roman" w:hAnsi="Times New Roman" w:cs="Times New Roman"/>
        </w:rPr>
      </w:pPr>
      <w:r w:rsidRPr="00B03EC3">
        <w:rPr>
          <w:rFonts w:ascii="Times New Roman" w:hAnsi="Times New Roman" w:cs="Times New Roman"/>
        </w:rPr>
        <w:t>Нийгмийн ажлын тухай хуулийн төслийн үр</w:t>
      </w:r>
      <w:r w:rsidRPr="00B03EC3">
        <w:rPr>
          <w:rFonts w:ascii="Times New Roman" w:hAnsi="Times New Roman" w:cs="Times New Roman"/>
        </w:rPr>
        <w:br/>
        <w:t>нөлөөг үнэлсэн судалгааны тайлан</w:t>
      </w:r>
      <w:bookmarkEnd w:id="0"/>
    </w:p>
    <w:p w14:paraId="535A49C0" w14:textId="52A940CD" w:rsidR="006A710A" w:rsidRPr="00B03EC3" w:rsidRDefault="00AC728F" w:rsidP="00B03EC3">
      <w:pPr>
        <w:pStyle w:val="Bodytext20"/>
        <w:spacing w:before="60" w:after="60" w:line="360" w:lineRule="auto"/>
        <w:rPr>
          <w:rFonts w:ascii="Times New Roman" w:hAnsi="Times New Roman" w:cs="Times New Roman"/>
        </w:rPr>
      </w:pPr>
      <w:r w:rsidRPr="00B03EC3">
        <w:rPr>
          <w:rFonts w:ascii="Times New Roman" w:hAnsi="Times New Roman" w:cs="Times New Roman"/>
        </w:rPr>
        <w:t>Монгол Улс, 2025 оны 5 дугаар сарын 29</w:t>
      </w:r>
    </w:p>
    <w:p w14:paraId="535A49C1" w14:textId="77777777" w:rsidR="006A710A" w:rsidRPr="00B03EC3" w:rsidRDefault="00AC728F" w:rsidP="00B03EC3">
      <w:pPr>
        <w:pStyle w:val="BodyText"/>
        <w:spacing w:before="60" w:after="60" w:line="360" w:lineRule="auto"/>
        <w:jc w:val="center"/>
        <w:sectPr w:rsidR="006A710A" w:rsidRPr="00B03EC3" w:rsidSect="00B03EC3">
          <w:pgSz w:w="11900" w:h="16840" w:code="9"/>
          <w:pgMar w:top="1134" w:right="851" w:bottom="1134" w:left="1418" w:header="2650" w:footer="2650" w:gutter="0"/>
          <w:pgNumType w:start="1"/>
          <w:cols w:space="720"/>
          <w:noEndnote/>
          <w:docGrid w:linePitch="360"/>
        </w:sectPr>
      </w:pPr>
      <w:r w:rsidRPr="00B03EC3">
        <w:t>Бэлтгэсэн: Хууль зүйн судалгааны баг</w:t>
      </w:r>
    </w:p>
    <w:p w14:paraId="535A49C2" w14:textId="77777777" w:rsidR="006A710A" w:rsidRPr="00B03EC3" w:rsidRDefault="00AC728F" w:rsidP="00B03EC3">
      <w:pPr>
        <w:pStyle w:val="Heading20"/>
        <w:keepNext/>
        <w:keepLines/>
        <w:spacing w:before="60" w:after="60" w:line="360" w:lineRule="auto"/>
        <w:ind w:left="0" w:firstLine="0"/>
        <w:rPr>
          <w:rFonts w:ascii="Times New Roman" w:hAnsi="Times New Roman" w:cs="Times New Roman"/>
        </w:rPr>
      </w:pPr>
      <w:bookmarkStart w:id="1" w:name="bookmark2"/>
      <w:r w:rsidRPr="00B03EC3">
        <w:rPr>
          <w:rFonts w:ascii="Times New Roman" w:hAnsi="Times New Roman" w:cs="Times New Roman"/>
        </w:rPr>
        <w:lastRenderedPageBreak/>
        <w:t>Агуулга</w:t>
      </w:r>
      <w:bookmarkEnd w:id="1"/>
    </w:p>
    <w:p w14:paraId="535A49C3" w14:textId="77777777" w:rsidR="006A710A" w:rsidRPr="00B03EC3" w:rsidRDefault="00AC728F" w:rsidP="00B03EC3">
      <w:pPr>
        <w:pStyle w:val="Tableofcontents0"/>
        <w:numPr>
          <w:ilvl w:val="0"/>
          <w:numId w:val="1"/>
        </w:numPr>
        <w:tabs>
          <w:tab w:val="left" w:pos="341"/>
          <w:tab w:val="right" w:leader="dot" w:pos="9013"/>
        </w:tabs>
        <w:spacing w:before="60" w:after="60" w:line="360" w:lineRule="auto"/>
        <w:ind w:left="0" w:firstLine="0"/>
      </w:pPr>
      <w:r w:rsidRPr="00B03EC3">
        <w:fldChar w:fldCharType="begin"/>
      </w:r>
      <w:r w:rsidRPr="00B03EC3">
        <w:instrText xml:space="preserve"> TOC \o "1-5" \h \z </w:instrText>
      </w:r>
      <w:r w:rsidRPr="00B03EC3">
        <w:fldChar w:fldCharType="separate"/>
      </w:r>
      <w:hyperlink w:anchor="bookmark4" w:tooltip="Current Document">
        <w:r w:rsidRPr="00B03EC3">
          <w:t xml:space="preserve">Ерөнхий зүйл </w:t>
        </w:r>
        <w:r w:rsidRPr="00B03EC3">
          <w:tab/>
          <w:t xml:space="preserve"> 2</w:t>
        </w:r>
      </w:hyperlink>
    </w:p>
    <w:p w14:paraId="535A49C4" w14:textId="77777777" w:rsidR="006A710A" w:rsidRPr="00B03EC3" w:rsidRDefault="00AC728F" w:rsidP="00B03EC3">
      <w:pPr>
        <w:pStyle w:val="Tableofcontents0"/>
        <w:numPr>
          <w:ilvl w:val="0"/>
          <w:numId w:val="1"/>
        </w:numPr>
        <w:tabs>
          <w:tab w:val="left" w:pos="341"/>
          <w:tab w:val="right" w:leader="dot" w:pos="9013"/>
        </w:tabs>
        <w:spacing w:before="60" w:after="60" w:line="360" w:lineRule="auto"/>
        <w:ind w:hanging="360"/>
      </w:pPr>
      <w:hyperlink w:anchor="bookmark6" w:tooltip="Current Document">
        <w:r w:rsidRPr="00B03EC3">
          <w:t xml:space="preserve">Хуулийн төслийн үр нөлөөг үнэлэх шалгуур үзүүлэлтийг сонгосон байдал, үндэслэл </w:t>
        </w:r>
        <w:r w:rsidRPr="00B03EC3">
          <w:tab/>
          <w:t xml:space="preserve"> 2</w:t>
        </w:r>
      </w:hyperlink>
    </w:p>
    <w:p w14:paraId="535A49C5" w14:textId="77777777" w:rsidR="006A710A" w:rsidRPr="00B03EC3" w:rsidRDefault="00AC728F" w:rsidP="00B03EC3">
      <w:pPr>
        <w:pStyle w:val="Tableofcontents0"/>
        <w:numPr>
          <w:ilvl w:val="0"/>
          <w:numId w:val="1"/>
        </w:numPr>
        <w:tabs>
          <w:tab w:val="left" w:pos="341"/>
          <w:tab w:val="left" w:pos="8873"/>
        </w:tabs>
        <w:spacing w:before="60" w:after="60" w:line="360" w:lineRule="auto"/>
        <w:ind w:hanging="360"/>
      </w:pPr>
      <w:hyperlink w:anchor="bookmark8" w:tooltip="Current Document">
        <w:r w:rsidRPr="00B03EC3">
          <w:t>Хуулийн төслөөс үр нөлөөг үнэлэх хэсгийг тогтоосон байдал . . .</w:t>
        </w:r>
        <w:r w:rsidRPr="00B03EC3">
          <w:tab/>
          <w:t>3</w:t>
        </w:r>
      </w:hyperlink>
    </w:p>
    <w:p w14:paraId="535A49C6" w14:textId="77777777" w:rsidR="006A710A" w:rsidRPr="00B03EC3" w:rsidRDefault="00AC728F" w:rsidP="00B03EC3">
      <w:pPr>
        <w:pStyle w:val="Tableofcontents0"/>
        <w:numPr>
          <w:ilvl w:val="1"/>
          <w:numId w:val="1"/>
        </w:numPr>
        <w:tabs>
          <w:tab w:val="left" w:pos="906"/>
        </w:tabs>
        <w:spacing w:before="60" w:after="60" w:line="360" w:lineRule="auto"/>
        <w:ind w:left="0" w:firstLine="360"/>
        <w:jc w:val="both"/>
      </w:pPr>
      <w:r w:rsidRPr="00B03EC3">
        <w:t>“Зорилгод хүрэх байдал” шалгуур үзүүлэлтийн хүрээнд хийсэн үнэлгээ 3</w:t>
      </w:r>
    </w:p>
    <w:p w14:paraId="535A49C7" w14:textId="77777777" w:rsidR="006A710A" w:rsidRPr="00B03EC3" w:rsidRDefault="00AC728F" w:rsidP="00B03EC3">
      <w:pPr>
        <w:pStyle w:val="Tableofcontents0"/>
        <w:numPr>
          <w:ilvl w:val="2"/>
          <w:numId w:val="1"/>
        </w:numPr>
        <w:tabs>
          <w:tab w:val="left" w:pos="1649"/>
          <w:tab w:val="right" w:leader="dot" w:pos="9013"/>
        </w:tabs>
        <w:spacing w:before="60" w:after="60" w:line="360" w:lineRule="auto"/>
        <w:ind w:left="1640" w:hanging="740"/>
      </w:pPr>
      <w:r w:rsidRPr="00B03EC3">
        <w:t xml:space="preserve">Нийгмийн ажлын тогтолцооны бүрэлдэхүүнийг тогтоож, нийг- мийн ажил, үйлчилгээний бодлого зохицуулалт, үйлчилгээний төрөл, хэлбэр болон ангиллыг хуульчлах хүрээнд </w:t>
      </w:r>
      <w:r w:rsidRPr="00B03EC3">
        <w:tab/>
        <w:t xml:space="preserve"> 3</w:t>
      </w:r>
    </w:p>
    <w:p w14:paraId="535A49C8" w14:textId="77777777" w:rsidR="006A710A" w:rsidRPr="00B03EC3" w:rsidRDefault="00AC728F" w:rsidP="00B03EC3">
      <w:pPr>
        <w:pStyle w:val="Tableofcontents0"/>
        <w:numPr>
          <w:ilvl w:val="2"/>
          <w:numId w:val="1"/>
        </w:numPr>
        <w:tabs>
          <w:tab w:val="left" w:pos="1649"/>
          <w:tab w:val="left" w:pos="8873"/>
        </w:tabs>
        <w:spacing w:before="60" w:after="60" w:line="360" w:lineRule="auto"/>
        <w:ind w:left="0" w:firstLine="900"/>
        <w:jc w:val="both"/>
      </w:pPr>
      <w:r w:rsidRPr="00B03EC3">
        <w:t>Нийгмийн ажилтны эрх, үүргийг хуулиар томъёолох хүрээнд .</w:t>
      </w:r>
      <w:r w:rsidRPr="00B03EC3">
        <w:tab/>
        <w:t>4</w:t>
      </w:r>
    </w:p>
    <w:p w14:paraId="535A49C9" w14:textId="77777777" w:rsidR="006A710A" w:rsidRPr="00B03EC3" w:rsidRDefault="00AC728F" w:rsidP="00B03EC3">
      <w:pPr>
        <w:pStyle w:val="Tableofcontents0"/>
        <w:numPr>
          <w:ilvl w:val="2"/>
          <w:numId w:val="1"/>
        </w:numPr>
        <w:tabs>
          <w:tab w:val="left" w:pos="1649"/>
          <w:tab w:val="right" w:leader="dot" w:pos="9013"/>
        </w:tabs>
        <w:spacing w:before="60" w:after="60" w:line="360" w:lineRule="auto"/>
        <w:ind w:left="1640" w:hanging="740"/>
      </w:pPr>
      <w:r w:rsidRPr="00B03EC3">
        <w:t xml:space="preserve">Нийгмийн ажилтны мэргэжлийн шалгуур, ур чадварыг үнэлэх, зэрэг дэвийг тодорхойлох хүрээнд </w:t>
      </w:r>
      <w:r w:rsidRPr="00B03EC3">
        <w:tab/>
        <w:t xml:space="preserve"> 4</w:t>
      </w:r>
    </w:p>
    <w:p w14:paraId="535A49CA" w14:textId="77777777" w:rsidR="006A710A" w:rsidRPr="00B03EC3" w:rsidRDefault="00AC728F" w:rsidP="00B03EC3">
      <w:pPr>
        <w:pStyle w:val="Tableofcontents0"/>
        <w:numPr>
          <w:ilvl w:val="2"/>
          <w:numId w:val="1"/>
        </w:numPr>
        <w:tabs>
          <w:tab w:val="left" w:pos="1649"/>
          <w:tab w:val="left" w:pos="8873"/>
        </w:tabs>
        <w:spacing w:before="60" w:after="60" w:line="360" w:lineRule="auto"/>
        <w:ind w:left="0" w:firstLine="900"/>
        <w:jc w:val="both"/>
      </w:pPr>
      <w:r w:rsidRPr="00B03EC3">
        <w:t>Нийгмийн ажилтны нийгмийн баталгааг сайжруулах хүрээнд .</w:t>
      </w:r>
      <w:r w:rsidRPr="00B03EC3">
        <w:tab/>
        <w:t>4</w:t>
      </w:r>
    </w:p>
    <w:p w14:paraId="535A49CB" w14:textId="77777777" w:rsidR="006A710A" w:rsidRPr="00B03EC3" w:rsidRDefault="00AC728F" w:rsidP="00B03EC3">
      <w:pPr>
        <w:pStyle w:val="Tableofcontents0"/>
        <w:numPr>
          <w:ilvl w:val="1"/>
          <w:numId w:val="1"/>
        </w:numPr>
        <w:tabs>
          <w:tab w:val="left" w:pos="906"/>
          <w:tab w:val="right" w:leader="dot" w:pos="9013"/>
        </w:tabs>
        <w:spacing w:before="60" w:after="60" w:line="360" w:lineRule="auto"/>
        <w:ind w:left="900" w:hanging="540"/>
      </w:pPr>
      <w:hyperlink w:anchor="bookmark10" w:tooltip="Current Document">
        <w:r w:rsidRPr="00B03EC3">
          <w:t xml:space="preserve">“Практикт хэрэгжих боломж” шалгуур үзүүлэлтийн хүрээнд хийсэн үнэлгээ </w:t>
        </w:r>
        <w:r w:rsidRPr="00B03EC3">
          <w:tab/>
          <w:t xml:space="preserve"> 5</w:t>
        </w:r>
      </w:hyperlink>
    </w:p>
    <w:p w14:paraId="535A49CC" w14:textId="77777777" w:rsidR="006A710A" w:rsidRPr="00B03EC3" w:rsidRDefault="00AC728F" w:rsidP="00B03EC3">
      <w:pPr>
        <w:pStyle w:val="Tableofcontents0"/>
        <w:numPr>
          <w:ilvl w:val="1"/>
          <w:numId w:val="1"/>
        </w:numPr>
        <w:tabs>
          <w:tab w:val="left" w:pos="906"/>
          <w:tab w:val="left" w:pos="8873"/>
        </w:tabs>
        <w:spacing w:before="60" w:after="60" w:line="360" w:lineRule="auto"/>
        <w:ind w:left="0" w:firstLine="360"/>
        <w:jc w:val="both"/>
      </w:pPr>
      <w:hyperlink w:anchor="bookmark14" w:tooltip="Current Document">
        <w:r w:rsidRPr="00B03EC3">
          <w:t>“Ойлгомжтой байдал” шалгуур үзүүлэлтийн хүрээнд хийсэн үнэлгээ .</w:t>
        </w:r>
        <w:r w:rsidRPr="00B03EC3">
          <w:tab/>
          <w:t>5</w:t>
        </w:r>
      </w:hyperlink>
    </w:p>
    <w:p w14:paraId="535A49CD" w14:textId="77777777" w:rsidR="006A710A" w:rsidRPr="00B03EC3" w:rsidRDefault="00AC728F" w:rsidP="00B03EC3">
      <w:pPr>
        <w:pStyle w:val="Tableofcontents0"/>
        <w:numPr>
          <w:ilvl w:val="1"/>
          <w:numId w:val="1"/>
        </w:numPr>
        <w:tabs>
          <w:tab w:val="left" w:pos="906"/>
          <w:tab w:val="left" w:pos="8873"/>
        </w:tabs>
        <w:spacing w:before="60" w:after="60" w:line="360" w:lineRule="auto"/>
        <w:ind w:left="0" w:firstLine="360"/>
        <w:jc w:val="both"/>
      </w:pPr>
      <w:hyperlink w:anchor="bookmark16" w:tooltip="Current Document">
        <w:r w:rsidRPr="00B03EC3">
          <w:t>“Харилцан уялдаа” шалгуур үзүүлэлтийн хүрээнд хийсэн үнэлгээ . .</w:t>
        </w:r>
        <w:r w:rsidRPr="00B03EC3">
          <w:tab/>
          <w:t>6</w:t>
        </w:r>
      </w:hyperlink>
    </w:p>
    <w:p w14:paraId="535A49CE" w14:textId="77777777" w:rsidR="006A710A" w:rsidRPr="00B03EC3" w:rsidRDefault="00AC728F" w:rsidP="00B03EC3">
      <w:pPr>
        <w:pStyle w:val="Tableofcontents0"/>
        <w:numPr>
          <w:ilvl w:val="0"/>
          <w:numId w:val="1"/>
        </w:numPr>
        <w:tabs>
          <w:tab w:val="left" w:pos="341"/>
          <w:tab w:val="right" w:leader="dot" w:pos="9013"/>
        </w:tabs>
        <w:spacing w:before="60" w:after="60" w:line="360" w:lineRule="auto"/>
        <w:ind w:left="0" w:firstLine="0"/>
      </w:pPr>
      <w:hyperlink w:anchor="bookmark18" w:tooltip="Current Document">
        <w:r w:rsidRPr="00B03EC3">
          <w:t xml:space="preserve">Дүгнэлт, зөвлөмж </w:t>
        </w:r>
        <w:r w:rsidRPr="00B03EC3">
          <w:tab/>
          <w:t xml:space="preserve"> 7</w:t>
        </w:r>
      </w:hyperlink>
    </w:p>
    <w:p w14:paraId="535A49CF" w14:textId="77777777" w:rsidR="006A710A" w:rsidRPr="00B03EC3" w:rsidRDefault="00AC728F" w:rsidP="00B03EC3">
      <w:pPr>
        <w:pStyle w:val="Tableofcontents0"/>
        <w:numPr>
          <w:ilvl w:val="1"/>
          <w:numId w:val="1"/>
        </w:numPr>
        <w:tabs>
          <w:tab w:val="left" w:pos="906"/>
          <w:tab w:val="left" w:pos="950"/>
          <w:tab w:val="right" w:leader="dot" w:pos="9013"/>
        </w:tabs>
        <w:spacing w:before="60" w:after="60" w:line="360" w:lineRule="auto"/>
        <w:ind w:left="0" w:firstLine="360"/>
        <w:jc w:val="both"/>
      </w:pPr>
      <w:hyperlink w:anchor="bookmark20" w:tooltip="Current Document">
        <w:r w:rsidRPr="00B03EC3">
          <w:t xml:space="preserve">Дүгнэлт </w:t>
        </w:r>
        <w:r w:rsidRPr="00B03EC3">
          <w:tab/>
          <w:t xml:space="preserve"> 7</w:t>
        </w:r>
      </w:hyperlink>
    </w:p>
    <w:p w14:paraId="535A49D0" w14:textId="77777777" w:rsidR="006A710A" w:rsidRPr="00B03EC3" w:rsidRDefault="00AC728F" w:rsidP="00B03EC3">
      <w:pPr>
        <w:pStyle w:val="Tableofcontents0"/>
        <w:numPr>
          <w:ilvl w:val="1"/>
          <w:numId w:val="1"/>
        </w:numPr>
        <w:tabs>
          <w:tab w:val="left" w:pos="906"/>
          <w:tab w:val="left" w:pos="950"/>
          <w:tab w:val="right" w:leader="dot" w:pos="9013"/>
        </w:tabs>
        <w:spacing w:before="60" w:after="60" w:line="360" w:lineRule="auto"/>
        <w:ind w:left="0" w:firstLine="360"/>
        <w:jc w:val="both"/>
        <w:sectPr w:rsidR="006A710A" w:rsidRPr="00B03EC3" w:rsidSect="00B03EC3">
          <w:footerReference w:type="default" r:id="rId7"/>
          <w:pgSz w:w="11900" w:h="16840" w:code="9"/>
          <w:pgMar w:top="1134" w:right="851" w:bottom="1134" w:left="1418" w:header="936" w:footer="3" w:gutter="0"/>
          <w:pgNumType w:start="1"/>
          <w:cols w:space="720"/>
          <w:noEndnote/>
          <w:docGrid w:linePitch="360"/>
        </w:sectPr>
      </w:pPr>
      <w:hyperlink w:anchor="bookmark22" w:tooltip="Current Document">
        <w:r w:rsidRPr="00B03EC3">
          <w:t xml:space="preserve">Зөвлөмж </w:t>
        </w:r>
        <w:r w:rsidRPr="00B03EC3">
          <w:tab/>
          <w:t xml:space="preserve"> 7</w:t>
        </w:r>
      </w:hyperlink>
      <w:r w:rsidRPr="00B03EC3">
        <w:fldChar w:fldCharType="end"/>
      </w:r>
    </w:p>
    <w:p w14:paraId="535A49D1" w14:textId="77777777" w:rsidR="006A710A" w:rsidRPr="00B03EC3" w:rsidRDefault="00AC728F" w:rsidP="00B03EC3">
      <w:pPr>
        <w:pStyle w:val="Heading20"/>
        <w:keepNext/>
        <w:keepLines/>
        <w:numPr>
          <w:ilvl w:val="0"/>
          <w:numId w:val="2"/>
        </w:numPr>
        <w:tabs>
          <w:tab w:val="left" w:pos="578"/>
        </w:tabs>
        <w:spacing w:before="60" w:after="60" w:line="360" w:lineRule="auto"/>
        <w:ind w:left="0" w:firstLine="0"/>
        <w:jc w:val="both"/>
        <w:rPr>
          <w:rFonts w:ascii="Times New Roman" w:hAnsi="Times New Roman" w:cs="Times New Roman"/>
        </w:rPr>
      </w:pPr>
      <w:bookmarkStart w:id="2" w:name="bookmark4"/>
      <w:r w:rsidRPr="00B03EC3">
        <w:rPr>
          <w:rFonts w:ascii="Times New Roman" w:hAnsi="Times New Roman" w:cs="Times New Roman"/>
        </w:rPr>
        <w:lastRenderedPageBreak/>
        <w:t>Ерөнхий зүйл</w:t>
      </w:r>
      <w:bookmarkEnd w:id="2"/>
    </w:p>
    <w:p w14:paraId="535A49D2" w14:textId="77777777" w:rsidR="006A710A" w:rsidRPr="00B03EC3" w:rsidRDefault="00AC728F" w:rsidP="00B03EC3">
      <w:pPr>
        <w:pStyle w:val="BodyText"/>
        <w:spacing w:before="60" w:after="60" w:line="360" w:lineRule="auto"/>
        <w:jc w:val="both"/>
      </w:pPr>
      <w:r w:rsidRPr="00B03EC3">
        <w:t>“Нийгмийн ажлын тухай хуулийн төсөл” (2023 оны хувилбар) нь Монгол Улсын нийг- мийн хамгааллын тогтолцоог бэхжүүлэх, нийгмийн ажлын мэргэжлийн үйл ажил- лагааг эрх зүйн хүрээнд зохицуулах, иргэдийн амьдралын чанарыг дээшлүүлэх зо- рилготой “Анхдагч хууль” юм (Хууль тогтоомжийн тухай хуулийн 22.1.1). Энэхүү тайлан нь хуулийн төслийн үр нөлөөг Засгийн газрын 2016 оны 59 дүгээр тогтоолын 3 дугаар хавсралтаар батлагдсан “Хуулийн төслийн үр нөлөө тооцох аргачлал”-ын дагуу үнэлэхэд чиглэнэ.</w:t>
      </w:r>
    </w:p>
    <w:p w14:paraId="535A49D3" w14:textId="77777777" w:rsidR="006A710A" w:rsidRPr="00B03EC3" w:rsidRDefault="00AC728F" w:rsidP="00B03EC3">
      <w:pPr>
        <w:pStyle w:val="BodyText"/>
        <w:spacing w:before="60" w:after="60" w:line="360" w:lineRule="auto"/>
        <w:jc w:val="both"/>
      </w:pPr>
      <w:r w:rsidRPr="00B03EC3">
        <w:t>Хуулийн төслийн зорилго нь нийгмийн ажлын үйлчилгээний дэд бүтцийг бий бол- гох, нийгмийн ажилтны мэргэжлийн үйл ажиллагааг зохицуулж, нэгдсэн эрх зүйн орчныг бүрдүүлэхэд оршино (1 дүгээр зүйл). Хууль нь Монгол Улсын нутаг дэвсгэрт нийгмийн ажлын үйлчилгээ үзүүлэгч хуулийн этгээд, нийгмийн ажилтанд хамаарна (3 дугаар зүйл). Хамрах хүрээ нь төр, төрийн бус байгууллага, хувийн хэвшил, олон улсын байгууллагыг багтааж, хувь хүн, гэр бүл, олон нийтэд чиглэсэн үйлчилгээг зохицуулна.</w:t>
      </w:r>
    </w:p>
    <w:p w14:paraId="535A49D4" w14:textId="77777777" w:rsidR="006A710A" w:rsidRPr="00B03EC3" w:rsidRDefault="00AC728F" w:rsidP="00B03EC3">
      <w:pPr>
        <w:pStyle w:val="BodyText"/>
        <w:spacing w:before="60" w:after="60" w:line="360" w:lineRule="auto"/>
        <w:jc w:val="both"/>
      </w:pPr>
      <w:r w:rsidRPr="00B03EC3">
        <w:t>Тайлангийн зорилго нь хуулийн төслийн нийгмийн харилцаанд үзүүлэх нөлөө, прак- тик хэрэгжих боломж, бусад хууль тогтоомжтой нийцлийг шинжлэхэд оршино. Су- далгааны хүрээнд Хөдөлмөр, нийгмийн хамгааллын яамны 2022-2024 оны статис- тикийн мэдээлэл, нийгмийн ажилтны чадавхийн судалгаа (2023), М\’Н 6949:2021 стандарт, Олон улсын хөдөлмөрийн байгууллагын зөвлөмжийг ашигласан. Тайлан нь хуулийн төслийн зүйл, заалтыг нарийвчлан шинжилж, эдийн засаг, нийгэм, хууль зүйн үр дагаврыг тооцож, зөвлөмж боловсруулна.</w:t>
      </w:r>
    </w:p>
    <w:p w14:paraId="535A49D5" w14:textId="77777777" w:rsidR="006A710A" w:rsidRPr="00B03EC3" w:rsidRDefault="00AC728F" w:rsidP="00B03EC3">
      <w:pPr>
        <w:pStyle w:val="Heading20"/>
        <w:keepNext/>
        <w:keepLines/>
        <w:numPr>
          <w:ilvl w:val="0"/>
          <w:numId w:val="2"/>
        </w:numPr>
        <w:tabs>
          <w:tab w:val="left" w:pos="578"/>
        </w:tabs>
        <w:spacing w:before="60" w:after="60" w:line="360" w:lineRule="auto"/>
        <w:ind w:hanging="580"/>
        <w:jc w:val="both"/>
        <w:rPr>
          <w:rFonts w:ascii="Times New Roman" w:hAnsi="Times New Roman" w:cs="Times New Roman"/>
        </w:rPr>
      </w:pPr>
      <w:bookmarkStart w:id="3" w:name="bookmark6"/>
      <w:r w:rsidRPr="00B03EC3">
        <w:rPr>
          <w:rFonts w:ascii="Times New Roman" w:hAnsi="Times New Roman" w:cs="Times New Roman"/>
        </w:rPr>
        <w:t>Хуулийн төслийн үр нөлөөг үнэлэх шалгуур үзүү- лэлтийг сонгосон байдал, үндэслэл</w:t>
      </w:r>
      <w:bookmarkEnd w:id="3"/>
    </w:p>
    <w:p w14:paraId="535A49D6" w14:textId="77777777" w:rsidR="006A710A" w:rsidRPr="00B03EC3" w:rsidRDefault="00AC728F" w:rsidP="00B03EC3">
      <w:pPr>
        <w:pStyle w:val="BodyText"/>
        <w:spacing w:before="60" w:after="60" w:line="360" w:lineRule="auto"/>
        <w:jc w:val="both"/>
      </w:pPr>
      <w:r w:rsidRPr="00B03EC3">
        <w:t>Хуулийн төслийн үр нөлөөг үнэлэхдээ Хууль тогтоомжийн тухай хуулийн 28-30 ду- гаар зүйл, Хуулийн төслийн үр нөлөө тооцох аргачлалын 3.1-д заасан шаардлагыг баримтлан дараах дөрвөн шалгуур үзүүлэлтийг сонгов:</w:t>
      </w:r>
    </w:p>
    <w:p w14:paraId="535A49D7" w14:textId="77777777" w:rsidR="006A710A" w:rsidRPr="00B03EC3" w:rsidRDefault="00AC728F" w:rsidP="00B03EC3">
      <w:pPr>
        <w:pStyle w:val="BodyText"/>
        <w:numPr>
          <w:ilvl w:val="0"/>
          <w:numId w:val="3"/>
        </w:numPr>
        <w:tabs>
          <w:tab w:val="left" w:pos="591"/>
        </w:tabs>
        <w:spacing w:before="60" w:after="60" w:line="360" w:lineRule="auto"/>
        <w:ind w:left="580" w:hanging="220"/>
        <w:jc w:val="both"/>
      </w:pPr>
      <w:r w:rsidRPr="00B03EC3">
        <w:t>Зорилгод хүрэх байдал: Хуулийн төслийн зорилго, зохицуулалт нь үзэл ба- римтлал, нийгмийн хэрэгцээ, Монгол Улсын “Алсын хараа-2050” бодлогын 3.1.2 (нийгмийн хамгааллын тогтолцоог бэхжүүлэх) зорилттой нийцэж буй эсэхийг үнэлнэ. Энэ шалгуур нь хуулийн зүйл, заалтын хэрэгжилтээр нийгмийн хам- гааллын тогтолцоог сайжруулах боломжийг хэмждэг.</w:t>
      </w:r>
    </w:p>
    <w:p w14:paraId="535A49D8" w14:textId="77777777" w:rsidR="006A710A" w:rsidRPr="00B03EC3" w:rsidRDefault="00AC728F" w:rsidP="00B03EC3">
      <w:pPr>
        <w:pStyle w:val="BodyText"/>
        <w:numPr>
          <w:ilvl w:val="0"/>
          <w:numId w:val="3"/>
        </w:numPr>
        <w:tabs>
          <w:tab w:val="left" w:pos="591"/>
        </w:tabs>
        <w:spacing w:before="60" w:after="60" w:line="360" w:lineRule="auto"/>
        <w:ind w:left="580" w:hanging="220"/>
        <w:jc w:val="both"/>
      </w:pPr>
      <w:r w:rsidRPr="00B03EC3">
        <w:t>Практикт хэрэгжих боломж: Хуулийн хэрэгжилтэд шаардлагатай хүний нөөц, санхүүжилт, дэд бүтэц, институцын чадавхийг шинжилж, хэрэгжилтийн боломж, сорилтыг тодорхойлно. Жишээлбэл, нийгмийн ажилтны сургалтын хүртээмж, орон нутгийн нөөцийн хуваарилалт.</w:t>
      </w:r>
    </w:p>
    <w:p w14:paraId="535A49D9" w14:textId="77777777" w:rsidR="006A710A" w:rsidRPr="00B03EC3" w:rsidRDefault="00AC728F" w:rsidP="00B03EC3">
      <w:pPr>
        <w:pStyle w:val="BodyText"/>
        <w:numPr>
          <w:ilvl w:val="0"/>
          <w:numId w:val="3"/>
        </w:numPr>
        <w:tabs>
          <w:tab w:val="left" w:pos="591"/>
        </w:tabs>
        <w:spacing w:before="60" w:after="60" w:line="360" w:lineRule="auto"/>
        <w:ind w:left="580" w:hanging="220"/>
        <w:jc w:val="both"/>
      </w:pPr>
      <w:r w:rsidRPr="00B03EC3">
        <w:t>Ойлгомжтой байдал: Хуулийн нэр томьёо, зүйл, заалт нь монгол хэлний дүрэмд нийцсэн, хоёрдмол утгагүй, нийгмийн харилцааны хүрээнээс хальсан эсэхийг шалгана. Энэ нь хуулийн хэрэглээний тодорхой байдлыг хангахад чиг- лэнэ.</w:t>
      </w:r>
    </w:p>
    <w:p w14:paraId="535A49DA" w14:textId="77777777" w:rsidR="006A710A" w:rsidRPr="00B03EC3" w:rsidRDefault="00AC728F" w:rsidP="00B03EC3">
      <w:pPr>
        <w:pStyle w:val="BodyText"/>
        <w:numPr>
          <w:ilvl w:val="0"/>
          <w:numId w:val="3"/>
        </w:numPr>
        <w:tabs>
          <w:tab w:val="left" w:pos="231"/>
        </w:tabs>
        <w:spacing w:before="60" w:after="60" w:line="360" w:lineRule="auto"/>
        <w:ind w:firstLine="360"/>
        <w:jc w:val="both"/>
      </w:pPr>
      <w:r w:rsidRPr="00B03EC3">
        <w:t xml:space="preserve">Харилцан уялдаа: Хуулийн төсөл нь Монгол Улсын Үндсэн хууль, бусад хууль тогтоомж, олон улсын гэрээтэй (жишээ: НҮБ-ын Хүүхдийн эрхийн Кон- венц) зөрчил, давхардалгүй эсэхийг </w:t>
      </w:r>
      <w:r w:rsidRPr="00B03EC3">
        <w:lastRenderedPageBreak/>
        <w:t>шинжилнэ. Энэ шалгуур нь эрх зүйн тог- толцооны нэгдмэл байдлыг хангана.</w:t>
      </w:r>
    </w:p>
    <w:p w14:paraId="535A49DB" w14:textId="77777777" w:rsidR="006A710A" w:rsidRPr="00B03EC3" w:rsidRDefault="00AC728F" w:rsidP="00B03EC3">
      <w:pPr>
        <w:pStyle w:val="BodyText"/>
        <w:spacing w:before="60" w:after="60" w:line="360" w:lineRule="auto"/>
        <w:jc w:val="both"/>
      </w:pPr>
      <w:r w:rsidRPr="00B03EC3">
        <w:t>Эдгээр шалгуурыг сонгох үндэслэл нь хуулийн төслийн чанар, нийцэл, хэрэгжих чадварыг цогцоор үнэлэх, нийгмийн харилцаанд үзүүлэх олон талын нөлөөллийг тооцох шаардлага юм. Шалгуур бүрт Монголын нийгмийн хамгааллын тогтолцооны онцлог, одоогийн тулгамдсан асуудал (жишээ: нийгмийн ажилтны хомсдол, мэргэж- лийн бус байдал) зэргийг харгалзав.</w:t>
      </w:r>
    </w:p>
    <w:p w14:paraId="535A49DC" w14:textId="77777777" w:rsidR="006A710A" w:rsidRPr="00B03EC3" w:rsidRDefault="00AC728F" w:rsidP="00B03EC3">
      <w:pPr>
        <w:pStyle w:val="Heading20"/>
        <w:keepNext/>
        <w:keepLines/>
        <w:spacing w:before="60" w:after="60" w:line="360" w:lineRule="auto"/>
        <w:ind w:hanging="580"/>
        <w:jc w:val="both"/>
        <w:rPr>
          <w:rFonts w:ascii="Times New Roman" w:hAnsi="Times New Roman" w:cs="Times New Roman"/>
        </w:rPr>
      </w:pPr>
      <w:bookmarkStart w:id="4" w:name="bookmark8"/>
      <w:r w:rsidRPr="00B03EC3">
        <w:rPr>
          <w:rFonts w:ascii="Times New Roman" w:hAnsi="Times New Roman" w:cs="Times New Roman"/>
        </w:rPr>
        <w:t>3 Хуулийн төслөөс үр нөлөөг үнэлэх хэсгийг тогтоо- сон байдал</w:t>
      </w:r>
      <w:bookmarkEnd w:id="4"/>
    </w:p>
    <w:p w14:paraId="535A49DD" w14:textId="77777777" w:rsidR="006A710A" w:rsidRPr="00B03EC3" w:rsidRDefault="00AC728F" w:rsidP="00B03EC3">
      <w:pPr>
        <w:pStyle w:val="Heading30"/>
        <w:keepNext/>
        <w:keepLines/>
        <w:numPr>
          <w:ilvl w:val="1"/>
          <w:numId w:val="4"/>
        </w:numPr>
        <w:tabs>
          <w:tab w:val="left" w:pos="590"/>
        </w:tabs>
        <w:spacing w:before="60" w:after="60" w:line="360" w:lineRule="auto"/>
        <w:jc w:val="both"/>
        <w:rPr>
          <w:rFonts w:ascii="Times New Roman" w:hAnsi="Times New Roman" w:cs="Times New Roman"/>
        </w:rPr>
      </w:pPr>
      <w:bookmarkStart w:id="5" w:name="bookmark10"/>
      <w:r w:rsidRPr="00B03EC3">
        <w:rPr>
          <w:rFonts w:ascii="Times New Roman" w:hAnsi="Times New Roman" w:cs="Times New Roman"/>
        </w:rPr>
        <w:t>“Зорилгод хүрэх байдал” шалгуур үзүүлэлтийн хүрээнд хийсэн үнэлгээ</w:t>
      </w:r>
      <w:bookmarkEnd w:id="5"/>
    </w:p>
    <w:p w14:paraId="535A49DE" w14:textId="77777777" w:rsidR="006A710A" w:rsidRPr="00B03EC3" w:rsidRDefault="00AC728F" w:rsidP="00B03EC3">
      <w:pPr>
        <w:pStyle w:val="BodyText"/>
        <w:spacing w:before="60" w:after="60" w:line="360" w:lineRule="auto"/>
        <w:jc w:val="both"/>
      </w:pPr>
      <w:r w:rsidRPr="00B03EC3">
        <w:t>Хуулийн төслийн зорилго нь нийгмийн хамгааллын тогтолцоог бэхжүүлж, нийгмийн ажлын үйлчилгээний чанар, хүртээмжийг нэмэгдүүлэхэд чиглэнэ. Энэ зорилгод хү- рэх байдлыг дараах дэд хэсгүүдэд дэлгэрэнгүй шинжлэв:</w:t>
      </w:r>
    </w:p>
    <w:p w14:paraId="535A49DF" w14:textId="77777777" w:rsidR="006A710A" w:rsidRPr="00B03EC3" w:rsidRDefault="00AC728F" w:rsidP="00B03EC3">
      <w:pPr>
        <w:pStyle w:val="BodyText"/>
        <w:numPr>
          <w:ilvl w:val="2"/>
          <w:numId w:val="4"/>
        </w:numPr>
        <w:tabs>
          <w:tab w:val="left" w:pos="761"/>
        </w:tabs>
        <w:spacing w:before="60" w:after="60" w:line="360" w:lineRule="auto"/>
        <w:ind w:left="840" w:hanging="840"/>
        <w:jc w:val="both"/>
      </w:pPr>
      <w:r w:rsidRPr="00B03EC3">
        <w:t>Нийгмийн ажлын тогтолцооны бүрэлдэхүүнийг тогтоож, нийгмийн ажил, үйлчилгээний бодлого зохицуулалт, үйлчилгээний төрөл, хэл- бэр болон ангиллыг хуульчлах хүрээнд</w:t>
      </w:r>
    </w:p>
    <w:p w14:paraId="535A49E0" w14:textId="77777777" w:rsidR="006A710A" w:rsidRPr="00B03EC3" w:rsidRDefault="00AC728F" w:rsidP="00B03EC3">
      <w:pPr>
        <w:pStyle w:val="BodyText"/>
        <w:spacing w:before="60" w:after="60" w:line="360" w:lineRule="auto"/>
        <w:jc w:val="both"/>
      </w:pPr>
      <w:r w:rsidRPr="00B03EC3">
        <w:t>Хуулийн төслийн 4 дүгээр зүйлд “нийгмийн ажил” (нийгмийн хамгааллын хэрэгцээ- тэй иргэдэд чиглэсэн мэргэжлийн үйлчилгээ), “нийгмийн ажилтан” (хуульчлагдсан, мэргэшсэн боловсон хүчин) гэсэн нэр томьёог тодорхойлж, М\’Н 6949:2021 стандар- тад нийцүүлсэн. Энэ нь нийгмийн ажлын мэргэжлийн үйл ажиллагааны нэгдсэн ойлголтыг бий болгож, Нийгмийн халамжийн тухай хуулийн 24.1-д заасан нийгмийн хамгааллын байгууллагын зарчим (хүртээмж, ил тод байдал)-тай нийцнэ.</w:t>
      </w:r>
    </w:p>
    <w:p w14:paraId="535A49E1" w14:textId="77777777" w:rsidR="006A710A" w:rsidRPr="00B03EC3" w:rsidRDefault="00AC728F" w:rsidP="00B03EC3">
      <w:pPr>
        <w:pStyle w:val="BodyText"/>
        <w:spacing w:before="60" w:after="60" w:line="360" w:lineRule="auto"/>
        <w:jc w:val="both"/>
      </w:pPr>
      <w:r w:rsidRPr="00B03EC3">
        <w:t>Хоёрдугаар бүлэгт нийгмийн ажлын тогтолцооны бүрэлдэхүүнийг тодорхойлсон:</w:t>
      </w:r>
    </w:p>
    <w:p w14:paraId="535A49E2" w14:textId="77777777" w:rsidR="006A710A" w:rsidRPr="00B03EC3" w:rsidRDefault="00AC728F" w:rsidP="00B03EC3">
      <w:pPr>
        <w:pStyle w:val="BodyText"/>
        <w:numPr>
          <w:ilvl w:val="0"/>
          <w:numId w:val="5"/>
        </w:numPr>
        <w:tabs>
          <w:tab w:val="left" w:pos="596"/>
        </w:tabs>
        <w:spacing w:before="60" w:after="60" w:line="360" w:lineRule="auto"/>
        <w:ind w:left="580" w:hanging="220"/>
        <w:jc w:val="both"/>
      </w:pPr>
      <w:r w:rsidRPr="00B03EC3">
        <w:t>Бодлого боловсруулах: Хөдөлмөр, нийгмийн хамгааллын яамны чиг үүрэгт хамаарч, нийгмийн ажлын стратеги, стандартыг тогтооно. Жишээлбэл, нийг- мийн ажлын үйлчилгээний үндэсний хөтөлбөр боловсруулах.</w:t>
      </w:r>
    </w:p>
    <w:p w14:paraId="535A49E3" w14:textId="77777777" w:rsidR="006A710A" w:rsidRPr="00B03EC3" w:rsidRDefault="00AC728F" w:rsidP="00B03EC3">
      <w:pPr>
        <w:pStyle w:val="BodyText"/>
        <w:numPr>
          <w:ilvl w:val="0"/>
          <w:numId w:val="5"/>
        </w:numPr>
        <w:tabs>
          <w:tab w:val="left" w:pos="596"/>
        </w:tabs>
        <w:spacing w:before="60" w:after="60" w:line="360" w:lineRule="auto"/>
        <w:ind w:left="580" w:hanging="220"/>
        <w:jc w:val="both"/>
      </w:pPr>
      <w:r w:rsidRPr="00B03EC3">
        <w:t>Үйлчилгээ үзүүлэх: Орон нутгийн засаг захиргаа, төрийн бус байгууллагаар дамжин хэрэгжинэ. Жишээлбэл, сумын нийгмийн ажилтнууд гэр бүлийн хү- чирхийлэлийн хохирогчдод зөвлөгөө өгнө.</w:t>
      </w:r>
    </w:p>
    <w:p w14:paraId="535A49E4" w14:textId="77777777" w:rsidR="006A710A" w:rsidRPr="00B03EC3" w:rsidRDefault="00AC728F" w:rsidP="00B03EC3">
      <w:pPr>
        <w:pStyle w:val="BodyText"/>
        <w:numPr>
          <w:ilvl w:val="0"/>
          <w:numId w:val="5"/>
        </w:numPr>
        <w:tabs>
          <w:tab w:val="left" w:pos="596"/>
        </w:tabs>
        <w:spacing w:before="60" w:after="60" w:line="360" w:lineRule="auto"/>
        <w:ind w:left="580" w:hanging="220"/>
        <w:jc w:val="both"/>
      </w:pPr>
      <w:r w:rsidRPr="00B03EC3">
        <w:t>Хяналт-шинжилгээ: Үйлчилгээний чанар, үр дүнг үнэлэх тогтолцоог бий болгоно. Жишээлбэл, кейсийн менежментийн тайлагналын систем.</w:t>
      </w:r>
    </w:p>
    <w:p w14:paraId="535A49E5" w14:textId="77777777" w:rsidR="006A710A" w:rsidRPr="00B03EC3" w:rsidRDefault="00AC728F" w:rsidP="00B03EC3">
      <w:pPr>
        <w:pStyle w:val="BodyText"/>
        <w:spacing w:before="60" w:after="60" w:line="360" w:lineRule="auto"/>
        <w:jc w:val="both"/>
      </w:pPr>
      <w:r w:rsidRPr="00B03EC3">
        <w:t>Үйлчилгээний төрлийг урьдчилан сэргийлэх (жишээ: гэр бүлийн хүчирхийлэлийг бууруулах сургалт), нөхөн сэргээх (жишээ: хохирогчийн сэтгэл зүйн зөвлөгөө), хөгж- лийн (жишээ: хөгжлийн бэрхшээлтэй иргэдийн нийгмийн оролцоог дэмжих) гэж ангилсан. Хэлбэрээр гэр бүлд чиглэсэн (жишээ: гэр бүлийн зөвлөгөө), олон нийтэд чиглэсэн (жишээ: нийгмийн хөтөлбөр) гэж заасан. Ангиллыг анхан (сумын түвшин), дунд (аймгийн), дээд (улсын) түвшнээр хуульчилсан. Энэ зохицуулалт нь Хүүхэд хамгааллын тухай хуулийн 36.1-36.8-д заасан кейс менежментийн загвар, Гэр бү- лийн хүчирхийлэлтэй тэмцэх тухай хуулийн 26.1-д заасан хохирогчдод үйлчилгээ үзүүлэх үүрэгтэй уялдаж, салбарын уялдааг хангана. 2023 оны судалгаагаар нийг- мийн ажлын үйлчилгээний 65</w:t>
      </w:r>
    </w:p>
    <w:p w14:paraId="535A49E6" w14:textId="77777777" w:rsidR="006A710A" w:rsidRPr="00B03EC3" w:rsidRDefault="00AC728F" w:rsidP="00B03EC3">
      <w:pPr>
        <w:pStyle w:val="BodyText"/>
        <w:numPr>
          <w:ilvl w:val="2"/>
          <w:numId w:val="4"/>
        </w:numPr>
        <w:tabs>
          <w:tab w:val="left" w:pos="821"/>
        </w:tabs>
        <w:spacing w:before="60" w:after="60" w:line="360" w:lineRule="auto"/>
        <w:jc w:val="both"/>
      </w:pPr>
      <w:r w:rsidRPr="00B03EC3">
        <w:t>Нийгмийн ажилтны эрх, үүргийг хуулиар томъёолох хүрээнд</w:t>
      </w:r>
    </w:p>
    <w:p w14:paraId="535A49E7" w14:textId="77777777" w:rsidR="006A710A" w:rsidRPr="00B03EC3" w:rsidRDefault="00AC728F" w:rsidP="00B03EC3">
      <w:pPr>
        <w:pStyle w:val="BodyText"/>
        <w:spacing w:before="60" w:after="60" w:line="360" w:lineRule="auto"/>
        <w:jc w:val="both"/>
      </w:pPr>
      <w:r w:rsidRPr="00B03EC3">
        <w:t>Гуравдугаар бүлэгт нийгмийн ажилтны эрх, үүргийг нарийвчлан хуульчилсан:</w:t>
      </w:r>
    </w:p>
    <w:p w14:paraId="535A49E8" w14:textId="77777777" w:rsidR="006A710A" w:rsidRPr="00B03EC3" w:rsidRDefault="00AC728F" w:rsidP="00B03EC3">
      <w:pPr>
        <w:pStyle w:val="BodyText"/>
        <w:numPr>
          <w:ilvl w:val="0"/>
          <w:numId w:val="6"/>
        </w:numPr>
        <w:tabs>
          <w:tab w:val="left" w:pos="595"/>
        </w:tabs>
        <w:spacing w:before="60" w:after="60" w:line="360" w:lineRule="auto"/>
        <w:ind w:left="600" w:hanging="240"/>
        <w:jc w:val="both"/>
      </w:pPr>
      <w:r w:rsidRPr="00B03EC3">
        <w:lastRenderedPageBreak/>
        <w:t>Эрх: Мэргэжлийн сургалтад хамрагдах, хөдөлмөрийн аюулгүй орчин, амрал- тын хугацаагаар хангуулагдах. Энэ нь Боловсролын ерөнхий хуулийн 13.3.1-д заасан нэмэгдэл амралт, Нийгмийн халамжийн тухай хуулийн 8.2.6-д заасан урамшууллын эрхтэй нийцнэ. Жишээлбэл, нийгмийн ажилтан жилд 15 хоно- гийн нэмэгдэл амралт эдэлнэ.</w:t>
      </w:r>
    </w:p>
    <w:p w14:paraId="535A49E9" w14:textId="77777777" w:rsidR="006A710A" w:rsidRPr="00B03EC3" w:rsidRDefault="00AC728F" w:rsidP="00B03EC3">
      <w:pPr>
        <w:pStyle w:val="BodyText"/>
        <w:numPr>
          <w:ilvl w:val="0"/>
          <w:numId w:val="6"/>
        </w:numPr>
        <w:tabs>
          <w:tab w:val="left" w:pos="595"/>
        </w:tabs>
        <w:spacing w:before="60" w:after="60" w:line="360" w:lineRule="auto"/>
        <w:ind w:left="600" w:hanging="240"/>
        <w:jc w:val="both"/>
      </w:pPr>
      <w:r w:rsidRPr="00B03EC3">
        <w:t>Үүрэг: Ёс зүйн дүрэм баримтлах, үйлчлүүлэгчийн нууцыг хадгалах, нөхцөлд шинжилгээ хийж, кейс менежмент хэрэгжүүлэх. Энэ нь Гэр бүлийн хүчир- хийлэлтэй тэмцэх тухай хуулийн 26.1-д заасан хохирогчийн нөхцөл байдлыг үнэлэх, Хүүхдийн эрхийн тухай хуулийн 15.1.5-д заасан хүүхэд хамгааллын зөвлөгөө өгөх үүрэгтэй уялдана.</w:t>
      </w:r>
    </w:p>
    <w:p w14:paraId="535A49EA" w14:textId="77777777" w:rsidR="006A710A" w:rsidRPr="00B03EC3" w:rsidRDefault="00AC728F" w:rsidP="00B03EC3">
      <w:pPr>
        <w:pStyle w:val="BodyText"/>
        <w:spacing w:before="60" w:after="60" w:line="360" w:lineRule="auto"/>
        <w:jc w:val="both"/>
      </w:pPr>
      <w:r w:rsidRPr="00B03EC3">
        <w:t>Эрх, үүргийн тодорхойлолт нь нийгмийн ажилтны мэргэжлийн хариуцлагыг нэмэг- дүүлж, үйлчилгээний чанарыг сайжруулдаг. 2022 оны Хөдөлмөр, нийгмийн хамгаал- лын яамны мэдээллээр нийгмийн ажилтны 78</w:t>
      </w:r>
    </w:p>
    <w:p w14:paraId="535A49EB" w14:textId="77777777" w:rsidR="006A710A" w:rsidRPr="00B03EC3" w:rsidRDefault="00AC728F" w:rsidP="00B03EC3">
      <w:pPr>
        <w:pStyle w:val="BodyText"/>
        <w:numPr>
          <w:ilvl w:val="2"/>
          <w:numId w:val="4"/>
        </w:numPr>
        <w:tabs>
          <w:tab w:val="left" w:pos="821"/>
        </w:tabs>
        <w:spacing w:before="60" w:after="60" w:line="360" w:lineRule="auto"/>
        <w:ind w:left="840" w:hanging="840"/>
        <w:jc w:val="both"/>
      </w:pPr>
      <w:r w:rsidRPr="00B03EC3">
        <w:t>Нийгмийн ажилтны мэргэжлийн шалгуур, ур чадварыг үнэлэх, зэ- рэг дэвийг тодорхойлох хүрээнд</w:t>
      </w:r>
    </w:p>
    <w:p w14:paraId="535A49EC" w14:textId="77777777" w:rsidR="006A710A" w:rsidRPr="00B03EC3" w:rsidRDefault="00AC728F" w:rsidP="00B03EC3">
      <w:pPr>
        <w:pStyle w:val="BodyText"/>
        <w:spacing w:before="60" w:after="60" w:line="360" w:lineRule="auto"/>
        <w:jc w:val="both"/>
      </w:pPr>
      <w:r w:rsidRPr="00B03EC3">
        <w:t>Хуулийн 24.1-24.5-д нийгмийн ажилтны мэргэшлийн зэрэг (анхан: 2 жилийн турш- лага, дунд: 5 жил, ахисан: 10 жил), ур чадварын шалгуур (кейс менежмент, сэтгэл зүйн зөвлөгөө, нийгмийн хөтөлбөр боловсруулах, нөхцөл байдлын шинжилгээ) зэр- гийг тогтоосон. Энэ нь Хөгжлийн бэрхшээлтэй хүний эрхийн тухай хуулийн 8.1-8.2-д заасан онцлог хэрэгцээт сургалтын арга зүй, Ахмад настны тухай хуулийн 4.1.7-д заасан цогц хэрэгцээний үнэлгээний ур чадвартай нийцнэ.</w:t>
      </w:r>
    </w:p>
    <w:p w14:paraId="535A49ED" w14:textId="77777777" w:rsidR="006A710A" w:rsidRPr="00B03EC3" w:rsidRDefault="00AC728F" w:rsidP="00B03EC3">
      <w:pPr>
        <w:pStyle w:val="BodyText"/>
        <w:spacing w:before="60" w:after="60" w:line="360" w:lineRule="auto"/>
        <w:jc w:val="both"/>
      </w:pPr>
      <w:r w:rsidRPr="00B03EC3">
        <w:t>Гэсэн хэдий ч, шалгуурын өндөр босго нь одоогийн нөхцөлд (нийгмийн ажилтны 56</w:t>
      </w:r>
    </w:p>
    <w:p w14:paraId="535A49EE" w14:textId="77777777" w:rsidR="006A710A" w:rsidRPr="00B03EC3" w:rsidRDefault="00AC728F" w:rsidP="00B03EC3">
      <w:pPr>
        <w:pStyle w:val="BodyText"/>
        <w:numPr>
          <w:ilvl w:val="2"/>
          <w:numId w:val="4"/>
        </w:numPr>
        <w:tabs>
          <w:tab w:val="left" w:pos="821"/>
        </w:tabs>
        <w:spacing w:before="60" w:after="60" w:line="360" w:lineRule="auto"/>
        <w:jc w:val="both"/>
      </w:pPr>
      <w:r w:rsidRPr="00B03EC3">
        <w:t>Нийгмийн ажилтны нийгмийн баталгааг сайжруулах хүрээнд</w:t>
      </w:r>
    </w:p>
    <w:p w14:paraId="535A49EF" w14:textId="77777777" w:rsidR="006A710A" w:rsidRPr="00B03EC3" w:rsidRDefault="00AC728F" w:rsidP="00B03EC3">
      <w:pPr>
        <w:pStyle w:val="BodyText"/>
        <w:spacing w:before="60" w:after="60" w:line="360" w:lineRule="auto"/>
        <w:jc w:val="both"/>
      </w:pPr>
      <w:r w:rsidRPr="00B03EC3">
        <w:t>Хуулийн 24 дүгээр зүйлд нийгмийн ажилтны нийгмийн баталгаа (нэмэгдэл амралт, урамшуулал, ажлын байрны аюулгүй байдал, мэргэжлийн хариуцлагын даатгал) зэргийг тусгасан. Энэ нь Боловсролын ерөнхий хуулийн 13.3.1-13.3.3 (15 хоногийн нэмэгдэл амралт), Нийгмийн халамжийн тухай хуулийн 8.2.6 (жил бүр 1 сарын цалинтай тэнцэх урамшуулал), Монгол Улсын Засгийн газрын 2024-2028 оны үйл ажиллагааны хөтөлбөрийн 2.3.1.4 (нийгмийн баталгааг сайжруулах) зорилттой нийц- нэ.</w:t>
      </w:r>
    </w:p>
    <w:p w14:paraId="535A49F0" w14:textId="77777777" w:rsidR="006A710A" w:rsidRPr="00B03EC3" w:rsidRDefault="00AC728F" w:rsidP="00B03EC3">
      <w:pPr>
        <w:pStyle w:val="BodyText"/>
        <w:spacing w:before="60" w:after="60" w:line="360" w:lineRule="auto"/>
        <w:jc w:val="both"/>
      </w:pPr>
      <w:r w:rsidRPr="00B03EC3">
        <w:t>Гэсэн хэдий ч цалингийн доод хэмжээ, урт хугацааны тэтгэмж, ажлын ачаалалд суурилсан нэмэгдлийн талаар тодорхой заалт дутмаг. 2023 оны судалгаагаар ний- гээс амжилттай нийцэгчдийн дундаж цалин 1.5 сая төгрөг бөгөөд, энэ нь хувийн хэвшлийн мэргэжлийн ажилтны (2.2 сая) цалингаас бага байна. Иймд 24 дүгээр зүйлд цалингийн доод хэмжээг 1.8 сая төгрөгөөр тогтоох, 5 жил тутамд 5</w:t>
      </w:r>
    </w:p>
    <w:p w14:paraId="535A49F1" w14:textId="77777777" w:rsidR="006A710A" w:rsidRPr="00B03EC3" w:rsidRDefault="00AC728F" w:rsidP="00B03EC3">
      <w:pPr>
        <w:pStyle w:val="Heading30"/>
        <w:keepNext/>
        <w:keepLines/>
        <w:numPr>
          <w:ilvl w:val="1"/>
          <w:numId w:val="4"/>
        </w:numPr>
        <w:tabs>
          <w:tab w:val="left" w:pos="627"/>
        </w:tabs>
        <w:spacing w:before="60" w:after="60" w:line="360" w:lineRule="auto"/>
        <w:jc w:val="both"/>
        <w:rPr>
          <w:rFonts w:ascii="Times New Roman" w:hAnsi="Times New Roman" w:cs="Times New Roman"/>
        </w:rPr>
      </w:pPr>
      <w:bookmarkStart w:id="6" w:name="bookmark12"/>
      <w:r w:rsidRPr="00B03EC3">
        <w:rPr>
          <w:rFonts w:ascii="Times New Roman" w:hAnsi="Times New Roman" w:cs="Times New Roman"/>
        </w:rPr>
        <w:t>“Практикт хэрэгжих боломж” шалгуур үзүүлэлтийн хү- рээнд хийсэн үнэлгээ</w:t>
      </w:r>
      <w:bookmarkEnd w:id="6"/>
    </w:p>
    <w:p w14:paraId="535A49F2" w14:textId="77777777" w:rsidR="006A710A" w:rsidRPr="00B03EC3" w:rsidRDefault="00AC728F" w:rsidP="00B03EC3">
      <w:pPr>
        <w:pStyle w:val="BodyText"/>
        <w:spacing w:before="60" w:after="60" w:line="360" w:lineRule="auto"/>
        <w:jc w:val="both"/>
      </w:pPr>
      <w:r w:rsidRPr="00B03EC3">
        <w:t>Хуулийн хэрэгжилтэд шаардлагатай нөөц, боломж, сорилтыг дэлгэрэнгүй шинжлэв:</w:t>
      </w:r>
    </w:p>
    <w:p w14:paraId="535A49F3" w14:textId="77777777" w:rsidR="006A710A" w:rsidRPr="00B03EC3" w:rsidRDefault="00AC728F" w:rsidP="00B03EC3">
      <w:pPr>
        <w:pStyle w:val="BodyText"/>
        <w:numPr>
          <w:ilvl w:val="0"/>
          <w:numId w:val="7"/>
        </w:numPr>
        <w:tabs>
          <w:tab w:val="left" w:pos="627"/>
        </w:tabs>
        <w:spacing w:before="60" w:after="60" w:line="360" w:lineRule="auto"/>
        <w:ind w:left="600" w:hanging="240"/>
        <w:jc w:val="both"/>
      </w:pPr>
      <w:r w:rsidRPr="00B03EC3">
        <w:t xml:space="preserve">Боломж: - </w:t>
      </w:r>
      <w:r w:rsidRPr="00B03EC3">
        <w:rPr>
          <w:rFonts w:eastAsia="Arial"/>
          <w:sz w:val="19"/>
          <w:szCs w:val="19"/>
        </w:rPr>
        <w:t>Институцийн дэмжлэг</w:t>
      </w:r>
      <w:r w:rsidRPr="00B03EC3">
        <w:t xml:space="preserve">: 7, 8 дугаар зүйлд заасан нийгмийн ажлын тогтолцоо, мэргэжлийн байгууллагын зохион байгуулалт нь Хөдөлмөр, нийг- мийн хамгааллын яамны чиг үүрэгтэй уялдана. Нийгмийн халамжийн тухай хуулийн 8.2.7-д заасан сургалтын санхүүжилт (жилд 576 сая төгрөг), Засгийн газрын 2024-2028 оны үйл ажиллагааны хөтөлбөрийн 2.1.1.7-д заасан сум, </w:t>
      </w:r>
      <w:r w:rsidRPr="00B03EC3">
        <w:lastRenderedPageBreak/>
        <w:t xml:space="preserve">хо- роо бүрт нийгмийн ажилтан ажиллуулах зорилт нь 3168 нийгмийн ажилтныг сурчих, мэргэшүүлэх боломжтой. Жишээлбэл, 2024 онд 500 нийгмийн ажил- тан богино хугацааны сургалтад хамрагдсан. - </w:t>
      </w:r>
      <w:r w:rsidRPr="00B03EC3">
        <w:rPr>
          <w:rFonts w:eastAsia="Arial"/>
          <w:sz w:val="19"/>
          <w:szCs w:val="19"/>
        </w:rPr>
        <w:t>Санхүүгийн тооцоо</w:t>
      </w:r>
      <w:r w:rsidRPr="00B03EC3">
        <w:t xml:space="preserve">: Хуулийн хэрэгжилтийн зардал 2.3 тэрбум төгрөг (сургалт: 1 тэрбум, орон тооны нэмэг- дэл: 1.3 тэрбум) бөгөөд, энэ нь 2025 оны улсын төсвийн нийгмийн хамгааллын зардлын 0.4- </w:t>
      </w:r>
      <w:r w:rsidRPr="00B03EC3">
        <w:rPr>
          <w:rFonts w:eastAsia="Arial"/>
          <w:sz w:val="19"/>
          <w:szCs w:val="19"/>
        </w:rPr>
        <w:t>Технологийн дэмжлэг</w:t>
      </w:r>
      <w:r w:rsidRPr="00B03EC3">
        <w:t>: Хүүхэд хамгааллын тухай хуулийн 36.5-д заасан мэдээллийн нэгдсэн санг өргөжүүлж, нийгмийн ажлын үйлчилгээний мониторингийн систем бий болгоно. Жишээлбэл, 2023-2026 онд Улаанбаата- рын 8 дүүрэгт туршилтын мэдээллийн сан хэрэгжинэ.</w:t>
      </w:r>
    </w:p>
    <w:p w14:paraId="535A49F4" w14:textId="77777777" w:rsidR="006A710A" w:rsidRPr="00B03EC3" w:rsidRDefault="00AC728F" w:rsidP="00B03EC3">
      <w:pPr>
        <w:pStyle w:val="BodyText"/>
        <w:numPr>
          <w:ilvl w:val="0"/>
          <w:numId w:val="7"/>
        </w:numPr>
        <w:tabs>
          <w:tab w:val="left" w:pos="627"/>
        </w:tabs>
        <w:spacing w:before="60" w:after="60" w:line="360" w:lineRule="auto"/>
        <w:ind w:left="600" w:hanging="240"/>
        <w:jc w:val="both"/>
      </w:pPr>
      <w:r w:rsidRPr="00B03EC3">
        <w:t xml:space="preserve">Сорилт: - </w:t>
      </w:r>
      <w:r w:rsidRPr="00B03EC3">
        <w:rPr>
          <w:rFonts w:eastAsia="Arial"/>
          <w:sz w:val="19"/>
          <w:szCs w:val="19"/>
        </w:rPr>
        <w:t xml:space="preserve">Хүний нөөцийн хомсдол </w:t>
      </w:r>
      <w:r w:rsidRPr="00B03EC3">
        <w:t xml:space="preserve">: 2023 оны судалгаагаар нийгмийн ажилт- ны 56- </w:t>
      </w:r>
      <w:r w:rsidRPr="00B03EC3">
        <w:rPr>
          <w:rFonts w:eastAsia="Arial"/>
          <w:sz w:val="19"/>
          <w:szCs w:val="19"/>
        </w:rPr>
        <w:t>Ажлын ачаалал</w:t>
      </w:r>
      <w:r w:rsidRPr="00B03EC3">
        <w:t xml:space="preserve">: Нэг нийгмийн ажилтанд дунджаар 18 кейс (10-15 гэж харьцуулбал өндөр) ногддог. Гэр бүлийн хүчирхийлэлтэй тэмцэх тухай хуу- лийн 26.1.5-д заасан эрсдэлийн судалгаа, Ахмад настны тухай хуулийн 7.2.10-д заасан хэрэгцээний үнэлгээ зэрэг нь ачааллыг нэмэгдүүлдэг. - </w:t>
      </w:r>
      <w:r w:rsidRPr="00B03EC3">
        <w:rPr>
          <w:rFonts w:eastAsia="Arial"/>
          <w:sz w:val="19"/>
          <w:szCs w:val="19"/>
        </w:rPr>
        <w:t>Орон нутгийн ялгаа</w:t>
      </w:r>
      <w:r w:rsidRPr="00B03EC3">
        <w:t>: Нийслэлд нийгмийн ажилтны хүртээмж 95</w:t>
      </w:r>
    </w:p>
    <w:p w14:paraId="535A49F5" w14:textId="77777777" w:rsidR="006A710A" w:rsidRPr="00B03EC3" w:rsidRDefault="00AC728F" w:rsidP="00B03EC3">
      <w:pPr>
        <w:pStyle w:val="BodyText"/>
        <w:numPr>
          <w:ilvl w:val="1"/>
          <w:numId w:val="8"/>
        </w:numPr>
        <w:tabs>
          <w:tab w:val="left" w:pos="366"/>
        </w:tabs>
        <w:spacing w:before="60" w:after="60" w:line="360" w:lineRule="auto"/>
        <w:jc w:val="both"/>
      </w:pPr>
      <w:r w:rsidRPr="00B03EC3">
        <w:t>дугаар зүйлд заасан “Нийгмийн ажилтны мэргэжлийн нэгдсэн холбоо” нь Нийг- мийн халамжийн тухай хуулийн 28.8-д заасан зөвлөлийн үйл ажиллагаатай уялдан, ажлын байрны тодорхойлолт боловсруулж, мэргэжлийн удирдлагаар хангахад чу- хал. Жишээлбэл, 2023 онд туршилтын журмаар 200 нийгмийн ажилтныг холбооны гишүүнээр бүртгэж, стандартын сургалт явуулсан.</w:t>
      </w:r>
    </w:p>
    <w:p w14:paraId="535A49F6" w14:textId="55CF8570" w:rsidR="006A710A" w:rsidRPr="00B03EC3" w:rsidRDefault="00AC728F" w:rsidP="00B03EC3">
      <w:pPr>
        <w:pStyle w:val="Heading30"/>
        <w:keepNext/>
        <w:keepLines/>
        <w:numPr>
          <w:ilvl w:val="1"/>
          <w:numId w:val="9"/>
        </w:numPr>
        <w:tabs>
          <w:tab w:val="left" w:pos="627"/>
        </w:tabs>
        <w:spacing w:before="60" w:after="60" w:line="360" w:lineRule="auto"/>
        <w:jc w:val="both"/>
        <w:rPr>
          <w:rFonts w:ascii="Times New Roman" w:hAnsi="Times New Roman" w:cs="Times New Roman"/>
        </w:rPr>
      </w:pPr>
      <w:bookmarkStart w:id="7" w:name="bookmark14"/>
      <w:r w:rsidRPr="00B03EC3">
        <w:rPr>
          <w:rFonts w:ascii="Times New Roman" w:hAnsi="Times New Roman" w:cs="Times New Roman"/>
        </w:rPr>
        <w:t>“Ойлгомжтой байдал” шалгуур үзүүлэлтийн хүрээнд хийсэн үнэлгээ</w:t>
      </w:r>
      <w:bookmarkEnd w:id="7"/>
    </w:p>
    <w:p w14:paraId="535A49F7" w14:textId="77777777" w:rsidR="006A710A" w:rsidRPr="00B03EC3" w:rsidRDefault="00AC728F" w:rsidP="00B03EC3">
      <w:pPr>
        <w:pStyle w:val="BodyText"/>
        <w:spacing w:before="60" w:after="60" w:line="360" w:lineRule="auto"/>
        <w:jc w:val="both"/>
      </w:pPr>
      <w:r w:rsidRPr="00B03EC3">
        <w:t>Хуулийн төслийн зүйл, заалтууд Хууль тогтоомжийн тухай хуулийн 28-32 дугаар зүйлд нийцнэ:</w:t>
      </w:r>
    </w:p>
    <w:p w14:paraId="535A49F8" w14:textId="77777777" w:rsidR="006A710A" w:rsidRPr="00B03EC3" w:rsidRDefault="00AC728F" w:rsidP="00B03EC3">
      <w:pPr>
        <w:pStyle w:val="BodyText"/>
        <w:numPr>
          <w:ilvl w:val="0"/>
          <w:numId w:val="10"/>
        </w:numPr>
        <w:tabs>
          <w:tab w:val="left" w:pos="627"/>
        </w:tabs>
        <w:spacing w:before="60" w:after="60" w:line="360" w:lineRule="auto"/>
        <w:ind w:left="600" w:hanging="240"/>
        <w:jc w:val="both"/>
      </w:pPr>
      <w:r w:rsidRPr="00B03EC3">
        <w:t>Нэр томьёо: “Нийгмийн ажилтан” гэдэг нь 4.3-д тодорхойлогдож, Нийгмийн халамжийн тухай хуулийн 28.1-8 (бакалаврын зэрэгтэй, мэргэшсэн), Хүүхдийн хамгааллын тухай хуулийн 8.1 (кейс менежментийн ур чадвартай) заалттай нийцсэн, хоёрдмол утгагүй. Жишээлбэл, “нийгмийн ажил” гэдэгт хүүхэд хам- гаалал, гэр бүлийн зөвлөгөө багтана, гэхдээ эмнэлгийн үйлчилгээ орохгүй.</w:t>
      </w:r>
    </w:p>
    <w:p w14:paraId="535A49F9" w14:textId="77777777" w:rsidR="006A710A" w:rsidRPr="00B03EC3" w:rsidRDefault="00AC728F" w:rsidP="00B03EC3">
      <w:pPr>
        <w:pStyle w:val="BodyText"/>
        <w:numPr>
          <w:ilvl w:val="0"/>
          <w:numId w:val="10"/>
        </w:numPr>
        <w:tabs>
          <w:tab w:val="left" w:pos="627"/>
        </w:tabs>
        <w:spacing w:before="60" w:after="60" w:line="360" w:lineRule="auto"/>
        <w:ind w:left="600" w:hanging="240"/>
        <w:jc w:val="both"/>
      </w:pPr>
      <w:r w:rsidRPr="00B03EC3">
        <w:t>Зүйл, заалтын дараалал: Логиктой зохион байгуулалттай. Хоёрдугаар зүйлд тогтолцоо, үйлчилгээний төрлийг (урьдчилан сэргийлэх, нөхөн сэргээх) тодор- хойлсны дараа Гуравдугаар зүйлд эрх, үүргийг (нөхцөл байдал үнэлэх) заасан нь Гэр бүлийн хүчирхийлэлтэй тэмцэх тухай хуулийн 16.1-17.1-д заасан үйл ажиллагааны дараалалтай нийцнэ. Жишээлбэл, хохирогчийн нөхцөл байдлыг үнэлсний дараа зөвлөгөө, үйлчилгээ үзүүлнэ.</w:t>
      </w:r>
    </w:p>
    <w:p w14:paraId="535A49FA" w14:textId="77777777" w:rsidR="006A710A" w:rsidRPr="00B03EC3" w:rsidRDefault="00AC728F" w:rsidP="00B03EC3">
      <w:pPr>
        <w:pStyle w:val="BodyText"/>
        <w:numPr>
          <w:ilvl w:val="0"/>
          <w:numId w:val="10"/>
        </w:numPr>
        <w:tabs>
          <w:tab w:val="left" w:pos="600"/>
        </w:tabs>
        <w:spacing w:before="60" w:after="60" w:line="360" w:lineRule="auto"/>
        <w:ind w:left="600" w:hanging="240"/>
        <w:jc w:val="both"/>
      </w:pPr>
      <w:r w:rsidRPr="00B03EC3">
        <w:t>Дагалдах хуулийн төсөл: Хүүхдийн эрхийн тухай хуульд оруулах нэмэлт (3.2.1-д нийгмийн ажилтны зөвлөгөөний баг нэмэх) дугаар, байршлын шаард- лага хангана. Засгийн хөтөлбөрийн 2.3.1-д заасан орон нутгийн нийгмийн ажилт- ны орон тоотой уялддаг.</w:t>
      </w:r>
    </w:p>
    <w:p w14:paraId="535A49FB" w14:textId="77777777" w:rsidR="006A710A" w:rsidRPr="00B03EC3" w:rsidRDefault="00AC728F" w:rsidP="00B03EC3">
      <w:pPr>
        <w:pStyle w:val="BodyText"/>
        <w:numPr>
          <w:ilvl w:val="0"/>
          <w:numId w:val="10"/>
        </w:numPr>
        <w:tabs>
          <w:tab w:val="left" w:pos="600"/>
        </w:tabs>
        <w:spacing w:before="60" w:after="60" w:line="360" w:lineRule="auto"/>
        <w:ind w:left="600" w:hanging="240"/>
        <w:jc w:val="both"/>
      </w:pPr>
      <w:r w:rsidRPr="00B03EC3">
        <w:t>Хэрэглээний тодорхой байдал: Зүйл бүрт хэрэгжүүлэгч (яам, орон нутгийн байгууллага) тодорхой заасан. Жишээлбэл, 8 дугаар зүйлд сумын нийгмийн ажилтны чиг үүргийг Засаг даргын Тамгын газар хариуцна.</w:t>
      </w:r>
    </w:p>
    <w:p w14:paraId="535A49FC" w14:textId="77777777" w:rsidR="006A710A" w:rsidRPr="00B03EC3" w:rsidRDefault="00AC728F" w:rsidP="00B03EC3">
      <w:pPr>
        <w:pStyle w:val="Heading30"/>
        <w:keepNext/>
        <w:keepLines/>
        <w:numPr>
          <w:ilvl w:val="1"/>
          <w:numId w:val="9"/>
        </w:numPr>
        <w:tabs>
          <w:tab w:val="left" w:pos="600"/>
        </w:tabs>
        <w:spacing w:before="60" w:after="60" w:line="360" w:lineRule="auto"/>
        <w:jc w:val="both"/>
        <w:rPr>
          <w:rFonts w:ascii="Times New Roman" w:hAnsi="Times New Roman" w:cs="Times New Roman"/>
        </w:rPr>
      </w:pPr>
      <w:bookmarkStart w:id="8" w:name="bookmark16"/>
      <w:r w:rsidRPr="00B03EC3">
        <w:rPr>
          <w:rFonts w:ascii="Times New Roman" w:hAnsi="Times New Roman" w:cs="Times New Roman"/>
        </w:rPr>
        <w:lastRenderedPageBreak/>
        <w:t>“Харилцан уялдаа” шалгуур үзүүлэлтийн хүрээнд хийсэн үнэлгээ</w:t>
      </w:r>
      <w:bookmarkEnd w:id="8"/>
    </w:p>
    <w:p w14:paraId="535A49FD" w14:textId="77777777" w:rsidR="006A710A" w:rsidRPr="00B03EC3" w:rsidRDefault="00AC728F" w:rsidP="00B03EC3">
      <w:pPr>
        <w:pStyle w:val="BodyText"/>
        <w:spacing w:before="60" w:after="60" w:line="360" w:lineRule="auto"/>
        <w:jc w:val="both"/>
      </w:pPr>
      <w:r w:rsidRPr="00B03EC3">
        <w:t>Хуулийн төсөл Монгол Улсын Үндсэн хууль, бусад хууль, олон улсын гэрээтэй зөр- чил, давхардалгүй:</w:t>
      </w:r>
    </w:p>
    <w:p w14:paraId="535A49FE"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Монгол Улсын Үндсэн хууль (1992/01/13): 16.11 (гэр бүлийн хамгаа- лалт), 19.1 (хүний эрхийн баталгаа) нь хуулийн нийгмийн хамгааллын зорил- готой нийцнэ. Жишээлбэл, хүүхэд, ахмад, хөгжлийн бэрхшээлтэй иргэдийн эрхийг хамгаалах.</w:t>
      </w:r>
    </w:p>
    <w:p w14:paraId="535A49FF"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Нийгмийн халамжийн тухай хууль (2012/01/19): 28.1-28.9 (нийгмийн ажилтны эрх, үүрэг), 8.2.6-8.2.7 (урамшуулал, сургалтын санхүүжилт), 24.1-24.6 (тогтолцооны зохицуулалт) нь мэргэжлийн стандарт, хэрэгжилттэй уялдана. Жишээлбэл, 8.2.6-д заасан урамшуулал хуулийн 24 дүгээр зүйлд нийцнэ.</w:t>
      </w:r>
    </w:p>
    <w:p w14:paraId="535A4A00"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Хүүхэд хамгааллын тухай хууль (2024/01/17): 36.1-36.8 (кейс менеж- мент, орон тоо), 31.1-31.4 (хүүхдийн хамгааллын үйлчилгээ) нь хуулийн хүүхэд хамгааллын зорилттой нийцнэ. Жишээлбэл, 36.4-д заасан кейс менежментийн загвар хуулийн 7 дугаар зүйлд нийцнэ.</w:t>
      </w:r>
    </w:p>
    <w:p w14:paraId="535A4A01"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Гэр бүлийн хүчирхийлэлтэй тэмцэх тухай хууль (2016/12/22): 26.1-26.2 (хохирогчдод үйлчилгээ), 32.1-32.3 (нөхцөл байдлын үнэлгээ) нь хүчирхийл- лээс сэргийлэх зорилготой нийцнэ. Жишээлбэл, хохирогчийн сэтгэл зүйн зөв- лөгөө.</w:t>
      </w:r>
    </w:p>
    <w:p w14:paraId="535A4A02"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Ахмад настны тухай хууль (2017/01/26): 4.1.7, 7.2.1-7.2.10 (хэрэгцээний үнэлгээ, үйлчилгээ) нь ахмадын хамгаалалттай нийцнэ. Жишээлбэл, ганцаар амьдардаг ахмадад тусламж.</w:t>
      </w:r>
    </w:p>
    <w:p w14:paraId="535A4A03"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Хөгжлийн бэрхшээлтэй хүний эрхийн тухай хууль (2016/02/05): 7.1-16.2 (онцлог хэрэгцээт сургалт) нь хүртээмжтэй үйлчилгээний зорилготой нийцнэ.</w:t>
      </w:r>
    </w:p>
    <w:p w14:paraId="535A4A04"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Боловсролын ерөнхий хууль (2023/07/07): 15.1-15.3 (нийгмийн баталгаа) нь хөдөлмөрийн нөхцлийн зүйлдтэй нийцнэ. Жишээлбэл, нэмэгдэл амралт.</w:t>
      </w:r>
    </w:p>
    <w:p w14:paraId="535A4A05"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Засгийн газрын 2024—2028 оны үйл ажиллагааны хөтөлбөр (2024/08/08): 2.1.1.7-28 (орон тоо) нь орон нутгийн хэрэгжилттэй нийцнэ. Жишээлбэл, сум бүрт нийгмийн ажилтан.</w:t>
      </w:r>
    </w:p>
    <w:p w14:paraId="535A4A06" w14:textId="77777777" w:rsidR="006A710A" w:rsidRPr="00B03EC3" w:rsidRDefault="00AC728F" w:rsidP="00B03EC3">
      <w:pPr>
        <w:pStyle w:val="BodyText"/>
        <w:numPr>
          <w:ilvl w:val="0"/>
          <w:numId w:val="11"/>
        </w:numPr>
        <w:tabs>
          <w:tab w:val="left" w:pos="600"/>
        </w:tabs>
        <w:spacing w:before="60" w:after="60" w:line="360" w:lineRule="auto"/>
        <w:ind w:left="600" w:hanging="240"/>
        <w:jc w:val="both"/>
      </w:pPr>
      <w:r w:rsidRPr="00B03EC3">
        <w:t>НҮБ-ын Хүүхдийн эрхийн тухай Конвенц (1989/11/20): 19.1-19.2 (хүүх- дийг хүчирхийлэлээс хамгаалах) хуулийн хүүхэд хамгааллын зорилттой нийц- нэ. Жишээлбэл, хүчирхийллээс урьдчилан сэргийлэх.</w:t>
      </w:r>
    </w:p>
    <w:p w14:paraId="535A4A07" w14:textId="2B38DD23" w:rsidR="00B03EC3" w:rsidRDefault="00AC728F" w:rsidP="00B03EC3">
      <w:pPr>
        <w:pStyle w:val="BodyText"/>
        <w:spacing w:before="60" w:after="60" w:line="360" w:lineRule="auto"/>
        <w:jc w:val="both"/>
      </w:pPr>
      <w:r w:rsidRPr="00B03EC3">
        <w:t>Зохицуулалт нь жендэрийн тэгш байдал, авлигын эрсдэлгүй бөгөөд хэрэгжүүлэгчийг тодорхой заасан. Жишээлбэл, Хөдөлмөр, нийгмийн хамгааллын яам болон орон нут- гийн Засаг дарга.</w:t>
      </w:r>
    </w:p>
    <w:p w14:paraId="3F884E39" w14:textId="77777777" w:rsidR="00B03EC3" w:rsidRDefault="00B03EC3">
      <w:pPr>
        <w:rPr>
          <w:rFonts w:ascii="Times New Roman" w:eastAsia="Times New Roman" w:hAnsi="Times New Roman" w:cs="Times New Roman"/>
          <w:sz w:val="22"/>
          <w:szCs w:val="22"/>
        </w:rPr>
      </w:pPr>
      <w:r>
        <w:br w:type="page"/>
      </w:r>
    </w:p>
    <w:p w14:paraId="535A4A08" w14:textId="77777777" w:rsidR="006A710A" w:rsidRPr="00B03EC3" w:rsidRDefault="00AC728F" w:rsidP="00B03EC3">
      <w:pPr>
        <w:pStyle w:val="Heading20"/>
        <w:keepNext/>
        <w:keepLines/>
        <w:spacing w:before="60" w:after="60" w:line="360" w:lineRule="auto"/>
        <w:ind w:left="0" w:firstLine="0"/>
        <w:jc w:val="both"/>
        <w:rPr>
          <w:rFonts w:ascii="Times New Roman" w:hAnsi="Times New Roman" w:cs="Times New Roman"/>
        </w:rPr>
      </w:pPr>
      <w:bookmarkStart w:id="9" w:name="bookmark18"/>
      <w:r w:rsidRPr="00B03EC3">
        <w:rPr>
          <w:rFonts w:ascii="Times New Roman" w:hAnsi="Times New Roman" w:cs="Times New Roman"/>
        </w:rPr>
        <w:lastRenderedPageBreak/>
        <w:t>4 Дүгнэлт, зөвлөмж</w:t>
      </w:r>
      <w:bookmarkEnd w:id="9"/>
    </w:p>
    <w:p w14:paraId="535A4A09" w14:textId="77777777" w:rsidR="006A710A" w:rsidRPr="00B03EC3" w:rsidRDefault="00AC728F" w:rsidP="00B03EC3">
      <w:pPr>
        <w:pStyle w:val="Heading30"/>
        <w:keepNext/>
        <w:keepLines/>
        <w:numPr>
          <w:ilvl w:val="1"/>
          <w:numId w:val="12"/>
        </w:numPr>
        <w:tabs>
          <w:tab w:val="left" w:pos="620"/>
        </w:tabs>
        <w:spacing w:before="60" w:after="60" w:line="360" w:lineRule="auto"/>
        <w:ind w:left="0" w:firstLine="0"/>
        <w:jc w:val="both"/>
        <w:rPr>
          <w:rFonts w:ascii="Times New Roman" w:hAnsi="Times New Roman" w:cs="Times New Roman"/>
        </w:rPr>
      </w:pPr>
      <w:bookmarkStart w:id="10" w:name="bookmark20"/>
      <w:r w:rsidRPr="00B03EC3">
        <w:rPr>
          <w:rFonts w:ascii="Times New Roman" w:hAnsi="Times New Roman" w:cs="Times New Roman"/>
        </w:rPr>
        <w:t>Дүгнэлт</w:t>
      </w:r>
      <w:bookmarkEnd w:id="10"/>
    </w:p>
    <w:p w14:paraId="535A4A0A" w14:textId="77777777" w:rsidR="006A710A" w:rsidRPr="00B03EC3" w:rsidRDefault="00AC728F" w:rsidP="00B03EC3">
      <w:pPr>
        <w:pStyle w:val="BodyText"/>
        <w:spacing w:before="60" w:after="60" w:line="360" w:lineRule="auto"/>
        <w:jc w:val="both"/>
      </w:pPr>
      <w:r w:rsidRPr="00B03EC3">
        <w:t>Хуулийн төсөл зорилгодоо бүрэн хүрэх боломжтой, практикт хэрэгжих чадвартай, ойлгомжтой бөгөөд Монгол Улсын хууль тогтоомж, олон улсын гэрээтэй нийцнэ. Хууль нь нийгмийн хамгааллын тогтолцоог бэхжүүлж, мэргэжлийн стандартыг тог- тоож, хүүхэд, гэр бүл, ахмад, хөгжлийн бэрхшээлтэй иргэдийн амьдралын чанарыг дээшлүүлнэ. Гэсэн хэдий ч хүний нөөцийн хомсдол, мэргэжлийн бус байдал, ажлын ачаалал зэрэг сорилтууд бий.</w:t>
      </w:r>
    </w:p>
    <w:p w14:paraId="535A4A0B" w14:textId="77777777" w:rsidR="006A710A" w:rsidRPr="00B03EC3" w:rsidRDefault="00AC728F" w:rsidP="00B03EC3">
      <w:pPr>
        <w:pStyle w:val="Heading30"/>
        <w:keepNext/>
        <w:keepLines/>
        <w:numPr>
          <w:ilvl w:val="1"/>
          <w:numId w:val="12"/>
        </w:numPr>
        <w:tabs>
          <w:tab w:val="left" w:pos="620"/>
        </w:tabs>
        <w:spacing w:before="60" w:after="60" w:line="360" w:lineRule="auto"/>
        <w:ind w:left="0" w:firstLine="0"/>
        <w:jc w:val="both"/>
        <w:rPr>
          <w:rFonts w:ascii="Times New Roman" w:hAnsi="Times New Roman" w:cs="Times New Roman"/>
        </w:rPr>
      </w:pPr>
      <w:bookmarkStart w:id="11" w:name="bookmark22"/>
      <w:r w:rsidRPr="00B03EC3">
        <w:rPr>
          <w:rFonts w:ascii="Times New Roman" w:hAnsi="Times New Roman" w:cs="Times New Roman"/>
        </w:rPr>
        <w:t>Зөвлөмж</w:t>
      </w:r>
      <w:bookmarkEnd w:id="11"/>
    </w:p>
    <w:p w14:paraId="535A4A0C" w14:textId="77777777" w:rsidR="006A710A" w:rsidRPr="00B03EC3" w:rsidRDefault="00AC728F" w:rsidP="00B03EC3">
      <w:pPr>
        <w:pStyle w:val="BodyText"/>
        <w:numPr>
          <w:ilvl w:val="0"/>
          <w:numId w:val="13"/>
        </w:numPr>
        <w:tabs>
          <w:tab w:val="left" w:pos="633"/>
        </w:tabs>
        <w:spacing w:before="60" w:after="60" w:line="360" w:lineRule="auto"/>
        <w:ind w:left="600" w:hanging="300"/>
        <w:jc w:val="both"/>
      </w:pPr>
      <w:r w:rsidRPr="00B03EC3">
        <w:t>Хуулийн 24.1.5-д заасан мэргэшлийн зэргийн босгыг бууруулж, хүний нөөцийн хомсдлыг харгалзан үзэх. Жишээлбэл, 5 жилийн туршлага шаардлагаас 2 жил болгох.</w:t>
      </w:r>
    </w:p>
    <w:p w14:paraId="535A4A0D" w14:textId="77777777" w:rsidR="006A710A" w:rsidRPr="00B03EC3" w:rsidRDefault="00AC728F" w:rsidP="00B03EC3">
      <w:pPr>
        <w:pStyle w:val="BodyText"/>
        <w:numPr>
          <w:ilvl w:val="0"/>
          <w:numId w:val="13"/>
        </w:numPr>
        <w:tabs>
          <w:tab w:val="left" w:pos="642"/>
        </w:tabs>
        <w:spacing w:before="60" w:after="60" w:line="360" w:lineRule="auto"/>
        <w:ind w:left="600" w:hanging="300"/>
        <w:jc w:val="both"/>
      </w:pPr>
      <w:r w:rsidRPr="00B03EC3">
        <w:t>Сум, хороо бүрт хүүхэд хамгааллын чиглэлийн нийгмийн ажилтны орон тоог нэмэгдүүлж, мэргэшсэн боловсон хүчин бэлтгэх. Жишээлбэл, 2026 онд 300 орон тоо шинээр нэмэх.</w:t>
      </w:r>
    </w:p>
    <w:p w14:paraId="535A4A0E" w14:textId="77777777" w:rsidR="006A710A" w:rsidRPr="00B03EC3" w:rsidRDefault="00AC728F" w:rsidP="00B03EC3">
      <w:pPr>
        <w:pStyle w:val="BodyText"/>
        <w:numPr>
          <w:ilvl w:val="0"/>
          <w:numId w:val="13"/>
        </w:numPr>
        <w:tabs>
          <w:tab w:val="left" w:pos="642"/>
        </w:tabs>
        <w:spacing w:before="60" w:after="60" w:line="360" w:lineRule="auto"/>
        <w:ind w:left="600" w:hanging="300"/>
        <w:jc w:val="both"/>
      </w:pPr>
      <w:r w:rsidRPr="00B03EC3">
        <w:t>Мэргэжлийн бус нийгмийн ажилтныг богино хугацааны сургалтад хамруулж, мэргэшүүлэх хөтөлбөр хэрэгжүүлэх. Жишээлбэл, 6 сарын 120 цагийн сургалт.</w:t>
      </w:r>
    </w:p>
    <w:p w14:paraId="535A4A0F" w14:textId="77777777" w:rsidR="006A710A" w:rsidRPr="00B03EC3" w:rsidRDefault="00AC728F" w:rsidP="00B03EC3">
      <w:pPr>
        <w:pStyle w:val="BodyText"/>
        <w:numPr>
          <w:ilvl w:val="0"/>
          <w:numId w:val="13"/>
        </w:numPr>
        <w:tabs>
          <w:tab w:val="left" w:pos="647"/>
        </w:tabs>
        <w:spacing w:before="60" w:after="60" w:line="360" w:lineRule="auto"/>
        <w:ind w:left="600" w:hanging="300"/>
        <w:jc w:val="both"/>
      </w:pPr>
      <w:r w:rsidRPr="00B03EC3">
        <w:t>Нийгмийн ажилтны цалин, урт хугацааны тэтгэмжийн заалтыг 24 дүгээр зүйлд нэмж, нийгмийн баталгааг сайжруулах. Жишээлбэл, цалингийн доод хэмжээг 1.8 сая төгрөг, 5 жил тутам 5</w:t>
      </w:r>
    </w:p>
    <w:p w14:paraId="535A4A10" w14:textId="77777777" w:rsidR="006A710A" w:rsidRPr="00B03EC3" w:rsidRDefault="00AC728F" w:rsidP="00B03EC3">
      <w:pPr>
        <w:pStyle w:val="BodyText"/>
        <w:numPr>
          <w:ilvl w:val="0"/>
          <w:numId w:val="13"/>
        </w:numPr>
        <w:tabs>
          <w:tab w:val="left" w:pos="642"/>
        </w:tabs>
        <w:spacing w:before="60" w:after="60" w:line="360" w:lineRule="auto"/>
        <w:ind w:left="600" w:hanging="300"/>
        <w:jc w:val="both"/>
      </w:pPr>
      <w:r w:rsidRPr="00B03EC3">
        <w:t>Үйлчилгээний үр дүнг хэмжих мэдээллийн нэгдсэн сан байгуулж, хяналт-шинжилгээний тогтолцоог бий болгох.</w:t>
      </w:r>
    </w:p>
    <w:sectPr w:rsidR="006A710A" w:rsidRPr="00B03EC3" w:rsidSect="00B03EC3">
      <w:pgSz w:w="11900" w:h="16840" w:code="9"/>
      <w:pgMar w:top="1134" w:right="851" w:bottom="1134" w:left="1418" w:header="98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4A16" w14:textId="77777777" w:rsidR="00AC728F" w:rsidRDefault="00AC728F">
      <w:r>
        <w:separator/>
      </w:r>
    </w:p>
  </w:endnote>
  <w:endnote w:type="continuationSeparator" w:id="0">
    <w:p w14:paraId="535A4A18" w14:textId="77777777" w:rsidR="00AC728F" w:rsidRDefault="00AC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4A13" w14:textId="77777777" w:rsidR="006A710A" w:rsidRDefault="00AC728F">
    <w:pPr>
      <w:spacing w:line="1" w:lineRule="exact"/>
    </w:pPr>
    <w:r>
      <w:rPr>
        <w:noProof/>
      </w:rPr>
      <mc:AlternateContent>
        <mc:Choice Requires="wps">
          <w:drawing>
            <wp:anchor distT="0" distB="0" distL="0" distR="0" simplePos="0" relativeHeight="62914690" behindDoc="1" locked="0" layoutInCell="1" allowOverlap="1" wp14:anchorId="535A4A14" wp14:editId="535A4A15">
              <wp:simplePos x="0" y="0"/>
              <wp:positionH relativeFrom="page">
                <wp:posOffset>3754120</wp:posOffset>
              </wp:positionH>
              <wp:positionV relativeFrom="page">
                <wp:posOffset>10087610</wp:posOffset>
              </wp:positionV>
              <wp:extent cx="4889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48895" cy="100330"/>
                      </a:xfrm>
                      <a:prstGeom prst="rect">
                        <a:avLst/>
                      </a:prstGeom>
                      <a:noFill/>
                    </wps:spPr>
                    <wps:txbx>
                      <w:txbxContent>
                        <w:p w14:paraId="535A4A16" w14:textId="77777777" w:rsidR="006A710A" w:rsidRDefault="00AC728F">
                          <w:pPr>
                            <w:pStyle w:val="Headerorfooter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535A4A14" id="_x0000_t202" coordsize="21600,21600" o:spt="202" path="m,l,21600r21600,l21600,xe">
              <v:stroke joinstyle="miter"/>
              <v:path gradientshapeok="t" o:connecttype="rect"/>
            </v:shapetype>
            <v:shape id="Shape 1" o:spid="_x0000_s1026" type="#_x0000_t202" style="position:absolute;margin-left:295.6pt;margin-top:794.3pt;width:3.8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" filled="f" stroked="f">
              <v:textbox style="mso-fit-shape-to-text:t" inset="0,0,0,0">
                <w:txbxContent>
                  <w:p w14:paraId="535A4A16" w14:textId="77777777" w:rsidR="006A710A" w:rsidRDefault="00AC728F">
                    <w:pPr>
                      <w:pStyle w:val="Headerorfooter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4A11" w14:textId="77777777" w:rsidR="006A710A" w:rsidRDefault="006A710A"/>
  </w:footnote>
  <w:footnote w:type="continuationSeparator" w:id="0">
    <w:p w14:paraId="535A4A12" w14:textId="77777777" w:rsidR="006A710A" w:rsidRDefault="006A71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85F"/>
    <w:multiLevelType w:val="multilevel"/>
    <w:tmpl w:val="B6429D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30005"/>
    <w:multiLevelType w:val="multilevel"/>
    <w:tmpl w:val="E9F05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83723E"/>
    <w:multiLevelType w:val="multilevel"/>
    <w:tmpl w:val="18246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33C4D"/>
    <w:multiLevelType w:val="multilevel"/>
    <w:tmpl w:val="13785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CC57E4"/>
    <w:multiLevelType w:val="multilevel"/>
    <w:tmpl w:val="21A89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CB3390"/>
    <w:multiLevelType w:val="multilevel"/>
    <w:tmpl w:val="BFE0A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5C0D92"/>
    <w:multiLevelType w:val="multilevel"/>
    <w:tmpl w:val="73DC3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417C69"/>
    <w:multiLevelType w:val="multilevel"/>
    <w:tmpl w:val="503C7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5A4C2B"/>
    <w:multiLevelType w:val="multilevel"/>
    <w:tmpl w:val="9912D130"/>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DD4653"/>
    <w:multiLevelType w:val="multilevel"/>
    <w:tmpl w:val="285A7CD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991971"/>
    <w:multiLevelType w:val="multilevel"/>
    <w:tmpl w:val="5B9015BE"/>
    <w:lvl w:ilvl="0">
      <w:start w:val="3"/>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E913B2"/>
    <w:multiLevelType w:val="multilevel"/>
    <w:tmpl w:val="B13E3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506FB6"/>
    <w:multiLevelType w:val="multilevel"/>
    <w:tmpl w:val="E58E1784"/>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mn-MN" w:eastAsia="mn-MN" w:bidi="mn-M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mn-MN" w:eastAsia="mn-MN" w:bidi="mn-M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4305475">
    <w:abstractNumId w:val="5"/>
  </w:num>
  <w:num w:numId="2" w16cid:durableId="1251625850">
    <w:abstractNumId w:val="2"/>
  </w:num>
  <w:num w:numId="3" w16cid:durableId="773863673">
    <w:abstractNumId w:val="3"/>
  </w:num>
  <w:num w:numId="4" w16cid:durableId="291060576">
    <w:abstractNumId w:val="12"/>
  </w:num>
  <w:num w:numId="5" w16cid:durableId="808976701">
    <w:abstractNumId w:val="0"/>
  </w:num>
  <w:num w:numId="6" w16cid:durableId="319773064">
    <w:abstractNumId w:val="11"/>
  </w:num>
  <w:num w:numId="7" w16cid:durableId="918755062">
    <w:abstractNumId w:val="7"/>
  </w:num>
  <w:num w:numId="8" w16cid:durableId="1210342373">
    <w:abstractNumId w:val="9"/>
  </w:num>
  <w:num w:numId="9" w16cid:durableId="2042510545">
    <w:abstractNumId w:val="10"/>
  </w:num>
  <w:num w:numId="10" w16cid:durableId="128792508">
    <w:abstractNumId w:val="4"/>
  </w:num>
  <w:num w:numId="11" w16cid:durableId="380442495">
    <w:abstractNumId w:val="6"/>
  </w:num>
  <w:num w:numId="12" w16cid:durableId="1272283061">
    <w:abstractNumId w:val="8"/>
  </w:num>
  <w:num w:numId="13" w16cid:durableId="55201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0A"/>
    <w:rsid w:val="00225DA2"/>
    <w:rsid w:val="006A710A"/>
    <w:rsid w:val="00910A1E"/>
    <w:rsid w:val="00AC728F"/>
    <w:rsid w:val="00B0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49BF"/>
  <w15:docId w15:val="{0EEDD7EC-9028-4EE5-85F3-AA4AB00F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Condensed" w:eastAsia="DejaVu Sans Condensed" w:hAnsi="DejaVu Sans Condensed" w:cs="DejaVu Sans Condensed"/>
        <w:sz w:val="24"/>
        <w:szCs w:val="24"/>
        <w:lang w:val="mn-MN" w:eastAsia="mn-MN" w:bidi="mn-M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val="0"/>
      <w:bCs w:val="0"/>
      <w:i w:val="0"/>
      <w:iCs w:val="0"/>
      <w:smallCaps w:val="0"/>
      <w:strike w:val="0"/>
      <w:sz w:val="34"/>
      <w:szCs w:val="34"/>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2"/>
      <w:szCs w:val="22"/>
      <w:u w:val="none"/>
    </w:rPr>
  </w:style>
  <w:style w:type="character" w:customStyle="1" w:styleId="Heading3">
    <w:name w:val="Heading #3_"/>
    <w:basedOn w:val="DefaultParagraphFont"/>
    <w:link w:val="Heading30"/>
    <w:rPr>
      <w:rFonts w:ascii="Arial" w:eastAsia="Arial" w:hAnsi="Arial" w:cs="Arial"/>
      <w:b w:val="0"/>
      <w:bCs w:val="0"/>
      <w:i w:val="0"/>
      <w:iCs w:val="0"/>
      <w:smallCaps w:val="0"/>
      <w:strike w:val="0"/>
      <w:u w:val="none"/>
    </w:rPr>
  </w:style>
  <w:style w:type="paragraph" w:customStyle="1" w:styleId="Heading10">
    <w:name w:val="Heading #1"/>
    <w:basedOn w:val="Normal"/>
    <w:link w:val="Heading1"/>
    <w:pPr>
      <w:spacing w:after="600" w:line="307" w:lineRule="auto"/>
      <w:jc w:val="center"/>
      <w:outlineLvl w:val="0"/>
    </w:pPr>
    <w:rPr>
      <w:rFonts w:ascii="Arial" w:eastAsia="Arial" w:hAnsi="Arial" w:cs="Arial"/>
      <w:sz w:val="34"/>
      <w:szCs w:val="34"/>
    </w:rPr>
  </w:style>
  <w:style w:type="paragraph" w:customStyle="1" w:styleId="Bodytext20">
    <w:name w:val="Body text (2)"/>
    <w:basedOn w:val="Normal"/>
    <w:link w:val="Bodytext2"/>
    <w:pPr>
      <w:spacing w:after="1280"/>
      <w:jc w:val="center"/>
    </w:pPr>
    <w:rPr>
      <w:rFonts w:ascii="Arial" w:eastAsia="Arial" w:hAnsi="Arial" w:cs="Arial"/>
    </w:rPr>
  </w:style>
  <w:style w:type="paragraph" w:styleId="BodyText">
    <w:name w:val="Body Text"/>
    <w:basedOn w:val="Normal"/>
    <w:link w:val="BodyTextChar"/>
    <w:qFormat/>
    <w:pPr>
      <w:spacing w:after="120" w:line="276" w:lineRule="auto"/>
    </w:pPr>
    <w:rPr>
      <w:rFonts w:ascii="Times New Roman" w:eastAsia="Times New Roman" w:hAnsi="Times New Roman" w:cs="Times New Roman"/>
      <w:sz w:val="22"/>
      <w:szCs w:val="22"/>
    </w:rPr>
  </w:style>
  <w:style w:type="paragraph" w:customStyle="1" w:styleId="Heading20">
    <w:name w:val="Heading #2"/>
    <w:basedOn w:val="Normal"/>
    <w:link w:val="Heading2"/>
    <w:pPr>
      <w:spacing w:after="140" w:line="326" w:lineRule="auto"/>
      <w:ind w:left="580" w:hanging="290"/>
      <w:outlineLvl w:val="1"/>
    </w:pPr>
    <w:rPr>
      <w:rFonts w:ascii="Arial" w:eastAsia="Arial" w:hAnsi="Arial" w:cs="Arial"/>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line="276" w:lineRule="auto"/>
      <w:ind w:left="360" w:hanging="180"/>
    </w:pPr>
    <w:rPr>
      <w:rFonts w:ascii="Times New Roman" w:eastAsia="Times New Roman" w:hAnsi="Times New Roman" w:cs="Times New Roman"/>
      <w:sz w:val="22"/>
      <w:szCs w:val="22"/>
    </w:rPr>
  </w:style>
  <w:style w:type="paragraph" w:customStyle="1" w:styleId="Heading30">
    <w:name w:val="Heading #3"/>
    <w:basedOn w:val="Normal"/>
    <w:link w:val="Heading3"/>
    <w:pPr>
      <w:spacing w:after="100" w:line="314" w:lineRule="auto"/>
      <w:ind w:left="740" w:hanging="740"/>
      <w:outlineLvl w:val="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2394</Words>
  <Characters>13650</Characters>
  <Application>Microsoft Office Word</Application>
  <DocSecurity>0</DocSecurity>
  <Lines>113</Lines>
  <Paragraphs>32</Paragraphs>
  <ScaleCrop>false</ScaleCrop>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Anujin Baatarjav</cp:lastModifiedBy>
  <cp:revision>3</cp:revision>
  <dcterms:created xsi:type="dcterms:W3CDTF">2025-05-29T08:03:00Z</dcterms:created>
  <dcterms:modified xsi:type="dcterms:W3CDTF">2025-05-30T00:56:00Z</dcterms:modified>
</cp:coreProperties>
</file>