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651" w:rsidRPr="00741BD6" w:rsidRDefault="00B33651" w:rsidP="00B33651">
      <w:pPr>
        <w:widowControl w:val="0"/>
        <w:contextualSpacing/>
        <w:jc w:val="center"/>
        <w:rPr>
          <w:rFonts w:ascii="Arial" w:hAnsi="Arial" w:cs="Arial"/>
          <w:bCs/>
          <w:noProof/>
          <w:lang w:val="mn-MN" w:eastAsia="zh-CN" w:bidi="hi-IN"/>
        </w:rPr>
      </w:pPr>
      <w:r w:rsidRPr="00741BD6">
        <w:rPr>
          <w:rFonts w:ascii="Arial" w:hAnsi="Arial" w:cs="Arial"/>
          <w:b/>
          <w:bCs/>
          <w:noProof/>
          <w:lang w:val="mn-MN"/>
        </w:rPr>
        <w:t>ТАНИЛЦУУЛГА</w:t>
      </w:r>
    </w:p>
    <w:p w:rsidR="00B33651" w:rsidRPr="00741BD6" w:rsidRDefault="00B33651" w:rsidP="00B33651">
      <w:pPr>
        <w:contextualSpacing/>
        <w:rPr>
          <w:rFonts w:ascii="Arial" w:hAnsi="Arial" w:cs="Arial"/>
          <w:noProof/>
          <w:lang w:val="mn-MN"/>
        </w:rPr>
      </w:pPr>
    </w:p>
    <w:p w:rsidR="00B33651" w:rsidRPr="00741BD6" w:rsidRDefault="00B33651" w:rsidP="00B33651">
      <w:pPr>
        <w:pStyle w:val="Title"/>
        <w:spacing w:after="0"/>
        <w:ind w:left="4253"/>
        <w:jc w:val="both"/>
        <w:rPr>
          <w:rFonts w:ascii="Arial" w:hAnsi="Arial" w:cs="Arial"/>
          <w:i/>
          <w:iCs/>
          <w:sz w:val="24"/>
          <w:szCs w:val="24"/>
        </w:rPr>
      </w:pPr>
      <w:r w:rsidRPr="00741BD6">
        <w:rPr>
          <w:rFonts w:ascii="Arial" w:hAnsi="Arial" w:cs="Arial"/>
          <w:i/>
          <w:iCs/>
          <w:sz w:val="24"/>
          <w:szCs w:val="24"/>
        </w:rPr>
        <w:t>Нийслэл Улаанбаатар хотын замын хөдөлгөөний түгжрэлийг бууруулах, гэр хорооллыг орон сууцжуулах хуульд нэмэлт, өөрчлөлт оруулах тухай хуулийн төслийн дэлгэрэнгүй танилцуулга</w:t>
      </w:r>
    </w:p>
    <w:p w:rsidR="00B33651" w:rsidRPr="00741BD6" w:rsidRDefault="00B33651" w:rsidP="00B33651">
      <w:pPr>
        <w:contextualSpacing/>
        <w:rPr>
          <w:rFonts w:ascii="Arial" w:hAnsi="Arial" w:cs="Arial"/>
        </w:rPr>
      </w:pPr>
    </w:p>
    <w:p w:rsidR="00B33651" w:rsidRPr="00741BD6" w:rsidRDefault="00B33651" w:rsidP="00B33651">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rsidR="00B33651" w:rsidRPr="00741BD6" w:rsidRDefault="00B33651" w:rsidP="00B33651">
      <w:pPr>
        <w:ind w:left="4395"/>
        <w:contextualSpacing/>
        <w:rPr>
          <w:rFonts w:ascii="Arial" w:hAnsi="Arial" w:cs="Arial"/>
          <w:u w:val="single"/>
          <w:lang w:val="mn-MN"/>
        </w:rPr>
      </w:pPr>
    </w:p>
    <w:p w:rsidR="00B33651" w:rsidRPr="00741BD6" w:rsidRDefault="00B33651" w:rsidP="00B33651">
      <w:pPr>
        <w:ind w:firstLine="720"/>
        <w:contextualSpacing/>
        <w:jc w:val="both"/>
        <w:rPr>
          <w:rFonts w:ascii="Arial" w:hAnsi="Arial" w:cs="Arial"/>
        </w:rPr>
      </w:pPr>
      <w:r w:rsidRPr="00741BD6">
        <w:rPr>
          <w:rFonts w:ascii="Arial" w:hAnsi="Arial" w:cs="Arial"/>
        </w:rPr>
        <w:t>Монгол Улсын Их Хурлаас 2023 оны 12 дугаар сарын 07-ны өдөр Нийслэл Улаанбаатар хотын замын хөдөлгөөний түгжрэлийг бууруулах, гэр хорооллыг орон сууцжуулах тухай 5 бүлэг 22 зүйл бүхий анхдагч хуулийг баталсан.</w:t>
      </w:r>
    </w:p>
    <w:p w:rsidR="00B33651" w:rsidRPr="00741BD6" w:rsidRDefault="00B33651" w:rsidP="00B33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heme="minorHAnsi" w:hAnsi="Arial" w:cs="Arial"/>
          <w14:ligatures w14:val="standardContextual"/>
        </w:rPr>
      </w:pPr>
    </w:p>
    <w:p w:rsidR="00B33651" w:rsidRPr="00741BD6" w:rsidRDefault="00B33651" w:rsidP="00B33651">
      <w:pPr>
        <w:ind w:firstLine="720"/>
        <w:contextualSpacing/>
        <w:jc w:val="both"/>
        <w:rPr>
          <w:rFonts w:ascii="Arial" w:hAnsi="Arial" w:cs="Arial"/>
          <w:bCs/>
          <w:noProof/>
          <w:lang w:val="mn-MN"/>
        </w:rPr>
      </w:pPr>
      <w:r w:rsidRPr="00741BD6">
        <w:rPr>
          <w:rFonts w:ascii="Arial" w:hAnsi="Arial" w:cs="Arial"/>
          <w:noProof/>
          <w:lang w:val="bs-Latn-BA"/>
        </w:rPr>
        <w:t>Нийслэл Улаанбаатар хот</w:t>
      </w:r>
      <w:r w:rsidRPr="00741BD6">
        <w:rPr>
          <w:rFonts w:ascii="Arial" w:hAnsi="Arial" w:cs="Arial"/>
          <w:bCs/>
          <w:noProof/>
          <w:lang w:val="bs-Latn-BA"/>
        </w:rPr>
        <w:t xml:space="preserve">ын замын хөдөлгөөний түгжрэлийг бууруулах, гэр хорооллыг орон сууцжуулах </w:t>
      </w:r>
      <w:r w:rsidRPr="00741BD6">
        <w:rPr>
          <w:rFonts w:ascii="Arial" w:hAnsi="Arial" w:cs="Arial"/>
          <w:bCs/>
          <w:noProof/>
          <w:lang w:val="mn-MN"/>
        </w:rPr>
        <w:t>тухай хуулийн 3 дугаар бүлэгт Нийгмийн зайлшгүй хэрэгцээг үндэслэн газар чөлөөлөх, гэр хорооллыг орон сууцжуулж барилгажуулах харилцааг зохицуулсан нь нөхөх олговортойгоор газар чөлөөлөх ажлын эрх зүйн үндэслэлийг бүрдүүлсэн.</w:t>
      </w:r>
    </w:p>
    <w:p w:rsidR="00B33651" w:rsidRPr="00741BD6" w:rsidRDefault="00B33651" w:rsidP="00B33651">
      <w:pPr>
        <w:ind w:firstLine="720"/>
        <w:contextualSpacing/>
        <w:jc w:val="both"/>
        <w:rPr>
          <w:rFonts w:ascii="Arial" w:hAnsi="Arial" w:cs="Arial"/>
          <w:bCs/>
          <w:noProof/>
          <w:lang w:val="mn-MN"/>
        </w:rPr>
      </w:pPr>
    </w:p>
    <w:p w:rsidR="00B33651" w:rsidRPr="00741BD6" w:rsidRDefault="00B33651" w:rsidP="00B33651">
      <w:pPr>
        <w:ind w:firstLine="720"/>
        <w:contextualSpacing/>
        <w:jc w:val="both"/>
        <w:rPr>
          <w:rFonts w:ascii="Arial" w:hAnsi="Arial" w:cs="Arial"/>
          <w:noProof/>
          <w:lang w:val="mn-MN"/>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10 дугаар зүйлийн 10.7-д заасныг үндэслэн</w:t>
      </w:r>
      <w:r w:rsidRPr="00741BD6">
        <w:rPr>
          <w:rFonts w:ascii="Arial" w:hAnsi="Arial" w:cs="Arial"/>
          <w:noProof/>
          <w:lang w:val="mn-MN"/>
        </w:rPr>
        <w:t xml:space="preserve"> Монгол Улсын Засгийн газраас 2024 оны 03 дугаар сарын 06-ны өдрийн 91 дүгээр тогтоолоор </w:t>
      </w:r>
      <w:r w:rsidRPr="00741BD6">
        <w:rPr>
          <w:rFonts w:ascii="Arial" w:hAnsi="Arial" w:cs="Arial"/>
          <w:noProof/>
          <w:lang w:val="bs-Latn-BA"/>
        </w:rPr>
        <w:t>“Нийгмийн зайлшгүй хэрэгцээг үндэслэн газар чөлөөлөх журам”-ыг</w:t>
      </w:r>
      <w:r w:rsidRPr="00741BD6">
        <w:rPr>
          <w:rFonts w:ascii="Arial" w:hAnsi="Arial" w:cs="Arial"/>
          <w:noProof/>
          <w:lang w:val="mn-MN"/>
        </w:rPr>
        <w:t xml:space="preserve"> батлан хэрэгжүүлж байна. </w:t>
      </w:r>
    </w:p>
    <w:p w:rsidR="00B33651" w:rsidRPr="00741BD6" w:rsidRDefault="00B33651" w:rsidP="00B33651">
      <w:pPr>
        <w:ind w:firstLine="720"/>
        <w:contextualSpacing/>
        <w:jc w:val="both"/>
        <w:rPr>
          <w:rFonts w:ascii="Arial" w:hAnsi="Arial" w:cs="Arial"/>
          <w:noProof/>
          <w:lang w:val="mn-MN"/>
        </w:rPr>
      </w:pPr>
    </w:p>
    <w:p w:rsidR="00B33651" w:rsidRPr="00741BD6" w:rsidRDefault="00B33651" w:rsidP="00B33651">
      <w:pPr>
        <w:ind w:firstLine="720"/>
        <w:contextualSpacing/>
        <w:jc w:val="both"/>
        <w:rPr>
          <w:rFonts w:ascii="Arial" w:hAnsi="Arial" w:cs="Arial"/>
          <w:lang w:val="mn-MN"/>
        </w:rPr>
      </w:pPr>
      <w:r w:rsidRPr="00741BD6">
        <w:rPr>
          <w:rFonts w:ascii="Arial" w:hAnsi="Arial" w:cs="Arial"/>
          <w:lang w:val="mn-MN"/>
        </w:rPr>
        <w:t>Нийслэлийн иргэдийн Төлөөлөгчдийн Хурлаас газар чөлөөлөлтийн нөхөн олговрын асуудлыг шийдвэрлэж ирсэн хэдий ч 2015-2023 онд 3408 нэгж талбарыг чөлөөлсөн бол 2024 онд 2082 нэгж талбарыг чөлөөлөөд байна.</w:t>
      </w:r>
    </w:p>
    <w:p w:rsidR="00B33651" w:rsidRPr="00741BD6" w:rsidRDefault="00B33651" w:rsidP="00B33651">
      <w:pPr>
        <w:ind w:firstLine="720"/>
        <w:contextualSpacing/>
        <w:jc w:val="both"/>
        <w:rPr>
          <w:rFonts w:ascii="Arial" w:hAnsi="Arial" w:cs="Arial"/>
          <w:lang w:val="mn-MN"/>
        </w:rPr>
      </w:pPr>
    </w:p>
    <w:p w:rsidR="00B33651" w:rsidRPr="00741BD6" w:rsidRDefault="00B33651" w:rsidP="00B33651">
      <w:pPr>
        <w:ind w:firstLine="720"/>
        <w:contextualSpacing/>
        <w:jc w:val="both"/>
        <w:rPr>
          <w:rFonts w:ascii="Arial" w:hAnsi="Arial" w:cs="Arial"/>
          <w:shd w:val="clear" w:color="auto" w:fill="FFFFFF"/>
        </w:rPr>
      </w:pPr>
      <w:r w:rsidRPr="00741BD6">
        <w:rPr>
          <w:rFonts w:ascii="Arial" w:hAnsi="Arial" w:cs="Arial"/>
          <w:lang w:val="mn-MN"/>
        </w:rPr>
        <w:t xml:space="preserve">Цаашид </w:t>
      </w:r>
      <w:r w:rsidRPr="00741BD6">
        <w:rPr>
          <w:rFonts w:ascii="Arial" w:hAnsi="Arial" w:cs="Arial"/>
          <w:shd w:val="clear" w:color="auto" w:fill="FFFFFF"/>
        </w:rPr>
        <w:t>нийслэлийн нутаг дэвсгэрийн хэмжээнд төвлөрлийг сааруулах зорилгоор хотын хөгжлийн ерөнхий болон хэсэгчилсэн ерөнхий төлөвлөгөө, Засгийн газрын шийдвэрийн дагуу улс, орон нутгийн төсвийн хөрөнгө, төр, хувийн хэвшлийн түншлэл, гадаад улсын зээл, тусламжийн хөрөнгөөр хийгдэх төсөл арга хэмжээг хэрэгжүүлэхэд нийгмийн зайлшгүй хэрэгцээг үндэслэн газар чөлөөлөхөд санхүүгийн асуудлыг олон талын эх үүсвэрээр шийдвэрлэхгүйгээр хүссэн үр дүнд хүрэх боломжгүй нөхцөл үүсээд байна. Түүнчлэн нийслэлийн авто замын түгжрэлийг бууруулахын тулд нийтийн тээвэр болох автобус, таксины хүртээмжийг нэмэгдүүлэх зайлшгүй хэрэгцээ бий болоод байна.</w:t>
      </w:r>
    </w:p>
    <w:p w:rsidR="00B33651" w:rsidRPr="00741BD6" w:rsidRDefault="00B33651" w:rsidP="00B33651">
      <w:pPr>
        <w:ind w:firstLine="720"/>
        <w:contextualSpacing/>
        <w:jc w:val="both"/>
        <w:rPr>
          <w:rFonts w:ascii="Arial" w:hAnsi="Arial" w:cs="Arial"/>
          <w:shd w:val="clear" w:color="auto" w:fill="FFFFFF"/>
        </w:rPr>
      </w:pPr>
    </w:p>
    <w:p w:rsidR="00B33651" w:rsidRPr="00741BD6" w:rsidRDefault="00B33651" w:rsidP="00B33651">
      <w:pPr>
        <w:ind w:firstLine="720"/>
        <w:contextualSpacing/>
        <w:jc w:val="both"/>
        <w:rPr>
          <w:rFonts w:ascii="Arial" w:hAnsi="Arial" w:cs="Arial"/>
          <w:lang w:val="mn-MN"/>
        </w:rPr>
      </w:pPr>
      <w:r w:rsidRPr="00741BD6">
        <w:rPr>
          <w:rFonts w:ascii="Arial" w:hAnsi="Arial" w:cs="Arial"/>
          <w:shd w:val="clear" w:color="auto" w:fill="FFFFFF"/>
        </w:rPr>
        <w:t>Иймд хуулийн төслийг 3 зүйлтэй байхаар боловсрууллаа.</w:t>
      </w:r>
    </w:p>
    <w:p w:rsidR="00B33651" w:rsidRPr="00741BD6" w:rsidRDefault="00B33651" w:rsidP="00B33651">
      <w:pPr>
        <w:ind w:firstLine="720"/>
        <w:contextualSpacing/>
        <w:jc w:val="both"/>
        <w:rPr>
          <w:rFonts w:ascii="Arial" w:hAnsi="Arial" w:cs="Arial"/>
          <w:lang w:val="mn-MN"/>
        </w:rPr>
      </w:pPr>
    </w:p>
    <w:p w:rsidR="00B33651" w:rsidRPr="00741BD6" w:rsidRDefault="00B33651" w:rsidP="00B33651">
      <w:pPr>
        <w:ind w:firstLine="720"/>
        <w:contextualSpacing/>
        <w:jc w:val="both"/>
        <w:rPr>
          <w:rFonts w:ascii="Arial" w:hAnsi="Arial" w:cs="Arial"/>
          <w:b/>
          <w:bCs/>
          <w:shd w:val="clear" w:color="auto" w:fill="FFFFFF"/>
        </w:rPr>
      </w:pPr>
      <w:r w:rsidRPr="00741BD6">
        <w:rPr>
          <w:rFonts w:ascii="Arial" w:hAnsi="Arial" w:cs="Arial"/>
          <w:b/>
          <w:bCs/>
          <w:shd w:val="clear" w:color="auto" w:fill="FFFFFF"/>
        </w:rPr>
        <w:t>2.Зохицуулахаар тусгасан харилцааны агуулга, зохицуулалтыг хэрхэн ойлгох тухай</w:t>
      </w:r>
    </w:p>
    <w:p w:rsidR="00B33651" w:rsidRPr="00741BD6" w:rsidRDefault="00B33651" w:rsidP="00B33651">
      <w:pPr>
        <w:ind w:firstLine="720"/>
        <w:contextualSpacing/>
        <w:jc w:val="both"/>
        <w:rPr>
          <w:rFonts w:ascii="Arial" w:hAnsi="Arial" w:cs="Arial"/>
          <w:lang w:val="mn-MN"/>
        </w:rPr>
      </w:pPr>
    </w:p>
    <w:p w:rsidR="00B33651" w:rsidRPr="00741BD6" w:rsidRDefault="00B33651" w:rsidP="00B33651">
      <w:pPr>
        <w:ind w:firstLine="720"/>
        <w:contextualSpacing/>
        <w:jc w:val="both"/>
        <w:rPr>
          <w:rFonts w:ascii="Arial" w:hAnsi="Arial" w:cs="Arial"/>
          <w:shd w:val="clear" w:color="auto" w:fill="FFFFFF"/>
        </w:rPr>
      </w:pPr>
      <w:r w:rsidRPr="00741BD6">
        <w:rPr>
          <w:rFonts w:ascii="Arial" w:hAnsi="Arial" w:cs="Arial"/>
          <w:lang w:val="mn-MN"/>
        </w:rPr>
        <w:t xml:space="preserve"> </w:t>
      </w: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15 дугаар зүйлийн</w:t>
      </w:r>
      <w:r w:rsidRPr="00741BD6">
        <w:rPr>
          <w:rFonts w:ascii="Arial" w:hAnsi="Arial" w:cs="Arial"/>
          <w:shd w:val="clear" w:color="auto" w:fill="FFFFFF"/>
        </w:rPr>
        <w:t xml:space="preserve"> 15.2 дахь хэсэгт “Гэр хорооллыг орон сууцжуулах үйл ажиллагааг хэрэгжүүлэгч гэр хорооллыг орон сууцжуулах төслийн хүрээнд баригдсан орон сууцыг газар чөлөөлөлтийн нөхөх олговрын зориулалтаар зарцуулна.” гэж заасан. Өөрөөр хэлбэл, газар чөлөөлөлтийн хүрээнд барьж ашиглалтад оруулсан орон сууцыг газрын нөхөн </w:t>
      </w:r>
      <w:r w:rsidRPr="00741BD6">
        <w:rPr>
          <w:rFonts w:ascii="Arial" w:hAnsi="Arial" w:cs="Arial"/>
          <w:shd w:val="clear" w:color="auto" w:fill="FFFFFF"/>
        </w:rPr>
        <w:lastRenderedPageBreak/>
        <w:t xml:space="preserve">олговрын зориулалтаар солих боломжтой хэдий ч худалдан борлуулж, үүнээс бий болсон орлогыг дахин төлөвлөлтөд зарцуулах хууль зүйн боломжгүй байна. Иймд чөлөөлөхтэй холбогдон гарах зардлыг нөхөх, гэр хорооллыг орон сууцжуулах үйл ажиллагааг эрчимжүүлэх зорилгоор борлуулах </w:t>
      </w:r>
      <w:r>
        <w:rPr>
          <w:rFonts w:ascii="Arial" w:hAnsi="Arial" w:cs="Arial"/>
          <w:shd w:val="clear" w:color="auto" w:fill="FFFFFF"/>
        </w:rPr>
        <w:t xml:space="preserve">талаар </w:t>
      </w:r>
      <w:r w:rsidRPr="00741BD6">
        <w:rPr>
          <w:rFonts w:ascii="Arial" w:hAnsi="Arial" w:cs="Arial"/>
          <w:shd w:val="clear" w:color="auto" w:fill="FFFFFF"/>
        </w:rPr>
        <w:t xml:space="preserve">хуулийн төсөлд тусгалаа. </w:t>
      </w:r>
    </w:p>
    <w:p w:rsidR="00B33651" w:rsidRPr="00741BD6" w:rsidRDefault="00B33651" w:rsidP="00B33651">
      <w:pPr>
        <w:ind w:firstLine="720"/>
        <w:contextualSpacing/>
        <w:jc w:val="both"/>
        <w:rPr>
          <w:rFonts w:ascii="Arial" w:hAnsi="Arial" w:cs="Arial"/>
          <w:shd w:val="clear" w:color="auto" w:fill="FFFFFF"/>
        </w:rPr>
      </w:pPr>
    </w:p>
    <w:p w:rsidR="00B33651" w:rsidRPr="00741BD6" w:rsidRDefault="00B33651" w:rsidP="00B33651">
      <w:pPr>
        <w:ind w:firstLine="720"/>
        <w:contextualSpacing/>
        <w:jc w:val="both"/>
        <w:rPr>
          <w:rFonts w:ascii="Arial" w:hAnsi="Arial" w:cs="Arial"/>
          <w:shd w:val="clear" w:color="auto" w:fill="FFFFFF"/>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 14 дүгээр зүйлийн</w:t>
      </w:r>
      <w:r w:rsidRPr="00741BD6">
        <w:rPr>
          <w:rFonts w:ascii="Arial" w:hAnsi="Arial" w:cs="Arial"/>
          <w:shd w:val="clear" w:color="auto" w:fill="FFFFFF"/>
        </w:rPr>
        <w:t xml:space="preserve"> 14.2 дахь хэсэгт “Нийслэлийн гэр хорооллыг орон сууцжуулах үйл ажиллагааг Хот, суурин газрыг дахин хөгжүүлэх тухай хуулийн 21 дүгээр зүйлд заасан хөрөнгийн эх үүсвэрээр санхүүжүүлнэ.” гэж заасан. Хот, суурин газрыг дахин хөгжүүлэх тухай хуулийн 21 дүгээр 21.1 дэх хэсэгт “Хот, суурин газрыг дахин хөгжүүлэх ажлыг хэрэгжүүлэхэд шаардагдах хөрөнгийн эх үүсвэрийг дараах байдлаар шийдвэрлэнэ:” гэж, 21.1.8 дахь заалтад “Засгийн газрын тусгай сангийн хөрөнгөөр;” гэж заасан. </w:t>
      </w:r>
    </w:p>
    <w:p w:rsidR="00B33651" w:rsidRPr="00741BD6" w:rsidRDefault="00B33651" w:rsidP="00B33651">
      <w:pPr>
        <w:ind w:firstLine="720"/>
        <w:contextualSpacing/>
        <w:jc w:val="both"/>
        <w:rPr>
          <w:rFonts w:ascii="Arial" w:hAnsi="Arial" w:cs="Arial"/>
          <w:shd w:val="clear" w:color="auto" w:fill="FFFFFF"/>
        </w:rPr>
      </w:pPr>
    </w:p>
    <w:p w:rsidR="00B33651" w:rsidRPr="00741BD6" w:rsidRDefault="00B33651" w:rsidP="00B33651">
      <w:pPr>
        <w:ind w:firstLine="720"/>
        <w:contextualSpacing/>
        <w:jc w:val="both"/>
        <w:rPr>
          <w:rFonts w:ascii="Arial" w:hAnsi="Arial" w:cs="Arial"/>
          <w:shd w:val="clear" w:color="auto" w:fill="FFFFFF"/>
        </w:rPr>
      </w:pPr>
      <w:r w:rsidRPr="00741BD6">
        <w:rPr>
          <w:rFonts w:ascii="Arial" w:hAnsi="Arial" w:cs="Arial"/>
          <w:shd w:val="clear" w:color="auto" w:fill="FFFFFF"/>
        </w:rPr>
        <w:t>Засгийн газрын тусгай сангийн тухай хуульд 27 тусгай сан байхаар заасан бөгөөд эдгээр дотор нийслэлийн гэр хорооллыг орон сууцжуулах үйл ажиллагаа, газар чөлөөлөлтийн нөлөөлөлд өртөж байгаа иргэн, хуулийн этгээдийн нөхөх олговрын санхүүжилтийг шийдвэрлэх сан байхгүй учраас хууль хоорондын зөрчлийг арилгах зорилгоор хуулийн төсөлд тусгалаа.</w:t>
      </w:r>
    </w:p>
    <w:p w:rsidR="00B33651" w:rsidRPr="00741BD6" w:rsidRDefault="00B33651" w:rsidP="00B33651">
      <w:pPr>
        <w:ind w:firstLine="720"/>
        <w:contextualSpacing/>
        <w:jc w:val="both"/>
        <w:rPr>
          <w:rFonts w:ascii="Arial" w:hAnsi="Arial" w:cs="Arial"/>
          <w:shd w:val="clear" w:color="auto" w:fill="FFFFFF"/>
        </w:rPr>
      </w:pPr>
    </w:p>
    <w:p w:rsidR="00B33651" w:rsidRPr="00741BD6" w:rsidRDefault="00B33651" w:rsidP="00B33651">
      <w:pPr>
        <w:ind w:firstLine="720"/>
        <w:contextualSpacing/>
        <w:jc w:val="both"/>
        <w:rPr>
          <w:rFonts w:ascii="Arial" w:hAnsi="Arial" w:cs="Arial"/>
          <w:shd w:val="clear" w:color="auto" w:fill="FFFFFF"/>
        </w:rPr>
      </w:pPr>
      <w:r w:rsidRPr="00741BD6">
        <w:rPr>
          <w:rFonts w:ascii="Arial" w:hAnsi="Arial" w:cs="Arial"/>
          <w:shd w:val="clear" w:color="auto" w:fill="FFFFFF"/>
        </w:rPr>
        <w:t>Түүнчлэн</w:t>
      </w:r>
      <w:r w:rsidRPr="00741BD6">
        <w:rPr>
          <w:rFonts w:ascii="Arial" w:hAnsi="Arial" w:cs="Arial"/>
          <w:shd w:val="clear" w:color="auto" w:fill="FFFFFF"/>
          <w:lang w:val="mn-MN"/>
        </w:rPr>
        <w:t xml:space="preserve"> </w:t>
      </w:r>
      <w:r w:rsidRPr="00741BD6">
        <w:rPr>
          <w:rFonts w:ascii="Arial" w:hAnsi="Arial" w:cs="Arial"/>
          <w:shd w:val="clear" w:color="auto" w:fill="FFFFFF"/>
        </w:rPr>
        <w:t>нэр томьёо, ухагдахууны үүслийг шинээр тодорхойлох нөхцөл хуулийн төсөлд гараагүй болно.</w:t>
      </w:r>
    </w:p>
    <w:p w:rsidR="00B33651" w:rsidRPr="00741BD6" w:rsidRDefault="00B33651" w:rsidP="00B33651">
      <w:pPr>
        <w:ind w:firstLine="720"/>
        <w:contextualSpacing/>
        <w:jc w:val="both"/>
        <w:rPr>
          <w:rFonts w:ascii="Arial" w:hAnsi="Arial" w:cs="Arial"/>
          <w:shd w:val="clear" w:color="auto" w:fill="FFFFFF"/>
        </w:rPr>
      </w:pPr>
    </w:p>
    <w:p w:rsidR="00B33651" w:rsidRDefault="00B33651" w:rsidP="00B33651">
      <w:pPr>
        <w:ind w:firstLine="720"/>
        <w:contextualSpacing/>
        <w:jc w:val="both"/>
        <w:rPr>
          <w:rFonts w:ascii="Arial" w:hAnsi="Arial" w:cs="Arial"/>
          <w:shd w:val="clear" w:color="auto" w:fill="FFFFFF"/>
        </w:rPr>
      </w:pPr>
    </w:p>
    <w:p w:rsidR="00B33651" w:rsidRDefault="00B33651" w:rsidP="00B33651">
      <w:pPr>
        <w:ind w:firstLine="720"/>
        <w:contextualSpacing/>
        <w:jc w:val="both"/>
        <w:rPr>
          <w:rFonts w:ascii="Arial" w:hAnsi="Arial" w:cs="Arial"/>
          <w:shd w:val="clear" w:color="auto" w:fill="FFFFFF"/>
        </w:rPr>
      </w:pPr>
    </w:p>
    <w:p w:rsidR="00B33651" w:rsidRDefault="00B33651" w:rsidP="00B33651">
      <w:pPr>
        <w:ind w:firstLine="720"/>
        <w:contextualSpacing/>
        <w:jc w:val="both"/>
        <w:rPr>
          <w:rFonts w:ascii="Arial" w:hAnsi="Arial" w:cs="Arial"/>
          <w:shd w:val="clear" w:color="auto" w:fill="FFFFFF"/>
        </w:rPr>
      </w:pPr>
    </w:p>
    <w:p w:rsidR="00B33651" w:rsidRPr="00741BD6" w:rsidRDefault="00B33651" w:rsidP="00B33651">
      <w:pPr>
        <w:ind w:firstLine="720"/>
        <w:contextualSpacing/>
        <w:jc w:val="both"/>
        <w:rPr>
          <w:rFonts w:ascii="Arial" w:hAnsi="Arial" w:cs="Arial"/>
          <w:shd w:val="clear" w:color="auto" w:fill="FFFFFF"/>
        </w:rPr>
      </w:pPr>
    </w:p>
    <w:p w:rsidR="00B33651" w:rsidRPr="00741BD6" w:rsidRDefault="00B33651" w:rsidP="00B33651">
      <w:pPr>
        <w:ind w:firstLine="720"/>
        <w:contextualSpacing/>
        <w:jc w:val="center"/>
        <w:rPr>
          <w:rFonts w:ascii="Arial" w:hAnsi="Arial" w:cs="Arial"/>
          <w:shd w:val="clear" w:color="auto" w:fill="FFFFFF"/>
        </w:rPr>
      </w:pPr>
      <w:r w:rsidRPr="00741BD6">
        <w:rPr>
          <w:rFonts w:ascii="Arial" w:hAnsi="Arial" w:cs="Arial"/>
          <w:shd w:val="clear" w:color="auto" w:fill="FFFFFF"/>
        </w:rPr>
        <w:t>--- оОо ---</w:t>
      </w: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1"/>
    <w:rsid w:val="000C0BDC"/>
    <w:rsid w:val="004E4DEB"/>
    <w:rsid w:val="00626CEB"/>
    <w:rsid w:val="00B33651"/>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143C79-5F35-754A-B7A7-2823D624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51"/>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336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3651"/>
    <w:rPr>
      <w:rFonts w:asciiTheme="majorHAnsi" w:eastAsiaTheme="majorEastAsia" w:hAnsiTheme="majorHAnsi" w:cstheme="majorBidi"/>
      <w:spacing w:val="-10"/>
      <w:kern w:val="28"/>
      <w:sz w:val="56"/>
      <w:szCs w:val="5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2025-06-23T04:45:00Z</dcterms:created>
  <dcterms:modified xsi:type="dcterms:W3CDTF">2025-06-23T04:46:00Z</dcterms:modified>
</cp:coreProperties>
</file>