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F9F" w:rsidRDefault="00000000">
      <w:pPr>
        <w:jc w:val="center"/>
        <w:rPr>
          <w:rFonts w:ascii="Arial" w:eastAsia="Arial" w:hAnsi="Arial" w:cs="Arial"/>
        </w:rPr>
      </w:pPr>
      <w:r>
        <w:rPr>
          <w:rFonts w:ascii="Arial" w:eastAsia="Arial" w:hAnsi="Arial" w:cs="Arial"/>
        </w:rPr>
        <w:t>ХУУЛЬ САНААЧЛАГЧ</w:t>
      </w: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000000">
      <w:pPr>
        <w:jc w:val="center"/>
        <w:rPr>
          <w:rFonts w:ascii="Arial" w:eastAsia="Arial" w:hAnsi="Arial" w:cs="Arial"/>
          <w:b/>
        </w:rPr>
      </w:pPr>
      <w:r>
        <w:rPr>
          <w:rFonts w:ascii="Arial" w:eastAsia="Arial" w:hAnsi="Arial" w:cs="Arial"/>
          <w:b/>
        </w:rPr>
        <w:t>ЗАМЫН ХӨДӨЛГӨӨНИЙ АЮУЛГҮЙ БАЙДЛЫН ТУХАЙ ХУУЛЬД НЭМЭЛТ, ӨӨРЧЛӨЛТ ОРУУЛАХ ТУХАЙ ХУУЛИЙН ТӨСӨЛД ХИЙСЭН ЗАРДЛЫН ТООЦООНЫ ТАЙЛАН</w:t>
      </w: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b/>
        </w:rPr>
      </w:pPr>
    </w:p>
    <w:p w:rsidR="00946F9F" w:rsidRDefault="00946F9F">
      <w:pPr>
        <w:jc w:val="center"/>
        <w:rPr>
          <w:rFonts w:ascii="Arial" w:eastAsia="Arial" w:hAnsi="Arial" w:cs="Arial"/>
        </w:rPr>
      </w:pPr>
    </w:p>
    <w:p w:rsidR="00946F9F" w:rsidRDefault="00946F9F">
      <w:pPr>
        <w:jc w:val="center"/>
        <w:rPr>
          <w:rFonts w:ascii="Arial" w:eastAsia="Arial" w:hAnsi="Arial" w:cs="Arial"/>
        </w:rPr>
      </w:pPr>
    </w:p>
    <w:p w:rsidR="00946F9F" w:rsidRDefault="00000000">
      <w:pPr>
        <w:jc w:val="center"/>
        <w:rPr>
          <w:rFonts w:ascii="Arial" w:eastAsia="Arial" w:hAnsi="Arial" w:cs="Arial"/>
        </w:rPr>
      </w:pPr>
      <w:r>
        <w:rPr>
          <w:rFonts w:ascii="Arial" w:eastAsia="Arial" w:hAnsi="Arial" w:cs="Arial"/>
        </w:rPr>
        <w:t>2025.03.19</w:t>
      </w:r>
    </w:p>
    <w:p w:rsidR="00CD6F25" w:rsidRDefault="00CD6F25">
      <w:pPr>
        <w:jc w:val="center"/>
        <w:rPr>
          <w:rFonts w:ascii="Arial" w:eastAsia="Arial" w:hAnsi="Arial" w:cs="Arial"/>
          <w:b/>
        </w:rPr>
      </w:pPr>
    </w:p>
    <w:p w:rsidR="00946F9F" w:rsidRDefault="00000000">
      <w:pPr>
        <w:jc w:val="center"/>
        <w:rPr>
          <w:rFonts w:ascii="Arial" w:eastAsia="Arial" w:hAnsi="Arial" w:cs="Arial"/>
          <w:b/>
        </w:rPr>
      </w:pPr>
      <w:r>
        <w:rPr>
          <w:rFonts w:ascii="Arial" w:eastAsia="Arial" w:hAnsi="Arial" w:cs="Arial"/>
          <w:b/>
        </w:rPr>
        <w:t>ГАРЧИГ</w:t>
      </w:r>
    </w:p>
    <w:p w:rsidR="00946F9F" w:rsidRDefault="00000000">
      <w:pPr>
        <w:spacing w:after="0"/>
        <w:rPr>
          <w:rFonts w:ascii="Arial" w:eastAsia="Arial" w:hAnsi="Arial" w:cs="Arial"/>
          <w:b/>
        </w:rPr>
      </w:pPr>
      <w:r>
        <w:rPr>
          <w:rFonts w:ascii="Arial" w:eastAsia="Arial" w:hAnsi="Arial" w:cs="Arial"/>
          <w:b/>
        </w:rPr>
        <w:t>НЭГ. ХУУЛИЙН ЭТГЭЭДЭД ҮҮСЭХ ЗАРДЛЫН ТООЦОО</w:t>
      </w:r>
    </w:p>
    <w:p w:rsidR="00946F9F" w:rsidRDefault="00000000">
      <w:pPr>
        <w:numPr>
          <w:ilvl w:val="1"/>
          <w:numId w:val="8"/>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 Хуулийн этгээдэд үүрэг хүлээлгэсэн заалтуудыг тодорхойлох</w:t>
      </w:r>
    </w:p>
    <w:p w:rsidR="00946F9F" w:rsidRDefault="00000000">
      <w:pPr>
        <w:numPr>
          <w:ilvl w:val="1"/>
          <w:numId w:val="8"/>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 Зардлын тооцоо</w:t>
      </w:r>
    </w:p>
    <w:p w:rsidR="00946F9F" w:rsidRDefault="00000000">
      <w:pPr>
        <w:numPr>
          <w:ilvl w:val="1"/>
          <w:numId w:val="8"/>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Хувилбарыг нягталж хялбарчлах боломжийг шалгах</w:t>
      </w:r>
    </w:p>
    <w:p w:rsidR="00946F9F" w:rsidRDefault="00000000">
      <w:pPr>
        <w:spacing w:after="0"/>
        <w:rPr>
          <w:rFonts w:ascii="Arial" w:eastAsia="Arial" w:hAnsi="Arial" w:cs="Arial"/>
          <w:b/>
        </w:rPr>
      </w:pPr>
      <w:r>
        <w:rPr>
          <w:rFonts w:ascii="Arial" w:eastAsia="Arial" w:hAnsi="Arial" w:cs="Arial"/>
          <w:b/>
        </w:rPr>
        <w:t>ХОЁР. ИРГЭНД ҮҮСЭХ ЗАРДЛЫН ТООЦОО</w:t>
      </w:r>
    </w:p>
    <w:p w:rsidR="00946F9F" w:rsidRDefault="00000000">
      <w:pPr>
        <w:numPr>
          <w:ilvl w:val="0"/>
          <w:numId w:val="9"/>
        </w:numPr>
        <w:pBdr>
          <w:top w:val="nil"/>
          <w:left w:val="nil"/>
          <w:bottom w:val="nil"/>
          <w:right w:val="nil"/>
          <w:between w:val="nil"/>
        </w:pBdr>
        <w:spacing w:after="0"/>
        <w:rPr>
          <w:rFonts w:ascii="Arial" w:eastAsia="Arial" w:hAnsi="Arial" w:cs="Arial"/>
          <w:color w:val="000000"/>
        </w:rPr>
      </w:pPr>
      <w:r>
        <w:rPr>
          <w:rFonts w:ascii="Arial" w:eastAsia="Arial" w:hAnsi="Arial" w:cs="Arial"/>
          <w:b/>
          <w:color w:val="000000"/>
        </w:rPr>
        <w:t xml:space="preserve"> </w:t>
      </w:r>
      <w:r>
        <w:rPr>
          <w:rFonts w:ascii="Arial" w:eastAsia="Arial" w:hAnsi="Arial" w:cs="Arial"/>
          <w:color w:val="000000"/>
        </w:rPr>
        <w:t>Иргэнд үүрэг хүлээлгэсэн заалтууд</w:t>
      </w:r>
    </w:p>
    <w:p w:rsidR="00946F9F" w:rsidRDefault="00000000">
      <w:pPr>
        <w:numPr>
          <w:ilvl w:val="0"/>
          <w:numId w:val="9"/>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 Зардлын тооцоо</w:t>
      </w:r>
    </w:p>
    <w:p w:rsidR="00946F9F" w:rsidRDefault="00000000">
      <w:pPr>
        <w:numPr>
          <w:ilvl w:val="0"/>
          <w:numId w:val="9"/>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Хувилбарыг нягталж хялбарчлах боломжийг шалгах</w:t>
      </w:r>
    </w:p>
    <w:p w:rsidR="00946F9F" w:rsidRDefault="00000000">
      <w:pPr>
        <w:spacing w:after="0"/>
        <w:rPr>
          <w:rFonts w:ascii="Arial" w:eastAsia="Arial" w:hAnsi="Arial" w:cs="Arial"/>
          <w:b/>
        </w:rPr>
      </w:pPr>
      <w:r>
        <w:rPr>
          <w:rFonts w:ascii="Arial" w:eastAsia="Arial" w:hAnsi="Arial" w:cs="Arial"/>
          <w:b/>
        </w:rPr>
        <w:t>ГУРАВ. ТӨРИЙН БАЙГУУЛЛАГЫН ЗАРДЛЫН ТООЦОО</w:t>
      </w:r>
    </w:p>
    <w:p w:rsidR="00946F9F" w:rsidRDefault="00000000">
      <w:pPr>
        <w:numPr>
          <w:ilvl w:val="0"/>
          <w:numId w:val="1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 Төрийн байгууллагад хүлээлгэсэн үүрэг буву ажил, үйлчилгээг тодорхойлох</w:t>
      </w:r>
    </w:p>
    <w:p w:rsidR="00946F9F" w:rsidRDefault="00000000">
      <w:pPr>
        <w:numPr>
          <w:ilvl w:val="0"/>
          <w:numId w:val="1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 Зардлын тооцоо</w:t>
      </w:r>
    </w:p>
    <w:p w:rsidR="00946F9F" w:rsidRDefault="00000000">
      <w:pPr>
        <w:numPr>
          <w:ilvl w:val="0"/>
          <w:numId w:val="10"/>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Хувилбарыг нягталж хялбарчлах боломжийг шалгах</w:t>
      </w:r>
    </w:p>
    <w:p w:rsidR="00946F9F" w:rsidRDefault="00000000">
      <w:pPr>
        <w:rPr>
          <w:rFonts w:ascii="Arial" w:eastAsia="Arial" w:hAnsi="Arial" w:cs="Arial"/>
          <w:b/>
        </w:rPr>
      </w:pPr>
      <w:r>
        <w:rPr>
          <w:rFonts w:ascii="Arial" w:eastAsia="Arial" w:hAnsi="Arial" w:cs="Arial"/>
          <w:b/>
        </w:rPr>
        <w:t>ДӨРӨВ. НЭГДСЭН ДҮГНЭЛТ</w:t>
      </w: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rPr>
          <w:rFonts w:ascii="Arial" w:eastAsia="Arial" w:hAnsi="Arial" w:cs="Arial"/>
          <w:b/>
        </w:rPr>
      </w:pPr>
    </w:p>
    <w:p w:rsidR="00946F9F" w:rsidRDefault="00946F9F">
      <w:pPr>
        <w:jc w:val="center"/>
        <w:rPr>
          <w:rFonts w:ascii="Arial" w:eastAsia="Arial" w:hAnsi="Arial" w:cs="Arial"/>
          <w:b/>
        </w:rPr>
      </w:pPr>
    </w:p>
    <w:p w:rsidR="00946F9F" w:rsidRDefault="00000000">
      <w:pPr>
        <w:jc w:val="center"/>
        <w:rPr>
          <w:rFonts w:ascii="Arial" w:eastAsia="Arial" w:hAnsi="Arial" w:cs="Arial"/>
          <w:b/>
        </w:rPr>
      </w:pPr>
      <w:r>
        <w:rPr>
          <w:rFonts w:ascii="Arial" w:eastAsia="Arial" w:hAnsi="Arial" w:cs="Arial"/>
          <w:b/>
        </w:rPr>
        <w:lastRenderedPageBreak/>
        <w:t>ЕРӨНХИЙ МЭДЭЭЛЭЛ</w:t>
      </w:r>
    </w:p>
    <w:p w:rsidR="00946F9F" w:rsidRDefault="00000000">
      <w:pPr>
        <w:ind w:firstLine="720"/>
        <w:jc w:val="both"/>
        <w:rPr>
          <w:rFonts w:ascii="Arial" w:eastAsia="Arial" w:hAnsi="Arial" w:cs="Arial"/>
        </w:rPr>
      </w:pPr>
      <w:r>
        <w:rPr>
          <w:rFonts w:ascii="Arial" w:eastAsia="Arial" w:hAnsi="Arial" w:cs="Arial"/>
        </w:rPr>
        <w:t xml:space="preserve">Хууль тогтоомжийн тухай хуулийн 18 дугаар зүйлийн 18.1 дахь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Замын хөдөлгөөний аюулгүй байдлын тухай  хуульд нэмэлт, өөрчлөлт оруулах тухай хуулийн төсөл батлагдсанаар уг хуулийн үйлчлэх хүрээнд хамрагдах иргэн, хуулийн этгээд, төрийн байгууллагад шинээр үүсэх болон нэмэгдэх үүргийн улмаас бий болох зардлын тооцоог Засгийн газрын 2016 оны 59 дүгээр тогтоолоор 4 дүгээр хавсралтаар батлагдсан “Хууль тогтоомжийг хэрэгжүүлэхтэй холбогдон гарах зардлын тооцоо хийх аргачлал”-ын дагуу хийж гүйцэтгэлээ. </w:t>
      </w:r>
    </w:p>
    <w:p w:rsidR="00946F9F" w:rsidRDefault="00000000">
      <w:pPr>
        <w:ind w:firstLine="720"/>
        <w:jc w:val="both"/>
        <w:rPr>
          <w:rFonts w:ascii="Arial" w:eastAsia="Arial" w:hAnsi="Arial" w:cs="Arial"/>
        </w:rPr>
      </w:pPr>
      <w:r>
        <w:rPr>
          <w:rFonts w:ascii="Arial" w:eastAsia="Arial" w:hAnsi="Arial" w:cs="Arial"/>
        </w:rPr>
        <w:t xml:space="preserve">Замын хөдөлгөөний аюулгүй байдлын тухай хуульд нэмэлт, өөрчлөлт оруулах хуулийн 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 чиглэгдэж байгаа болно. </w:t>
      </w:r>
    </w:p>
    <w:p w:rsidR="00946F9F" w:rsidRDefault="00000000">
      <w:pPr>
        <w:ind w:firstLine="720"/>
        <w:jc w:val="both"/>
        <w:rPr>
          <w:rFonts w:ascii="Arial" w:eastAsia="Arial" w:hAnsi="Arial" w:cs="Arial"/>
        </w:rPr>
      </w:pPr>
      <w:r>
        <w:rPr>
          <w:rFonts w:ascii="Arial" w:eastAsia="Arial" w:hAnsi="Arial" w:cs="Arial"/>
        </w:rPr>
        <w:t>Замын хөдөлгөөний аюулгүй байдлын тухай хуульд нэмэлт, өөрчлөлт оруулах хуулийн төслийн зардлыг тооцохдоо хуулийн төслийн тандан судалгааны тайланд тусгасан судалгаа, тоо баримт, статистикийг ашигласан болно.</w:t>
      </w:r>
    </w:p>
    <w:p w:rsidR="00946F9F" w:rsidRDefault="00000000">
      <w:pPr>
        <w:jc w:val="center"/>
        <w:rPr>
          <w:rFonts w:ascii="Arial" w:eastAsia="Arial" w:hAnsi="Arial" w:cs="Arial"/>
          <w:b/>
        </w:rPr>
      </w:pPr>
      <w:r>
        <w:rPr>
          <w:rFonts w:ascii="Arial" w:eastAsia="Arial" w:hAnsi="Arial" w:cs="Arial"/>
          <w:b/>
        </w:rPr>
        <w:t>НЭГ. ХУУЛИЙН ЭТГЭЭДЭД ҮҮСЭХ ЗАРДЛЫН ТООЦОО</w:t>
      </w:r>
    </w:p>
    <w:p w:rsidR="00946F9F" w:rsidRDefault="00000000">
      <w:pPr>
        <w:ind w:firstLine="720"/>
        <w:jc w:val="both"/>
        <w:rPr>
          <w:rFonts w:ascii="Arial" w:eastAsia="Arial" w:hAnsi="Arial" w:cs="Arial"/>
        </w:rPr>
      </w:pPr>
      <w:r>
        <w:rPr>
          <w:rFonts w:ascii="Arial" w:eastAsia="Arial" w:hAnsi="Arial" w:cs="Arial"/>
        </w:rPr>
        <w:t>Замын хөдөлгөөний аюулгүй байдлын тухай хуульд нэмэлт, өөрчлөлт оруулах хуулийн төсөл батлагдсанаар хуулийн этгээдийн эрхлэх үйл ажиллагаатай холбоотой гүйцэтгэх үүргийн улмаас үүсэх зардлыг мөнгөн дүнгээр тооцоолон гаргана. 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2.1-д заасны дагуу дараах үе шаттайгаар тооцоолно. Үүнд:</w:t>
      </w:r>
    </w:p>
    <w:p w:rsidR="00946F9F" w:rsidRDefault="00000000">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Хуулийн этгээдийн гүйцэтгэх үүргийг тодорхойлох;</w:t>
      </w:r>
    </w:p>
    <w:p w:rsidR="00946F9F" w:rsidRDefault="00000000">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Зардлыг тооцох;</w:t>
      </w:r>
    </w:p>
    <w:p w:rsidR="00946F9F" w:rsidRDefault="00000000">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Тоон үзүүлэлтийг тооцох;</w:t>
      </w:r>
    </w:p>
    <w:p w:rsidR="00946F9F" w:rsidRDefault="00000000">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Нийт зардлын дүнг тооцож гаргах;</w:t>
      </w:r>
    </w:p>
    <w:p w:rsidR="00946F9F" w:rsidRDefault="00000000">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Хялбарчлах боломжийг ашиглах;</w:t>
      </w:r>
    </w:p>
    <w:p w:rsidR="00946F9F" w:rsidRDefault="00000000">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Нэмэлт зардлыг тооцох.</w:t>
      </w:r>
    </w:p>
    <w:p w:rsidR="00946F9F" w:rsidRDefault="00946F9F">
      <w:pPr>
        <w:pBdr>
          <w:top w:val="nil"/>
          <w:left w:val="nil"/>
          <w:bottom w:val="nil"/>
          <w:right w:val="nil"/>
          <w:between w:val="nil"/>
        </w:pBdr>
        <w:spacing w:after="0"/>
        <w:ind w:left="720"/>
        <w:rPr>
          <w:rFonts w:ascii="Arial" w:eastAsia="Arial" w:hAnsi="Arial" w:cs="Arial"/>
          <w:color w:val="000000"/>
        </w:rPr>
      </w:pPr>
    </w:p>
    <w:p w:rsidR="00946F9F" w:rsidRDefault="00000000">
      <w:pPr>
        <w:numPr>
          <w:ilvl w:val="1"/>
          <w:numId w:val="11"/>
        </w:numPr>
        <w:pBdr>
          <w:top w:val="nil"/>
          <w:left w:val="nil"/>
          <w:bottom w:val="nil"/>
          <w:right w:val="nil"/>
          <w:between w:val="nil"/>
        </w:pBdr>
        <w:ind w:hanging="360"/>
        <w:rPr>
          <w:rFonts w:ascii="Arial" w:eastAsia="Arial" w:hAnsi="Arial" w:cs="Arial"/>
          <w:b/>
          <w:color w:val="000000"/>
        </w:rPr>
      </w:pPr>
      <w:r>
        <w:rPr>
          <w:rFonts w:ascii="Arial" w:eastAsia="Arial" w:hAnsi="Arial" w:cs="Arial"/>
          <w:b/>
          <w:color w:val="000000"/>
        </w:rPr>
        <w:t xml:space="preserve"> Хуулийн этгээдэд үүрэг хүлээлгэсэн заалтуудыг тодорхойлох</w:t>
      </w:r>
    </w:p>
    <w:p w:rsidR="00946F9F" w:rsidRDefault="00000000">
      <w:pPr>
        <w:ind w:firstLine="644"/>
        <w:jc w:val="both"/>
        <w:rPr>
          <w:rFonts w:ascii="Arial" w:eastAsia="Arial" w:hAnsi="Arial" w:cs="Arial"/>
        </w:rPr>
      </w:pPr>
      <w:r>
        <w:rPr>
          <w:rFonts w:ascii="Arial" w:eastAsia="Arial" w:hAnsi="Arial" w:cs="Arial"/>
        </w:rPr>
        <w:t>Хуулийн этгээдийн гүйцэтгэх үүргийг тогтоохдоо хууль тогтоомжийн үйлчлэлд хамаарах хуулийн этгээдийн гүйцэтгэх үүрэг тогтооно. Гүйцэтгэх үүрэг гэж тухайн хууль тогтоомжийн үйлчлэлд хамаарах хуулийн этгээд хуульд заасны дагуу тоо баримт, тайлан, холбогдох бусад мэдээллийг бэлтгэн төрийн байгууллага буюу гуравдагч этгээдэд гаргаж өгөх, эсхүл хүргүүлэхийг хэлнэ.</w:t>
      </w:r>
    </w:p>
    <w:p w:rsidR="00946F9F" w:rsidRDefault="00000000">
      <w:pPr>
        <w:ind w:firstLine="644"/>
        <w:jc w:val="both"/>
        <w:rPr>
          <w:rFonts w:ascii="Arial" w:eastAsia="Arial" w:hAnsi="Arial" w:cs="Arial"/>
        </w:rPr>
      </w:pPr>
      <w:r>
        <w:rPr>
          <w:rFonts w:ascii="Arial" w:eastAsia="Arial" w:hAnsi="Arial" w:cs="Arial"/>
        </w:rPr>
        <w:lastRenderedPageBreak/>
        <w:t>Замын хөдөлгөөний аюулгүй байдлын тухай хуульд нэмэлт, өөрчлөлт оруулах хуулийн төсөлд хуулийн этгээдэд үүрэг болгосон тусгайлсан бүлэг байхгүй боловч дараах зүйл, хэсэг, заалт бүхий хуулийн этгээдэд үүрэг болгосон зохицуулалт байна гэж үзэж сонгон авч тооцоо хийлээ. Үүнд:</w:t>
      </w:r>
    </w:p>
    <w:p w:rsidR="00946F9F" w:rsidRDefault="00000000">
      <w:pPr>
        <w:numPr>
          <w:ilvl w:val="0"/>
          <w:numId w:val="7"/>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Зөвшөөрлийн тухай хуулийн 8.2 дугаар зүйлийн 4.6-д заасны дагуу хуулийн этгээд нийтийн хэрэглээний цахилгаан дугуй, цахилгаан скүүтерийн үйлчилгээ эрхэлж болно;</w:t>
      </w:r>
    </w:p>
    <w:p w:rsidR="00946F9F" w:rsidRDefault="00000000">
      <w:pPr>
        <w:numPr>
          <w:ilvl w:val="0"/>
          <w:numId w:val="7"/>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Өөрийн эзэмшлийн цахилгаан дугуй, цахилгаан скүүтерийг улсын  бүртгэлд бүртгүүлэх;</w:t>
      </w:r>
    </w:p>
    <w:p w:rsidR="00946F9F" w:rsidRDefault="00000000">
      <w:pPr>
        <w:numPr>
          <w:ilvl w:val="0"/>
          <w:numId w:val="7"/>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Өөрийн эзэмшлийн цахилгаан дугуй, цахилгаан скүүтерийг тогтоосон хугацаанд техникийн хяналтын үзлэгт хамруулах.</w:t>
      </w:r>
    </w:p>
    <w:p w:rsidR="00946F9F" w:rsidRDefault="00000000">
      <w:pPr>
        <w:ind w:firstLine="644"/>
        <w:jc w:val="both"/>
        <w:rPr>
          <w:rFonts w:ascii="Arial" w:eastAsia="Arial" w:hAnsi="Arial" w:cs="Arial"/>
        </w:rPr>
      </w:pPr>
      <w:r>
        <w:rPr>
          <w:rFonts w:ascii="Arial" w:eastAsia="Arial" w:hAnsi="Arial" w:cs="Arial"/>
        </w:rPr>
        <w:t>Энэхүү зардлын тооцоо нь хуулийн этгээдийн зүгээс төрөөс зохих зөвшөөрөл авахтай холбоотой гарах зардлыг тооцоолохоос, тухайн бизнесийн үйл ажиллагааг эрхлэн явуулахад шаардлагатай хөрөнгө оруулалтын зардлыг тооцохгүй болно.</w:t>
      </w:r>
    </w:p>
    <w:p w:rsidR="00946F9F" w:rsidRDefault="00000000">
      <w:pPr>
        <w:numPr>
          <w:ilvl w:val="1"/>
          <w:numId w:val="11"/>
        </w:numPr>
        <w:pBdr>
          <w:top w:val="nil"/>
          <w:left w:val="nil"/>
          <w:bottom w:val="nil"/>
          <w:right w:val="nil"/>
          <w:between w:val="nil"/>
        </w:pBdr>
        <w:ind w:hanging="360"/>
        <w:rPr>
          <w:rFonts w:ascii="Arial" w:eastAsia="Arial" w:hAnsi="Arial" w:cs="Arial"/>
          <w:b/>
          <w:color w:val="000000"/>
        </w:rPr>
      </w:pPr>
      <w:r>
        <w:rPr>
          <w:rFonts w:ascii="Arial" w:eastAsia="Arial" w:hAnsi="Arial" w:cs="Arial"/>
          <w:b/>
          <w:color w:val="000000"/>
        </w:rPr>
        <w:t xml:space="preserve"> Зардлын тооцоо</w:t>
      </w:r>
    </w:p>
    <w:p w:rsidR="00946F9F" w:rsidRDefault="00000000">
      <w:pPr>
        <w:jc w:val="center"/>
        <w:rPr>
          <w:rFonts w:ascii="Arial" w:eastAsia="Arial" w:hAnsi="Arial" w:cs="Arial"/>
          <w:b/>
        </w:rPr>
      </w:pPr>
      <w:r>
        <w:rPr>
          <w:rFonts w:ascii="Arial" w:eastAsia="Arial" w:hAnsi="Arial" w:cs="Arial"/>
          <w:b/>
        </w:rPr>
        <w:t>Зардлыг тооцох:</w:t>
      </w:r>
    </w:p>
    <w:p w:rsidR="00946F9F" w:rsidRDefault="00000000">
      <w:pPr>
        <w:jc w:val="both"/>
        <w:rPr>
          <w:rFonts w:ascii="Arial" w:eastAsia="Arial" w:hAnsi="Arial" w:cs="Arial"/>
        </w:rPr>
      </w:pPr>
      <w:r>
        <w:rPr>
          <w:rFonts w:ascii="Arial" w:eastAsia="Arial" w:hAnsi="Arial" w:cs="Arial"/>
        </w:rPr>
        <w:tab/>
        <w:t xml:space="preserve">Энэхүү үүргийн дагуу хүргүүлж байгаа мэдээлэл нь нэг буюу хэд хэдэн мэдээллийн агуулгаас бүрдэнэ. Мэдээллийн агуулга гэж тухайн хуулийн этгээдээс төрийн байгууллага буюу гуравдагч этгээдэд гаргаж өгөх бүх тоон мэдээлэл, бичиг баримтын бүрдлийг ойлгох бөгөөд агуулга бүр нь үүрэгтэйгээ нийцэж байх ёстой. Үүрэг нь тухайн хууль тогтоомжийн үйлчлэлд хамаарах хуулийн этгээд хуульд заасны дагуу тоо баримт, тайлан, холбогдох бусад мэдээллийг бэлтгэн төрийн байгууллага буюу гуравдагч этгээдэд гаргаж өгөх, эсхүл хүргүүлэхийг хэлнэ. </w:t>
      </w:r>
    </w:p>
    <w:p w:rsidR="00946F9F" w:rsidRDefault="00000000">
      <w:pPr>
        <w:ind w:firstLine="720"/>
        <w:jc w:val="both"/>
        <w:rPr>
          <w:rFonts w:ascii="Arial" w:eastAsia="Arial" w:hAnsi="Arial" w:cs="Arial"/>
        </w:rPr>
      </w:pPr>
      <w:r>
        <w:rPr>
          <w:rFonts w:ascii="Arial" w:eastAsia="Arial" w:hAnsi="Arial" w:cs="Arial"/>
        </w:rPr>
        <w:t>Зөвшөөрлийн тухай хуулийн 8.2 дугаар зүйлийн 4.6-д заасны дагуу хуулийн этгээд нийтийн хэрэглээний цахилгаан дугуй, цахилгаан скүүтерийн үйлчилгээ эрхлэх зөвшөөрлийг авах Зардлыг тооцон гаргахдаа тухайн үүргийг хэрэгжүүлэхэд шаардлагатай үйл ажиллагаа нэг бүрийг ямар хугацаанд хийж гүйцэтгэхийг дунджаар гаргасан стандарт хугацаагаар тооцлоо. </w:t>
      </w:r>
    </w:p>
    <w:tbl>
      <w:tblPr>
        <w:tblStyle w:val="a"/>
        <w:tblW w:w="922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18"/>
        <w:gridCol w:w="5869"/>
        <w:gridCol w:w="2941"/>
      </w:tblGrid>
      <w:tr w:rsidR="00946F9F" w:rsidTr="00CD6F25">
        <w:trPr>
          <w:trHeight w:val="618"/>
        </w:trPr>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Ерөнхий үйл ажиллагаа</w:t>
            </w:r>
          </w:p>
        </w:tc>
        <w:tc>
          <w:tcPr>
            <w:tcW w:w="2941" w:type="dxa"/>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Гүйцэтгэх хугацаа (минут)</w:t>
            </w:r>
          </w:p>
        </w:tc>
      </w:tr>
      <w:tr w:rsidR="00946F9F">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1</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rPr>
                <w:rFonts w:ascii="Arial" w:eastAsia="Arial" w:hAnsi="Arial" w:cs="Arial"/>
                <w:b/>
              </w:rPr>
            </w:pPr>
            <w:r>
              <w:rPr>
                <w:rFonts w:ascii="Arial" w:eastAsia="Arial" w:hAnsi="Arial" w:cs="Arial"/>
                <w:b/>
              </w:rPr>
              <w:t>Үүрэгтэй танилцах, судлах</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15</w:t>
            </w:r>
          </w:p>
        </w:tc>
      </w:tr>
      <w:tr w:rsidR="00946F9F">
        <w:trPr>
          <w:trHeight w:val="330"/>
        </w:trPr>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2</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rPr>
                <w:rFonts w:ascii="Arial" w:eastAsia="Arial" w:hAnsi="Arial" w:cs="Arial"/>
                <w:b/>
              </w:rPr>
            </w:pPr>
            <w:r>
              <w:rPr>
                <w:rFonts w:ascii="Arial" w:eastAsia="Arial" w:hAnsi="Arial" w:cs="Arial"/>
                <w:b/>
              </w:rPr>
              <w:t>Мэдээлэл цуглуулах</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15</w:t>
            </w:r>
          </w:p>
        </w:tc>
      </w:tr>
      <w:tr w:rsidR="00946F9F">
        <w:trPr>
          <w:trHeight w:val="345"/>
        </w:trPr>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3</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rPr>
                <w:rFonts w:ascii="Arial" w:eastAsia="Arial" w:hAnsi="Arial" w:cs="Arial"/>
                <w:b/>
              </w:rPr>
            </w:pPr>
            <w:r>
              <w:rPr>
                <w:rFonts w:ascii="Arial" w:eastAsia="Arial" w:hAnsi="Arial" w:cs="Arial"/>
                <w:b/>
              </w:rPr>
              <w:t>Маягт бөглөх, гарчиглах, тэмдэглэх</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7</w:t>
            </w:r>
          </w:p>
        </w:tc>
      </w:tr>
      <w:tr w:rsidR="00946F9F">
        <w:trPr>
          <w:trHeight w:val="435"/>
        </w:trPr>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4</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rPr>
                <w:rFonts w:ascii="Arial" w:eastAsia="Arial" w:hAnsi="Arial" w:cs="Arial"/>
                <w:b/>
              </w:rPr>
            </w:pPr>
            <w:r>
              <w:rPr>
                <w:rFonts w:ascii="Arial" w:eastAsia="Arial" w:hAnsi="Arial" w:cs="Arial"/>
                <w:b/>
              </w:rPr>
              <w:t>Тооцоо хийх</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20</w:t>
            </w:r>
          </w:p>
        </w:tc>
      </w:tr>
      <w:tr w:rsidR="00946F9F">
        <w:trPr>
          <w:trHeight w:val="345"/>
        </w:trPr>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5</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rPr>
                <w:rFonts w:ascii="Arial" w:eastAsia="Arial" w:hAnsi="Arial" w:cs="Arial"/>
                <w:b/>
              </w:rPr>
            </w:pPr>
            <w:r>
              <w:rPr>
                <w:rFonts w:ascii="Arial" w:eastAsia="Arial" w:hAnsi="Arial" w:cs="Arial"/>
                <w:b/>
              </w:rPr>
              <w:t>Мэдээлэл, өгөгдөхүүнийг нягтлах</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5</w:t>
            </w:r>
          </w:p>
        </w:tc>
      </w:tr>
      <w:tr w:rsidR="00946F9F" w:rsidRPr="00CD6F25">
        <w:trPr>
          <w:trHeight w:val="345"/>
        </w:trPr>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6</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rPr>
                <w:rFonts w:ascii="Arial" w:eastAsia="Arial" w:hAnsi="Arial" w:cs="Arial"/>
                <w:b/>
              </w:rPr>
            </w:pPr>
            <w:r>
              <w:rPr>
                <w:rFonts w:ascii="Arial" w:eastAsia="Arial" w:hAnsi="Arial" w:cs="Arial"/>
                <w:b/>
              </w:rPr>
              <w:t>Алдааг засах</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rsidP="00CD6F25">
            <w:pPr>
              <w:spacing w:after="0"/>
              <w:jc w:val="center"/>
              <w:rPr>
                <w:rFonts w:ascii="Arial" w:eastAsia="Arial" w:hAnsi="Arial" w:cs="Arial"/>
                <w:b/>
              </w:rPr>
            </w:pPr>
            <w:r>
              <w:rPr>
                <w:rFonts w:ascii="Arial" w:eastAsia="Arial" w:hAnsi="Arial" w:cs="Arial"/>
                <w:b/>
              </w:rPr>
              <w:t>10</w:t>
            </w:r>
          </w:p>
        </w:tc>
      </w:tr>
      <w:tr w:rsidR="00946F9F">
        <w:trPr>
          <w:trHeight w:val="435"/>
        </w:trPr>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lastRenderedPageBreak/>
              <w:t>7</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rPr>
                <w:rFonts w:ascii="Arial" w:eastAsia="Arial" w:hAnsi="Arial" w:cs="Arial"/>
                <w:b/>
              </w:rPr>
            </w:pPr>
            <w:r>
              <w:rPr>
                <w:rFonts w:ascii="Arial" w:eastAsia="Arial" w:hAnsi="Arial" w:cs="Arial"/>
                <w:b/>
              </w:rPr>
              <w:t>Тоо баримтыг боловсруулах</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15</w:t>
            </w:r>
          </w:p>
        </w:tc>
      </w:tr>
      <w:tr w:rsidR="00946F9F">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8</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rPr>
                <w:rFonts w:ascii="Arial" w:eastAsia="Arial" w:hAnsi="Arial" w:cs="Arial"/>
                <w:b/>
              </w:rPr>
            </w:pPr>
            <w:r>
              <w:rPr>
                <w:rFonts w:ascii="Arial" w:eastAsia="Arial" w:hAnsi="Arial" w:cs="Arial"/>
                <w:b/>
              </w:rPr>
              <w:t>Мэдээлэл шилжүүлэх болон нийтлүүлэх</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2</w:t>
            </w:r>
          </w:p>
        </w:tc>
      </w:tr>
      <w:tr w:rsidR="00946F9F">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9</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rPr>
                <w:rFonts w:ascii="Arial" w:eastAsia="Arial" w:hAnsi="Arial" w:cs="Arial"/>
                <w:b/>
              </w:rPr>
            </w:pPr>
            <w:r>
              <w:rPr>
                <w:rFonts w:ascii="Arial" w:eastAsia="Arial" w:hAnsi="Arial" w:cs="Arial"/>
                <w:b/>
              </w:rPr>
              <w:t>Дотоод хуралдаан (зөвлөлгөөн)</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30</w:t>
            </w:r>
          </w:p>
        </w:tc>
      </w:tr>
      <w:tr w:rsidR="00946F9F">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10</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rPr>
                <w:rFonts w:ascii="Arial" w:eastAsia="Arial" w:hAnsi="Arial" w:cs="Arial"/>
                <w:b/>
              </w:rPr>
            </w:pPr>
            <w:r>
              <w:rPr>
                <w:rFonts w:ascii="Arial" w:eastAsia="Arial" w:hAnsi="Arial" w:cs="Arial"/>
                <w:b/>
              </w:rPr>
              <w:t>Бусадтай хамтран хийх хуралдаан (зөвлөлгөөн)</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60</w:t>
            </w:r>
          </w:p>
        </w:tc>
      </w:tr>
      <w:tr w:rsidR="00946F9F">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11</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rPr>
                <w:rFonts w:ascii="Arial" w:eastAsia="Arial" w:hAnsi="Arial" w:cs="Arial"/>
                <w:b/>
              </w:rPr>
            </w:pPr>
            <w:r>
              <w:rPr>
                <w:rFonts w:ascii="Arial" w:eastAsia="Arial" w:hAnsi="Arial" w:cs="Arial"/>
                <w:b/>
              </w:rPr>
              <w:t>Мөнгө шилжүүлэх үүрэг хэрэгжүүлэх</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8</w:t>
            </w:r>
          </w:p>
        </w:tc>
      </w:tr>
      <w:tr w:rsidR="00946F9F">
        <w:trPr>
          <w:trHeight w:val="435"/>
        </w:trPr>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12</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rPr>
                <w:rFonts w:ascii="Arial" w:eastAsia="Arial" w:hAnsi="Arial" w:cs="Arial"/>
                <w:b/>
              </w:rPr>
            </w:pPr>
            <w:r>
              <w:rPr>
                <w:rFonts w:ascii="Arial" w:eastAsia="Arial" w:hAnsi="Arial" w:cs="Arial"/>
                <w:b/>
              </w:rPr>
              <w:t>Олшруулах, архивлах, тараах</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5</w:t>
            </w:r>
          </w:p>
        </w:tc>
      </w:tr>
      <w:tr w:rsidR="00946F9F">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13</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rPr>
                <w:rFonts w:ascii="Arial" w:eastAsia="Arial" w:hAnsi="Arial" w:cs="Arial"/>
                <w:b/>
              </w:rPr>
            </w:pPr>
            <w:r>
              <w:rPr>
                <w:rFonts w:ascii="Arial" w:eastAsia="Arial" w:hAnsi="Arial" w:cs="Arial"/>
                <w:b/>
              </w:rPr>
              <w:t>Төрийн захиргааны байгууллагаас шалгах</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30</w:t>
            </w:r>
          </w:p>
        </w:tc>
      </w:tr>
      <w:tr w:rsidR="00946F9F">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14</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rPr>
                <w:rFonts w:ascii="Arial" w:eastAsia="Arial" w:hAnsi="Arial" w:cs="Arial"/>
                <w:b/>
              </w:rPr>
            </w:pPr>
            <w:r>
              <w:rPr>
                <w:rFonts w:ascii="Arial" w:eastAsia="Arial" w:hAnsi="Arial" w:cs="Arial"/>
                <w:b/>
              </w:rPr>
              <w:t>Төрийн захиргааны байгууллагын шалгалтын дүнгээс үүдэлтэй засвар, өөрчлөлт</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90</w:t>
            </w:r>
          </w:p>
        </w:tc>
      </w:tr>
      <w:tr w:rsidR="00946F9F">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15</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rPr>
                <w:rFonts w:ascii="Arial" w:eastAsia="Arial" w:hAnsi="Arial" w:cs="Arial"/>
                <w:b/>
              </w:rPr>
            </w:pPr>
            <w:r>
              <w:rPr>
                <w:rFonts w:ascii="Arial" w:eastAsia="Arial" w:hAnsi="Arial" w:cs="Arial"/>
                <w:b/>
              </w:rPr>
              <w:t>Холбогдох байгууллагатай харилцахад хүндрэл үүссэнээс үүдэн мэдээлэл нэмж цуглуулах</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15</w:t>
            </w:r>
          </w:p>
        </w:tc>
      </w:tr>
      <w:tr w:rsidR="00946F9F">
        <w:tc>
          <w:tcPr>
            <w:tcW w:w="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16</w:t>
            </w:r>
          </w:p>
        </w:tc>
        <w:tc>
          <w:tcPr>
            <w:tcW w:w="586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rPr>
                <w:rFonts w:ascii="Arial" w:eastAsia="Arial" w:hAnsi="Arial" w:cs="Arial"/>
                <w:b/>
              </w:rPr>
            </w:pPr>
            <w:r>
              <w:rPr>
                <w:rFonts w:ascii="Arial" w:eastAsia="Arial" w:hAnsi="Arial" w:cs="Arial"/>
                <w:b/>
              </w:rPr>
              <w:t>Сургалт, давтан сургалтын арга хэмжээнүүд</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15</w:t>
            </w:r>
          </w:p>
        </w:tc>
      </w:tr>
      <w:tr w:rsidR="00946F9F">
        <w:trPr>
          <w:trHeight w:val="325"/>
        </w:trPr>
        <w:tc>
          <w:tcPr>
            <w:tcW w:w="6287"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Зарцуулах нийт хугацаа</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b/>
              </w:rPr>
            </w:pPr>
            <w:r>
              <w:rPr>
                <w:rFonts w:ascii="Arial" w:eastAsia="Arial" w:hAnsi="Arial" w:cs="Arial"/>
                <w:b/>
              </w:rPr>
              <w:t>342</w:t>
            </w:r>
          </w:p>
        </w:tc>
      </w:tr>
    </w:tbl>
    <w:p w:rsidR="00CD6F25" w:rsidRDefault="00CD6F25">
      <w:pPr>
        <w:jc w:val="both"/>
        <w:rPr>
          <w:rFonts w:ascii="Arial" w:eastAsia="Arial" w:hAnsi="Arial" w:cs="Arial"/>
        </w:rPr>
      </w:pPr>
    </w:p>
    <w:p w:rsidR="00946F9F" w:rsidRDefault="00000000">
      <w:pPr>
        <w:jc w:val="both"/>
        <w:rPr>
          <w:rFonts w:ascii="Arial" w:eastAsia="Arial" w:hAnsi="Arial" w:cs="Arial"/>
        </w:rPr>
      </w:pPr>
      <w:r>
        <w:rPr>
          <w:rFonts w:ascii="Arial" w:eastAsia="Arial" w:hAnsi="Arial" w:cs="Arial"/>
        </w:rPr>
        <w:t>Ажлын хөлс=Үндсэн цалин*Ажиллах хугацаа</w:t>
      </w:r>
    </w:p>
    <w:p w:rsidR="00946F9F" w:rsidRDefault="00000000">
      <w:pPr>
        <w:jc w:val="both"/>
        <w:rPr>
          <w:rFonts w:ascii="Arial" w:eastAsia="Arial" w:hAnsi="Arial" w:cs="Arial"/>
        </w:rPr>
      </w:pPr>
      <w:r>
        <w:rPr>
          <w:rFonts w:ascii="Arial" w:eastAsia="Arial" w:hAnsi="Arial" w:cs="Arial"/>
        </w:rPr>
        <w:t>2,689,800: 22 өдөр : 8 цаг=</w:t>
      </w:r>
      <w:r>
        <w:rPr>
          <w:rFonts w:ascii="Arial" w:eastAsia="Arial" w:hAnsi="Arial" w:cs="Arial"/>
          <w:b/>
        </w:rPr>
        <w:t>15.283</w:t>
      </w:r>
      <w:r>
        <w:rPr>
          <w:rFonts w:ascii="Arial" w:eastAsia="Arial" w:hAnsi="Arial" w:cs="Arial"/>
        </w:rPr>
        <w:t xml:space="preserve"> төгрөг /цагт ноогдох дундаж хөдөлмөрийн хөлс/</w:t>
      </w:r>
    </w:p>
    <w:p w:rsidR="00946F9F" w:rsidRDefault="00000000">
      <w:pPr>
        <w:jc w:val="both"/>
        <w:rPr>
          <w:rFonts w:ascii="Arial" w:eastAsia="Arial" w:hAnsi="Arial" w:cs="Arial"/>
        </w:rPr>
      </w:pPr>
      <w:r>
        <w:rPr>
          <w:rFonts w:ascii="Arial" w:eastAsia="Arial" w:hAnsi="Arial" w:cs="Arial"/>
        </w:rPr>
        <w:t>Зардал (ҮА тус бүрийн)=Хугацаа×Ажлын хөлс</w:t>
      </w:r>
    </w:p>
    <w:p w:rsidR="00946F9F" w:rsidRDefault="00000000">
      <w:pPr>
        <w:jc w:val="both"/>
        <w:rPr>
          <w:rFonts w:ascii="Arial" w:eastAsia="Arial" w:hAnsi="Arial" w:cs="Arial"/>
        </w:rPr>
      </w:pPr>
      <w:r>
        <w:rPr>
          <w:rFonts w:ascii="Arial" w:eastAsia="Arial" w:hAnsi="Arial" w:cs="Arial"/>
        </w:rPr>
        <w:t>125.4 цаг *15,283 төгрөг =1,916,482.5 төгрөг</w:t>
      </w:r>
    </w:p>
    <w:p w:rsidR="00946F9F" w:rsidRDefault="00000000">
      <w:pPr>
        <w:pBdr>
          <w:top w:val="nil"/>
          <w:left w:val="nil"/>
          <w:bottom w:val="nil"/>
          <w:right w:val="nil"/>
          <w:between w:val="nil"/>
        </w:pBdr>
        <w:spacing w:after="120" w:line="276" w:lineRule="auto"/>
        <w:ind w:firstLine="720"/>
        <w:jc w:val="both"/>
        <w:rPr>
          <w:rFonts w:ascii="Arial" w:eastAsia="Arial" w:hAnsi="Arial" w:cs="Arial"/>
          <w:color w:val="000000"/>
        </w:rPr>
      </w:pPr>
      <w:r>
        <w:rPr>
          <w:rFonts w:ascii="Arial" w:eastAsia="Arial" w:hAnsi="Arial" w:cs="Arial"/>
          <w:color w:val="000000"/>
        </w:rPr>
        <w:t xml:space="preserve">Цалин хөлстэй холбоотой статистикт Үндэсний статистикийн хорооны албан ёсны цахим хуудас болох </w:t>
      </w:r>
      <w:hyperlink r:id="rId8">
        <w:r w:rsidR="00946F9F">
          <w:rPr>
            <w:rFonts w:ascii="Arial" w:eastAsia="Arial" w:hAnsi="Arial" w:cs="Arial"/>
            <w:color w:val="0563C1"/>
            <w:u w:val="single"/>
          </w:rPr>
          <w:t>www.1212.mn</w:t>
        </w:r>
      </w:hyperlink>
      <w:r>
        <w:rPr>
          <w:rFonts w:ascii="Arial" w:eastAsia="Arial" w:hAnsi="Arial" w:cs="Arial"/>
          <w:color w:val="000000"/>
        </w:rPr>
        <w:t xml:space="preserve"> байршуулсан судалгааг эх сурвалж болголоо. </w:t>
      </w:r>
    </w:p>
    <w:p w:rsidR="00946F9F" w:rsidRDefault="00000000">
      <w:pPr>
        <w:spacing w:before="120" w:after="120" w:line="276" w:lineRule="auto"/>
        <w:ind w:firstLine="720"/>
        <w:jc w:val="both"/>
        <w:rPr>
          <w:rFonts w:ascii="Arial" w:eastAsia="Arial" w:hAnsi="Arial" w:cs="Arial"/>
        </w:rPr>
      </w:pPr>
      <w:r>
        <w:rPr>
          <w:rFonts w:ascii="Arial" w:eastAsia="Arial" w:hAnsi="Arial" w:cs="Arial"/>
        </w:rPr>
        <w:t xml:space="preserve">2024 оны 4 дүгээр улирлын байдлаар аж ахуйн үйл ажиллагаа эрхэлж байгаа үйлчилгээний байгууллагын ажилтан сард дундажаар </w:t>
      </w:r>
      <w:r>
        <w:rPr>
          <w:rFonts w:ascii="Arial" w:eastAsia="Arial" w:hAnsi="Arial" w:cs="Arial"/>
          <w:b/>
        </w:rPr>
        <w:t xml:space="preserve">2,689,800 төгрөгийн цалин </w:t>
      </w:r>
      <w:r>
        <w:rPr>
          <w:rFonts w:ascii="Arial" w:eastAsia="Arial" w:hAnsi="Arial" w:cs="Arial"/>
        </w:rPr>
        <w:t>авч байгааг Үндэсний статистикийн хорооноос гаргасан судалгаанд дурдсан байна.</w:t>
      </w:r>
      <w:r>
        <w:rPr>
          <w:rFonts w:ascii="Arial" w:eastAsia="Arial" w:hAnsi="Arial" w:cs="Arial"/>
          <w:vertAlign w:val="superscript"/>
        </w:rPr>
        <w:footnoteReference w:id="1"/>
      </w:r>
      <w:r>
        <w:rPr>
          <w:rFonts w:ascii="Arial" w:eastAsia="Arial" w:hAnsi="Arial" w:cs="Arial"/>
        </w:rPr>
        <w:t xml:space="preserve"> Иймд хуулийн төслийн хүрээнд хуулийн этгээдийн гүйцэтгэх үүрэгтэй холбоотой ажлын хөлсийг тооцоолохдоо Үндэсний статистикийн хорооноос гаргасан дээрх судалгааг эх сурвалж болгон ашигласан. </w:t>
      </w:r>
    </w:p>
    <w:p w:rsidR="00946F9F" w:rsidRDefault="00000000">
      <w:pPr>
        <w:jc w:val="center"/>
        <w:rPr>
          <w:rFonts w:ascii="Arial" w:eastAsia="Arial" w:hAnsi="Arial" w:cs="Arial"/>
          <w:b/>
        </w:rPr>
      </w:pPr>
      <w:r>
        <w:rPr>
          <w:rFonts w:ascii="Arial" w:eastAsia="Arial" w:hAnsi="Arial" w:cs="Arial"/>
          <w:b/>
        </w:rPr>
        <w:lastRenderedPageBreak/>
        <w:t>Тоон үзүүлэлтийг тооцох:</w:t>
      </w:r>
    </w:p>
    <w:p w:rsidR="00946F9F" w:rsidRDefault="00000000">
      <w:pPr>
        <w:ind w:firstLine="720"/>
        <w:jc w:val="both"/>
        <w:rPr>
          <w:rFonts w:ascii="Arial" w:eastAsia="Arial" w:hAnsi="Arial" w:cs="Arial"/>
        </w:rPr>
      </w:pPr>
      <w:r>
        <w:rPr>
          <w:rFonts w:ascii="Arial" w:eastAsia="Arial" w:hAnsi="Arial" w:cs="Arial"/>
        </w:rPr>
        <w:t>Тоон үзүүлэлт нь хуулийн үйлчлэлд хамаарах бүх хуулийн этгээдэд үүсэх нийт зардлыг тооцоолоход ашиглах ач холбогдол бүхий тоон утга юм. Үүнийг дараах томьёогоор гаргана.</w:t>
      </w:r>
    </w:p>
    <w:p w:rsidR="00946F9F" w:rsidRDefault="00000000">
      <w:pPr>
        <w:ind w:firstLine="720"/>
        <w:jc w:val="both"/>
        <w:rPr>
          <w:rFonts w:ascii="Arial" w:eastAsia="Arial" w:hAnsi="Arial" w:cs="Arial"/>
          <w:b/>
        </w:rPr>
      </w:pPr>
      <w:r>
        <w:rPr>
          <w:rFonts w:ascii="Arial" w:eastAsia="Arial" w:hAnsi="Arial" w:cs="Arial"/>
          <w:b/>
        </w:rPr>
        <w:t>Тоон үзүүлэлт=Тохиолдлын тоо×Давтамж тоо</w:t>
      </w:r>
    </w:p>
    <w:tbl>
      <w:tblPr>
        <w:tblStyle w:val="a0"/>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4"/>
        <w:gridCol w:w="3821"/>
        <w:gridCol w:w="1620"/>
        <w:gridCol w:w="360"/>
        <w:gridCol w:w="1348"/>
        <w:gridCol w:w="345"/>
        <w:gridCol w:w="1387"/>
      </w:tblGrid>
      <w:tr w:rsidR="00946F9F">
        <w:tc>
          <w:tcPr>
            <w:tcW w:w="564" w:type="dxa"/>
          </w:tcPr>
          <w:p w:rsidR="00946F9F" w:rsidRDefault="00000000">
            <w:pPr>
              <w:spacing w:line="276" w:lineRule="auto"/>
              <w:jc w:val="both"/>
              <w:rPr>
                <w:rFonts w:ascii="Arial" w:eastAsia="Arial" w:hAnsi="Arial" w:cs="Arial"/>
                <w:sz w:val="22"/>
                <w:szCs w:val="22"/>
              </w:rPr>
            </w:pPr>
            <w:r>
              <w:rPr>
                <w:rFonts w:ascii="Arial" w:eastAsia="Arial" w:hAnsi="Arial" w:cs="Arial"/>
                <w:sz w:val="22"/>
                <w:szCs w:val="22"/>
              </w:rPr>
              <w:t>д/д</w:t>
            </w:r>
          </w:p>
        </w:tc>
        <w:tc>
          <w:tcPr>
            <w:tcW w:w="3821" w:type="dxa"/>
          </w:tcPr>
          <w:p w:rsidR="00946F9F" w:rsidRDefault="00000000">
            <w:pPr>
              <w:pBdr>
                <w:top w:val="nil"/>
                <w:left w:val="nil"/>
                <w:bottom w:val="nil"/>
                <w:right w:val="nil"/>
                <w:between w:val="nil"/>
              </w:pBdr>
              <w:spacing w:after="160" w:line="276" w:lineRule="auto"/>
              <w:jc w:val="center"/>
              <w:rPr>
                <w:rFonts w:ascii="Arial" w:eastAsia="Arial" w:hAnsi="Arial" w:cs="Arial"/>
                <w:b/>
                <w:color w:val="000000"/>
                <w:sz w:val="22"/>
                <w:szCs w:val="22"/>
              </w:rPr>
            </w:pPr>
            <w:r>
              <w:rPr>
                <w:rFonts w:ascii="Arial" w:eastAsia="Arial" w:hAnsi="Arial" w:cs="Arial"/>
                <w:b/>
                <w:color w:val="000000"/>
                <w:sz w:val="22"/>
                <w:szCs w:val="22"/>
              </w:rPr>
              <w:t>Гүйцэтгэх үүрэг</w:t>
            </w:r>
          </w:p>
        </w:tc>
        <w:tc>
          <w:tcPr>
            <w:tcW w:w="1620" w:type="dxa"/>
          </w:tcPr>
          <w:p w:rsidR="00946F9F" w:rsidRDefault="00000000">
            <w:pPr>
              <w:spacing w:line="276" w:lineRule="auto"/>
              <w:jc w:val="center"/>
              <w:rPr>
                <w:rFonts w:ascii="Arial" w:eastAsia="Arial" w:hAnsi="Arial" w:cs="Arial"/>
                <w:b/>
                <w:sz w:val="22"/>
                <w:szCs w:val="22"/>
              </w:rPr>
            </w:pPr>
            <w:r>
              <w:rPr>
                <w:rFonts w:ascii="Arial" w:eastAsia="Arial" w:hAnsi="Arial" w:cs="Arial"/>
                <w:b/>
                <w:sz w:val="22"/>
                <w:szCs w:val="22"/>
              </w:rPr>
              <w:t>Тохиолдлын тоо</w:t>
            </w:r>
          </w:p>
        </w:tc>
        <w:tc>
          <w:tcPr>
            <w:tcW w:w="360" w:type="dxa"/>
          </w:tcPr>
          <w:p w:rsidR="00946F9F" w:rsidRDefault="00000000">
            <w:pPr>
              <w:spacing w:line="276" w:lineRule="auto"/>
              <w:jc w:val="center"/>
              <w:rPr>
                <w:rFonts w:ascii="Arial" w:eastAsia="Arial" w:hAnsi="Arial" w:cs="Arial"/>
                <w:b/>
                <w:sz w:val="22"/>
                <w:szCs w:val="22"/>
              </w:rPr>
            </w:pPr>
            <w:r>
              <w:rPr>
                <w:rFonts w:ascii="Arial" w:eastAsia="Arial" w:hAnsi="Arial" w:cs="Arial"/>
                <w:b/>
                <w:sz w:val="22"/>
                <w:szCs w:val="22"/>
              </w:rPr>
              <w:t>х</w:t>
            </w:r>
          </w:p>
        </w:tc>
        <w:tc>
          <w:tcPr>
            <w:tcW w:w="1348" w:type="dxa"/>
          </w:tcPr>
          <w:p w:rsidR="00946F9F" w:rsidRDefault="00000000">
            <w:pPr>
              <w:spacing w:line="276" w:lineRule="auto"/>
              <w:jc w:val="center"/>
              <w:rPr>
                <w:rFonts w:ascii="Arial" w:eastAsia="Arial" w:hAnsi="Arial" w:cs="Arial"/>
                <w:b/>
                <w:sz w:val="22"/>
                <w:szCs w:val="22"/>
              </w:rPr>
            </w:pPr>
            <w:r>
              <w:rPr>
                <w:rFonts w:ascii="Arial" w:eastAsia="Arial" w:hAnsi="Arial" w:cs="Arial"/>
                <w:b/>
                <w:sz w:val="22"/>
                <w:szCs w:val="22"/>
              </w:rPr>
              <w:t>Давтамж</w:t>
            </w:r>
          </w:p>
        </w:tc>
        <w:tc>
          <w:tcPr>
            <w:tcW w:w="345" w:type="dxa"/>
          </w:tcPr>
          <w:p w:rsidR="00946F9F" w:rsidRDefault="00000000">
            <w:pPr>
              <w:spacing w:line="276" w:lineRule="auto"/>
              <w:jc w:val="center"/>
              <w:rPr>
                <w:rFonts w:ascii="Arial" w:eastAsia="Arial" w:hAnsi="Arial" w:cs="Arial"/>
                <w:b/>
                <w:sz w:val="22"/>
                <w:szCs w:val="22"/>
              </w:rPr>
            </w:pPr>
            <w:r>
              <w:rPr>
                <w:rFonts w:ascii="Arial" w:eastAsia="Arial" w:hAnsi="Arial" w:cs="Arial"/>
                <w:b/>
                <w:sz w:val="22"/>
                <w:szCs w:val="22"/>
              </w:rPr>
              <w:t>=</w:t>
            </w:r>
          </w:p>
        </w:tc>
        <w:tc>
          <w:tcPr>
            <w:tcW w:w="1387" w:type="dxa"/>
          </w:tcPr>
          <w:p w:rsidR="00946F9F" w:rsidRDefault="00000000">
            <w:pPr>
              <w:spacing w:line="276" w:lineRule="auto"/>
              <w:jc w:val="center"/>
              <w:rPr>
                <w:rFonts w:ascii="Arial" w:eastAsia="Arial" w:hAnsi="Arial" w:cs="Arial"/>
                <w:b/>
                <w:sz w:val="22"/>
                <w:szCs w:val="22"/>
              </w:rPr>
            </w:pPr>
            <w:r>
              <w:rPr>
                <w:rFonts w:ascii="Arial" w:eastAsia="Arial" w:hAnsi="Arial" w:cs="Arial"/>
                <w:b/>
                <w:sz w:val="22"/>
                <w:szCs w:val="22"/>
              </w:rPr>
              <w:t>Тоон үзүүлэлт</w:t>
            </w:r>
          </w:p>
        </w:tc>
      </w:tr>
      <w:tr w:rsidR="00946F9F">
        <w:trPr>
          <w:trHeight w:val="881"/>
        </w:trPr>
        <w:tc>
          <w:tcPr>
            <w:tcW w:w="564" w:type="dxa"/>
          </w:tcPr>
          <w:p w:rsidR="00946F9F" w:rsidRDefault="00946F9F">
            <w:pPr>
              <w:spacing w:after="280" w:line="276" w:lineRule="auto"/>
              <w:jc w:val="center"/>
              <w:rPr>
                <w:rFonts w:ascii="Arial" w:eastAsia="Arial" w:hAnsi="Arial" w:cs="Arial"/>
                <w:sz w:val="22"/>
                <w:szCs w:val="22"/>
              </w:rPr>
            </w:pPr>
          </w:p>
          <w:p w:rsidR="00946F9F" w:rsidRDefault="00000000">
            <w:pPr>
              <w:spacing w:before="280" w:line="276" w:lineRule="auto"/>
              <w:jc w:val="center"/>
              <w:rPr>
                <w:rFonts w:ascii="Arial" w:eastAsia="Arial" w:hAnsi="Arial" w:cs="Arial"/>
                <w:sz w:val="22"/>
                <w:szCs w:val="22"/>
              </w:rPr>
            </w:pPr>
            <w:r>
              <w:rPr>
                <w:rFonts w:ascii="Arial" w:eastAsia="Arial" w:hAnsi="Arial" w:cs="Arial"/>
                <w:sz w:val="22"/>
                <w:szCs w:val="22"/>
              </w:rPr>
              <w:t>1</w:t>
            </w:r>
          </w:p>
        </w:tc>
        <w:tc>
          <w:tcPr>
            <w:tcW w:w="3821" w:type="dxa"/>
          </w:tcPr>
          <w:p w:rsidR="00946F9F" w:rsidRDefault="00000000">
            <w:pPr>
              <w:jc w:val="both"/>
              <w:rPr>
                <w:rFonts w:ascii="Arial" w:eastAsia="Arial" w:hAnsi="Arial" w:cs="Arial"/>
              </w:rPr>
            </w:pPr>
            <w:r>
              <w:rPr>
                <w:rFonts w:ascii="Arial" w:eastAsia="Arial" w:hAnsi="Arial" w:cs="Arial"/>
              </w:rPr>
              <w:t>Зөвшөөрлийн тухай хуулийн 8.2 дугаар зүйлийн 4.6-д заасны дагуу хуулийн этгээд нийтийн хэрэглээний цахилгаан дугуй, цахилгаан скүүтерийн үйлчилгээ эрхэлж болно</w:t>
            </w:r>
          </w:p>
        </w:tc>
        <w:tc>
          <w:tcPr>
            <w:tcW w:w="1620" w:type="dxa"/>
          </w:tcPr>
          <w:p w:rsidR="00946F9F" w:rsidRDefault="00946F9F">
            <w:pPr>
              <w:spacing w:after="280" w:line="276" w:lineRule="auto"/>
              <w:jc w:val="center"/>
              <w:rPr>
                <w:rFonts w:ascii="Arial" w:eastAsia="Arial" w:hAnsi="Arial" w:cs="Arial"/>
                <w:sz w:val="22"/>
                <w:szCs w:val="22"/>
              </w:rPr>
            </w:pPr>
          </w:p>
          <w:p w:rsidR="00946F9F" w:rsidRDefault="00000000">
            <w:pPr>
              <w:spacing w:before="280" w:line="276" w:lineRule="auto"/>
              <w:jc w:val="center"/>
              <w:rPr>
                <w:rFonts w:ascii="Arial" w:eastAsia="Arial" w:hAnsi="Arial" w:cs="Arial"/>
                <w:sz w:val="22"/>
                <w:szCs w:val="22"/>
              </w:rPr>
            </w:pPr>
            <w:r>
              <w:rPr>
                <w:rFonts w:ascii="Arial" w:eastAsia="Arial" w:hAnsi="Arial" w:cs="Arial"/>
                <w:sz w:val="22"/>
                <w:szCs w:val="22"/>
              </w:rPr>
              <w:t>3</w:t>
            </w:r>
            <w:r>
              <w:rPr>
                <w:rFonts w:ascii="Arial" w:eastAsia="Arial" w:hAnsi="Arial" w:cs="Arial"/>
                <w:sz w:val="22"/>
                <w:szCs w:val="22"/>
                <w:vertAlign w:val="superscript"/>
              </w:rPr>
              <w:footnoteReference w:id="2"/>
            </w:r>
          </w:p>
        </w:tc>
        <w:tc>
          <w:tcPr>
            <w:tcW w:w="360" w:type="dxa"/>
          </w:tcPr>
          <w:p w:rsidR="00946F9F" w:rsidRDefault="00946F9F">
            <w:pPr>
              <w:spacing w:after="280" w:line="276" w:lineRule="auto"/>
              <w:jc w:val="center"/>
              <w:rPr>
                <w:rFonts w:ascii="Arial" w:eastAsia="Arial" w:hAnsi="Arial" w:cs="Arial"/>
                <w:sz w:val="22"/>
                <w:szCs w:val="22"/>
              </w:rPr>
            </w:pPr>
          </w:p>
          <w:p w:rsidR="00946F9F" w:rsidRDefault="00000000">
            <w:pPr>
              <w:spacing w:before="280" w:line="276" w:lineRule="auto"/>
              <w:jc w:val="center"/>
              <w:rPr>
                <w:rFonts w:ascii="Arial" w:eastAsia="Arial" w:hAnsi="Arial" w:cs="Arial"/>
                <w:sz w:val="22"/>
                <w:szCs w:val="22"/>
              </w:rPr>
            </w:pPr>
            <w:r>
              <w:rPr>
                <w:rFonts w:ascii="Arial" w:eastAsia="Arial" w:hAnsi="Arial" w:cs="Arial"/>
                <w:sz w:val="22"/>
                <w:szCs w:val="22"/>
              </w:rPr>
              <w:t>х</w:t>
            </w:r>
          </w:p>
        </w:tc>
        <w:tc>
          <w:tcPr>
            <w:tcW w:w="1348" w:type="dxa"/>
          </w:tcPr>
          <w:p w:rsidR="00946F9F" w:rsidRDefault="00946F9F">
            <w:pPr>
              <w:spacing w:after="280" w:line="276" w:lineRule="auto"/>
              <w:jc w:val="center"/>
              <w:rPr>
                <w:rFonts w:ascii="Arial" w:eastAsia="Arial" w:hAnsi="Arial" w:cs="Arial"/>
                <w:sz w:val="22"/>
                <w:szCs w:val="22"/>
              </w:rPr>
            </w:pPr>
          </w:p>
          <w:p w:rsidR="00946F9F" w:rsidRDefault="00000000">
            <w:pPr>
              <w:spacing w:before="280" w:line="276" w:lineRule="auto"/>
              <w:jc w:val="center"/>
              <w:rPr>
                <w:rFonts w:ascii="Arial" w:eastAsia="Arial" w:hAnsi="Arial" w:cs="Arial"/>
                <w:sz w:val="22"/>
                <w:szCs w:val="22"/>
              </w:rPr>
            </w:pPr>
            <w:r>
              <w:rPr>
                <w:rFonts w:ascii="Arial" w:eastAsia="Arial" w:hAnsi="Arial" w:cs="Arial"/>
                <w:sz w:val="22"/>
                <w:szCs w:val="22"/>
              </w:rPr>
              <w:t>0,33</w:t>
            </w:r>
            <w:r>
              <w:rPr>
                <w:rFonts w:ascii="Arial" w:eastAsia="Arial" w:hAnsi="Arial" w:cs="Arial"/>
                <w:sz w:val="22"/>
                <w:szCs w:val="22"/>
                <w:vertAlign w:val="superscript"/>
              </w:rPr>
              <w:footnoteReference w:id="3"/>
            </w:r>
          </w:p>
        </w:tc>
        <w:tc>
          <w:tcPr>
            <w:tcW w:w="345" w:type="dxa"/>
          </w:tcPr>
          <w:p w:rsidR="00946F9F" w:rsidRDefault="00946F9F">
            <w:pPr>
              <w:spacing w:after="280" w:line="276" w:lineRule="auto"/>
              <w:jc w:val="center"/>
              <w:rPr>
                <w:rFonts w:ascii="Arial" w:eastAsia="Arial" w:hAnsi="Arial" w:cs="Arial"/>
                <w:sz w:val="22"/>
                <w:szCs w:val="22"/>
              </w:rPr>
            </w:pPr>
          </w:p>
          <w:p w:rsidR="00946F9F" w:rsidRDefault="00000000">
            <w:pPr>
              <w:spacing w:before="280" w:line="276" w:lineRule="auto"/>
              <w:jc w:val="center"/>
              <w:rPr>
                <w:rFonts w:ascii="Arial" w:eastAsia="Arial" w:hAnsi="Arial" w:cs="Arial"/>
                <w:sz w:val="22"/>
                <w:szCs w:val="22"/>
              </w:rPr>
            </w:pPr>
            <w:r>
              <w:rPr>
                <w:rFonts w:ascii="Arial" w:eastAsia="Arial" w:hAnsi="Arial" w:cs="Arial"/>
                <w:sz w:val="22"/>
                <w:szCs w:val="22"/>
              </w:rPr>
              <w:t>=</w:t>
            </w:r>
          </w:p>
        </w:tc>
        <w:tc>
          <w:tcPr>
            <w:tcW w:w="1387" w:type="dxa"/>
          </w:tcPr>
          <w:p w:rsidR="00946F9F" w:rsidRDefault="00946F9F">
            <w:pPr>
              <w:spacing w:after="280" w:line="276" w:lineRule="auto"/>
              <w:jc w:val="center"/>
              <w:rPr>
                <w:rFonts w:ascii="Arial" w:eastAsia="Arial" w:hAnsi="Arial" w:cs="Arial"/>
                <w:sz w:val="22"/>
                <w:szCs w:val="22"/>
              </w:rPr>
            </w:pPr>
          </w:p>
          <w:p w:rsidR="00946F9F" w:rsidRDefault="00000000">
            <w:pPr>
              <w:spacing w:before="280" w:line="276" w:lineRule="auto"/>
              <w:jc w:val="center"/>
              <w:rPr>
                <w:rFonts w:ascii="Arial" w:eastAsia="Arial" w:hAnsi="Arial" w:cs="Arial"/>
                <w:sz w:val="22"/>
                <w:szCs w:val="22"/>
              </w:rPr>
            </w:pPr>
            <w:r>
              <w:rPr>
                <w:rFonts w:ascii="Arial" w:eastAsia="Arial" w:hAnsi="Arial" w:cs="Arial"/>
                <w:sz w:val="22"/>
                <w:szCs w:val="22"/>
              </w:rPr>
              <w:t>1</w:t>
            </w:r>
          </w:p>
        </w:tc>
      </w:tr>
    </w:tbl>
    <w:p w:rsidR="00946F9F" w:rsidRDefault="00946F9F">
      <w:pPr>
        <w:jc w:val="both"/>
        <w:rPr>
          <w:rFonts w:ascii="Arial" w:eastAsia="Arial" w:hAnsi="Arial" w:cs="Arial"/>
        </w:rPr>
      </w:pPr>
    </w:p>
    <w:p w:rsidR="00946F9F" w:rsidRDefault="00000000">
      <w:pPr>
        <w:ind w:firstLine="720"/>
        <w:jc w:val="both"/>
        <w:rPr>
          <w:rFonts w:ascii="Arial" w:eastAsia="Arial" w:hAnsi="Arial" w:cs="Arial"/>
        </w:rPr>
      </w:pPr>
      <w:r>
        <w:rPr>
          <w:rFonts w:ascii="Arial" w:eastAsia="Arial" w:hAnsi="Arial" w:cs="Arial"/>
        </w:rPr>
        <w:t>Тохиолдлын тоо нь тухайн үүргийг нийт хэдэн хуулийн этгээдэд хүлээлгэж байгааг харуулдаг бол давтамжийн тоо нь тухайн үүргийг хуулийн этгээд 1 жилд хэдэн удаа хэрэгжүүлэхийг харуулна. Иргэний хуулийн 33 дугаар зүйлийн 33.1, 33.2-т зааснаар хуулийн этгээдэд компани, нөхөрлөл, холбоо, сан, хоршоог хамааруулна. Нийтийн хэрэглээний цахилгаан дугуй, цахилгаан скүүтерийн үйлчилгээ үзүүлэгч хуулийн этгээд бүр Замын хөдөлгөөний аюулгүй байдлын тухай хуульд нэмэлт, өөрчлөлт оруулах хуулийн төслийн 1 дүгээр зүйлийн 1, 3 дахь хэсэгт заасан үүргийг хүлээхээр байна.</w:t>
      </w:r>
    </w:p>
    <w:p w:rsidR="00946F9F" w:rsidRDefault="00000000">
      <w:pPr>
        <w:ind w:firstLine="720"/>
        <w:jc w:val="both"/>
        <w:rPr>
          <w:rFonts w:ascii="Arial" w:eastAsia="Arial" w:hAnsi="Arial" w:cs="Arial"/>
        </w:rPr>
      </w:pPr>
      <w:r>
        <w:rPr>
          <w:rFonts w:ascii="Arial" w:eastAsia="Arial" w:hAnsi="Arial" w:cs="Arial"/>
        </w:rPr>
        <w:t>Өнөөгийн тоон мэдээллээс үзвэл Нийтийн хэрэглээний цахилгаан дугуй, цахилгаан скүүтерийн үйлчилгээ үзүүлэгч 2 хуулийн этгээд  /“Жэт Шэйринг Монголиа” ХХК, “Ви Эм Си Групп” ХХК/ байна. Мөн 2024 онд цахилгаан дугуйны шинэ төрөл болох “Эко байк”-ийн түрээсийн үйлчилгээ Монгол Улсад нэвтэрсэн байгааг анхааран үзлээ.</w:t>
      </w:r>
    </w:p>
    <w:p w:rsidR="00946F9F" w:rsidRDefault="00000000">
      <w:pPr>
        <w:jc w:val="center"/>
        <w:rPr>
          <w:rFonts w:ascii="Arial" w:eastAsia="Arial" w:hAnsi="Arial" w:cs="Arial"/>
          <w:b/>
        </w:rPr>
      </w:pPr>
      <w:r>
        <w:rPr>
          <w:rFonts w:ascii="Arial" w:eastAsia="Arial" w:hAnsi="Arial" w:cs="Arial"/>
          <w:b/>
        </w:rPr>
        <w:t>Нийт зардлыг тооцох:</w:t>
      </w:r>
    </w:p>
    <w:p w:rsidR="00946F9F" w:rsidRDefault="00000000">
      <w:pPr>
        <w:ind w:firstLine="720"/>
        <w:jc w:val="both"/>
        <w:rPr>
          <w:rFonts w:ascii="Arial" w:eastAsia="Arial" w:hAnsi="Arial" w:cs="Arial"/>
        </w:rPr>
      </w:pPr>
      <w:r>
        <w:rPr>
          <w:rFonts w:ascii="Arial" w:eastAsia="Arial" w:hAnsi="Arial" w:cs="Arial"/>
        </w:rPr>
        <w:t>Нийт зардлын дүнг тооцох үе шатанд зардлын нийт дүнг тооцож гаргана. Нийт зардлын дүнг тооцохдоо тухайн үүргийг гүйцэтгэхэд шаардагдах зардлыг тоон үзүүлэлтээр үржүүлж гаргах бөгөөд дараах томьёог ашиглана:</w:t>
      </w:r>
    </w:p>
    <w:p w:rsidR="00946F9F" w:rsidRDefault="00000000">
      <w:pPr>
        <w:jc w:val="both"/>
        <w:rPr>
          <w:rFonts w:ascii="Arial" w:eastAsia="Arial" w:hAnsi="Arial" w:cs="Arial"/>
          <w:b/>
        </w:rPr>
      </w:pPr>
      <w:r>
        <w:rPr>
          <w:rFonts w:ascii="Arial" w:eastAsia="Arial" w:hAnsi="Arial" w:cs="Arial"/>
          <w:b/>
        </w:rPr>
        <w:t>Нийт зардал=Зардал×Тоон үзүүлэлт</w:t>
      </w:r>
    </w:p>
    <w:tbl>
      <w:tblPr>
        <w:tblStyle w:val="a1"/>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3416"/>
        <w:gridCol w:w="1510"/>
        <w:gridCol w:w="358"/>
        <w:gridCol w:w="1336"/>
        <w:gridCol w:w="357"/>
        <w:gridCol w:w="1809"/>
      </w:tblGrid>
      <w:tr w:rsidR="00946F9F">
        <w:tc>
          <w:tcPr>
            <w:tcW w:w="565" w:type="dxa"/>
          </w:tcPr>
          <w:p w:rsidR="00946F9F" w:rsidRDefault="00000000">
            <w:pPr>
              <w:spacing w:line="276" w:lineRule="auto"/>
              <w:jc w:val="both"/>
              <w:rPr>
                <w:rFonts w:ascii="Arial" w:eastAsia="Arial" w:hAnsi="Arial" w:cs="Arial"/>
              </w:rPr>
            </w:pPr>
            <w:r>
              <w:rPr>
                <w:rFonts w:ascii="Arial" w:eastAsia="Arial" w:hAnsi="Arial" w:cs="Arial"/>
              </w:rPr>
              <w:t>д/д</w:t>
            </w:r>
          </w:p>
        </w:tc>
        <w:tc>
          <w:tcPr>
            <w:tcW w:w="3416" w:type="dxa"/>
          </w:tcPr>
          <w:p w:rsidR="00946F9F" w:rsidRDefault="00000000">
            <w:pPr>
              <w:pBdr>
                <w:top w:val="nil"/>
                <w:left w:val="nil"/>
                <w:bottom w:val="nil"/>
                <w:right w:val="nil"/>
                <w:between w:val="nil"/>
              </w:pBdr>
              <w:spacing w:after="160" w:line="276" w:lineRule="auto"/>
              <w:jc w:val="center"/>
              <w:rPr>
                <w:rFonts w:ascii="Arial" w:eastAsia="Arial" w:hAnsi="Arial" w:cs="Arial"/>
                <w:b/>
                <w:color w:val="000000"/>
              </w:rPr>
            </w:pPr>
            <w:r>
              <w:rPr>
                <w:rFonts w:ascii="Arial" w:eastAsia="Arial" w:hAnsi="Arial" w:cs="Arial"/>
                <w:b/>
                <w:color w:val="000000"/>
              </w:rPr>
              <w:t>Гүйцэтгэх үүрэг</w:t>
            </w:r>
          </w:p>
        </w:tc>
        <w:tc>
          <w:tcPr>
            <w:tcW w:w="1510" w:type="dxa"/>
          </w:tcPr>
          <w:p w:rsidR="00946F9F" w:rsidRDefault="00000000">
            <w:pPr>
              <w:spacing w:line="276" w:lineRule="auto"/>
              <w:jc w:val="center"/>
              <w:rPr>
                <w:rFonts w:ascii="Arial" w:eastAsia="Arial" w:hAnsi="Arial" w:cs="Arial"/>
                <w:b/>
              </w:rPr>
            </w:pPr>
            <w:r>
              <w:rPr>
                <w:rFonts w:ascii="Arial" w:eastAsia="Arial" w:hAnsi="Arial" w:cs="Arial"/>
                <w:b/>
              </w:rPr>
              <w:t>Нэг бүрийн зардал</w:t>
            </w:r>
          </w:p>
        </w:tc>
        <w:tc>
          <w:tcPr>
            <w:tcW w:w="358" w:type="dxa"/>
          </w:tcPr>
          <w:p w:rsidR="00946F9F" w:rsidRDefault="00000000">
            <w:pPr>
              <w:spacing w:line="276" w:lineRule="auto"/>
              <w:jc w:val="center"/>
              <w:rPr>
                <w:rFonts w:ascii="Arial" w:eastAsia="Arial" w:hAnsi="Arial" w:cs="Arial"/>
                <w:b/>
              </w:rPr>
            </w:pPr>
            <w:r>
              <w:rPr>
                <w:rFonts w:ascii="Arial" w:eastAsia="Arial" w:hAnsi="Arial" w:cs="Arial"/>
                <w:b/>
              </w:rPr>
              <w:t>х</w:t>
            </w:r>
          </w:p>
        </w:tc>
        <w:tc>
          <w:tcPr>
            <w:tcW w:w="1336" w:type="dxa"/>
          </w:tcPr>
          <w:p w:rsidR="00946F9F" w:rsidRDefault="00000000">
            <w:pPr>
              <w:spacing w:line="276" w:lineRule="auto"/>
              <w:jc w:val="center"/>
              <w:rPr>
                <w:rFonts w:ascii="Arial" w:eastAsia="Arial" w:hAnsi="Arial" w:cs="Arial"/>
                <w:b/>
              </w:rPr>
            </w:pPr>
            <w:r>
              <w:rPr>
                <w:rFonts w:ascii="Arial" w:eastAsia="Arial" w:hAnsi="Arial" w:cs="Arial"/>
                <w:b/>
              </w:rPr>
              <w:t>Тоон үзүүлэлт</w:t>
            </w:r>
          </w:p>
        </w:tc>
        <w:tc>
          <w:tcPr>
            <w:tcW w:w="357" w:type="dxa"/>
          </w:tcPr>
          <w:p w:rsidR="00946F9F" w:rsidRDefault="00000000">
            <w:pPr>
              <w:spacing w:line="276" w:lineRule="auto"/>
              <w:jc w:val="center"/>
              <w:rPr>
                <w:rFonts w:ascii="Arial" w:eastAsia="Arial" w:hAnsi="Arial" w:cs="Arial"/>
                <w:b/>
              </w:rPr>
            </w:pPr>
            <w:r>
              <w:rPr>
                <w:rFonts w:ascii="Arial" w:eastAsia="Arial" w:hAnsi="Arial" w:cs="Arial"/>
                <w:b/>
              </w:rPr>
              <w:t>=</w:t>
            </w:r>
          </w:p>
        </w:tc>
        <w:tc>
          <w:tcPr>
            <w:tcW w:w="1809" w:type="dxa"/>
          </w:tcPr>
          <w:p w:rsidR="00946F9F" w:rsidRDefault="00000000">
            <w:pPr>
              <w:spacing w:line="276" w:lineRule="auto"/>
              <w:jc w:val="center"/>
              <w:rPr>
                <w:rFonts w:ascii="Arial" w:eastAsia="Arial" w:hAnsi="Arial" w:cs="Arial"/>
                <w:b/>
              </w:rPr>
            </w:pPr>
            <w:r>
              <w:rPr>
                <w:rFonts w:ascii="Arial" w:eastAsia="Arial" w:hAnsi="Arial" w:cs="Arial"/>
                <w:b/>
              </w:rPr>
              <w:t>Нийт зардал</w:t>
            </w:r>
            <w:r>
              <w:rPr>
                <w:rFonts w:ascii="Arial" w:eastAsia="Arial" w:hAnsi="Arial" w:cs="Arial"/>
                <w:b/>
                <w:vertAlign w:val="superscript"/>
              </w:rPr>
              <w:footnoteReference w:id="4"/>
            </w:r>
          </w:p>
        </w:tc>
      </w:tr>
      <w:tr w:rsidR="00946F9F">
        <w:trPr>
          <w:trHeight w:val="881"/>
        </w:trPr>
        <w:tc>
          <w:tcPr>
            <w:tcW w:w="565" w:type="dxa"/>
          </w:tcPr>
          <w:p w:rsidR="00946F9F" w:rsidRDefault="00946F9F">
            <w:pPr>
              <w:spacing w:line="276" w:lineRule="auto"/>
              <w:jc w:val="center"/>
              <w:rPr>
                <w:rFonts w:ascii="Arial" w:eastAsia="Arial" w:hAnsi="Arial" w:cs="Arial"/>
                <w:sz w:val="22"/>
                <w:szCs w:val="22"/>
              </w:rPr>
            </w:pPr>
          </w:p>
          <w:p w:rsidR="00946F9F" w:rsidRDefault="00946F9F">
            <w:pPr>
              <w:spacing w:line="276" w:lineRule="auto"/>
              <w:jc w:val="center"/>
              <w:rPr>
                <w:rFonts w:ascii="Arial" w:eastAsia="Arial" w:hAnsi="Arial" w:cs="Arial"/>
                <w:sz w:val="22"/>
                <w:szCs w:val="22"/>
              </w:rPr>
            </w:pPr>
          </w:p>
          <w:p w:rsidR="00946F9F" w:rsidRDefault="00946F9F">
            <w:pPr>
              <w:spacing w:line="276" w:lineRule="auto"/>
              <w:jc w:val="center"/>
              <w:rPr>
                <w:rFonts w:ascii="Arial" w:eastAsia="Arial" w:hAnsi="Arial" w:cs="Arial"/>
                <w:sz w:val="22"/>
                <w:szCs w:val="22"/>
              </w:rPr>
            </w:pPr>
          </w:p>
          <w:p w:rsidR="00946F9F" w:rsidRDefault="00000000">
            <w:pPr>
              <w:spacing w:line="276" w:lineRule="auto"/>
              <w:jc w:val="center"/>
              <w:rPr>
                <w:rFonts w:ascii="Arial" w:eastAsia="Arial" w:hAnsi="Arial" w:cs="Arial"/>
                <w:sz w:val="22"/>
                <w:szCs w:val="22"/>
              </w:rPr>
            </w:pPr>
            <w:r>
              <w:rPr>
                <w:rFonts w:ascii="Arial" w:eastAsia="Arial" w:hAnsi="Arial" w:cs="Arial"/>
                <w:sz w:val="22"/>
                <w:szCs w:val="22"/>
              </w:rPr>
              <w:t>1</w:t>
            </w:r>
          </w:p>
        </w:tc>
        <w:tc>
          <w:tcPr>
            <w:tcW w:w="3416" w:type="dxa"/>
          </w:tcPr>
          <w:p w:rsidR="00946F9F" w:rsidRDefault="00000000">
            <w:pPr>
              <w:jc w:val="both"/>
              <w:rPr>
                <w:rFonts w:ascii="Arial" w:eastAsia="Arial" w:hAnsi="Arial" w:cs="Arial"/>
              </w:rPr>
            </w:pPr>
            <w:r>
              <w:rPr>
                <w:rFonts w:ascii="Arial" w:eastAsia="Arial" w:hAnsi="Arial" w:cs="Arial"/>
              </w:rPr>
              <w:t>Зөвшөөрлийн тухай хуулийн 8.2 дугаар зүйлийн 4.6-д заасны дагуу хуулийн этгээд нийтийн хэрэглээний цахилгаан дугуй, цахилгаан скүүтерийн үйлчилгээ эрхэлж болно</w:t>
            </w:r>
          </w:p>
        </w:tc>
        <w:tc>
          <w:tcPr>
            <w:tcW w:w="1510" w:type="dxa"/>
            <w:vAlign w:val="center"/>
          </w:tcPr>
          <w:p w:rsidR="00946F9F" w:rsidRDefault="00000000">
            <w:pPr>
              <w:spacing w:line="276" w:lineRule="auto"/>
              <w:rPr>
                <w:rFonts w:ascii="Arial" w:eastAsia="Arial" w:hAnsi="Arial" w:cs="Arial"/>
                <w:sz w:val="22"/>
                <w:szCs w:val="22"/>
              </w:rPr>
            </w:pPr>
            <w:r>
              <w:rPr>
                <w:rFonts w:ascii="Arial" w:eastAsia="Arial" w:hAnsi="Arial" w:cs="Arial"/>
              </w:rPr>
              <w:t>1,916,482.5</w:t>
            </w:r>
          </w:p>
        </w:tc>
        <w:tc>
          <w:tcPr>
            <w:tcW w:w="358" w:type="dxa"/>
            <w:vAlign w:val="center"/>
          </w:tcPr>
          <w:p w:rsidR="00946F9F" w:rsidRDefault="00000000">
            <w:pPr>
              <w:spacing w:line="276" w:lineRule="auto"/>
              <w:rPr>
                <w:rFonts w:ascii="Arial" w:eastAsia="Arial" w:hAnsi="Arial" w:cs="Arial"/>
                <w:sz w:val="22"/>
                <w:szCs w:val="22"/>
              </w:rPr>
            </w:pPr>
            <w:r>
              <w:rPr>
                <w:rFonts w:ascii="Arial" w:eastAsia="Arial" w:hAnsi="Arial" w:cs="Arial"/>
                <w:sz w:val="22"/>
                <w:szCs w:val="22"/>
              </w:rPr>
              <w:t>x</w:t>
            </w:r>
          </w:p>
        </w:tc>
        <w:tc>
          <w:tcPr>
            <w:tcW w:w="1336" w:type="dxa"/>
            <w:vAlign w:val="center"/>
          </w:tcPr>
          <w:p w:rsidR="00946F9F" w:rsidRDefault="00000000">
            <w:pPr>
              <w:spacing w:line="276" w:lineRule="auto"/>
              <w:jc w:val="center"/>
              <w:rPr>
                <w:rFonts w:ascii="Arial" w:eastAsia="Arial" w:hAnsi="Arial" w:cs="Arial"/>
                <w:sz w:val="22"/>
                <w:szCs w:val="22"/>
              </w:rPr>
            </w:pPr>
            <w:r>
              <w:rPr>
                <w:rFonts w:ascii="Arial" w:eastAsia="Arial" w:hAnsi="Arial" w:cs="Arial"/>
                <w:sz w:val="22"/>
                <w:szCs w:val="22"/>
              </w:rPr>
              <w:t>1</w:t>
            </w:r>
          </w:p>
        </w:tc>
        <w:tc>
          <w:tcPr>
            <w:tcW w:w="357" w:type="dxa"/>
            <w:vAlign w:val="center"/>
          </w:tcPr>
          <w:p w:rsidR="00946F9F" w:rsidRDefault="00000000">
            <w:pPr>
              <w:spacing w:line="276" w:lineRule="auto"/>
              <w:rPr>
                <w:rFonts w:ascii="Arial" w:eastAsia="Arial" w:hAnsi="Arial" w:cs="Arial"/>
                <w:sz w:val="22"/>
                <w:szCs w:val="22"/>
              </w:rPr>
            </w:pPr>
            <w:r>
              <w:rPr>
                <w:rFonts w:ascii="Arial" w:eastAsia="Arial" w:hAnsi="Arial" w:cs="Arial"/>
                <w:sz w:val="22"/>
                <w:szCs w:val="22"/>
              </w:rPr>
              <w:t>=</w:t>
            </w:r>
          </w:p>
        </w:tc>
        <w:tc>
          <w:tcPr>
            <w:tcW w:w="1809" w:type="dxa"/>
            <w:vAlign w:val="center"/>
          </w:tcPr>
          <w:p w:rsidR="00946F9F" w:rsidRDefault="00946F9F">
            <w:pPr>
              <w:spacing w:line="276" w:lineRule="auto"/>
              <w:rPr>
                <w:rFonts w:ascii="Arial" w:eastAsia="Arial" w:hAnsi="Arial" w:cs="Arial"/>
                <w:sz w:val="22"/>
                <w:szCs w:val="22"/>
              </w:rPr>
            </w:pPr>
          </w:p>
          <w:p w:rsidR="00946F9F" w:rsidRDefault="00000000">
            <w:pPr>
              <w:spacing w:line="276" w:lineRule="auto"/>
              <w:jc w:val="center"/>
              <w:rPr>
                <w:rFonts w:ascii="Arial" w:eastAsia="Arial" w:hAnsi="Arial" w:cs="Arial"/>
                <w:sz w:val="22"/>
                <w:szCs w:val="22"/>
              </w:rPr>
            </w:pPr>
            <w:r>
              <w:rPr>
                <w:rFonts w:ascii="Arial" w:eastAsia="Arial" w:hAnsi="Arial" w:cs="Arial"/>
              </w:rPr>
              <w:t>1,916,482.5</w:t>
            </w:r>
          </w:p>
          <w:p w:rsidR="00946F9F" w:rsidRDefault="00946F9F">
            <w:pPr>
              <w:spacing w:line="276" w:lineRule="auto"/>
              <w:jc w:val="center"/>
              <w:rPr>
                <w:rFonts w:ascii="Arial" w:eastAsia="Arial" w:hAnsi="Arial" w:cs="Arial"/>
                <w:sz w:val="22"/>
                <w:szCs w:val="22"/>
              </w:rPr>
            </w:pPr>
          </w:p>
        </w:tc>
      </w:tr>
    </w:tbl>
    <w:p w:rsidR="00946F9F" w:rsidRDefault="00946F9F">
      <w:pPr>
        <w:jc w:val="both"/>
        <w:rPr>
          <w:rFonts w:ascii="Arial" w:eastAsia="Arial" w:hAnsi="Arial" w:cs="Arial"/>
        </w:rPr>
      </w:pPr>
    </w:p>
    <w:p w:rsidR="00946F9F" w:rsidRDefault="00000000">
      <w:pPr>
        <w:numPr>
          <w:ilvl w:val="1"/>
          <w:numId w:val="11"/>
        </w:numPr>
        <w:pBdr>
          <w:top w:val="nil"/>
          <w:left w:val="nil"/>
          <w:bottom w:val="nil"/>
          <w:right w:val="nil"/>
          <w:between w:val="nil"/>
        </w:pBdr>
        <w:ind w:hanging="360"/>
        <w:jc w:val="both"/>
        <w:rPr>
          <w:rFonts w:ascii="Arial" w:eastAsia="Arial" w:hAnsi="Arial" w:cs="Arial"/>
          <w:b/>
          <w:color w:val="000000"/>
        </w:rPr>
      </w:pPr>
      <w:r>
        <w:rPr>
          <w:rFonts w:ascii="Arial" w:eastAsia="Arial" w:hAnsi="Arial" w:cs="Arial"/>
          <w:b/>
          <w:color w:val="000000"/>
        </w:rPr>
        <w:t xml:space="preserve"> Хувилбарыг нягталж хялбарчлах боломжийг шалгах</w:t>
      </w:r>
    </w:p>
    <w:p w:rsidR="00946F9F" w:rsidRDefault="00000000">
      <w:pPr>
        <w:ind w:firstLine="644"/>
        <w:jc w:val="both"/>
        <w:rPr>
          <w:rFonts w:ascii="Arial" w:eastAsia="Arial" w:hAnsi="Arial" w:cs="Arial"/>
        </w:rPr>
      </w:pPr>
      <w:r>
        <w:rPr>
          <w:rFonts w:ascii="Arial" w:eastAsia="Arial" w:hAnsi="Arial" w:cs="Arial"/>
        </w:rPr>
        <w:t>Хялбарчлах боломжийг шалгах үе шатанд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w:t>
      </w:r>
    </w:p>
    <w:p w:rsidR="00946F9F" w:rsidRDefault="00000000">
      <w:pPr>
        <w:ind w:firstLine="644"/>
        <w:jc w:val="both"/>
        <w:rPr>
          <w:rFonts w:ascii="Arial" w:eastAsia="Arial" w:hAnsi="Arial" w:cs="Arial"/>
        </w:rPr>
      </w:pPr>
      <w:r>
        <w:rPr>
          <w:rFonts w:ascii="Arial" w:eastAsia="Arial" w:hAnsi="Arial" w:cs="Arial"/>
        </w:rPr>
        <w:t>Аргачлалын 2.7.1-д заасны дагуу хамрагдах хуулийн этгээдийн тоог багасгах боломж байгаа эсэхийг тодорхойлбол:</w:t>
      </w:r>
    </w:p>
    <w:p w:rsidR="00946F9F" w:rsidRDefault="00000000">
      <w:pPr>
        <w:ind w:firstLine="720"/>
        <w:jc w:val="both"/>
        <w:rPr>
          <w:rFonts w:ascii="Arial" w:eastAsia="Arial" w:hAnsi="Arial" w:cs="Arial"/>
        </w:rPr>
      </w:pPr>
      <w:r>
        <w:rPr>
          <w:rFonts w:ascii="Arial" w:eastAsia="Arial" w:hAnsi="Arial" w:cs="Arial"/>
        </w:rPr>
        <w:t>Энэ тохиолдолд хуулийн этгээдийн тоог багасгах боломжгүй байна. Учир нь Нийтийн хэрэглээний цахилгаан дугуй, цахилгаан скүүтерийн үйлчилгээ үзүүлэгч хуулийн этгээд цаашид нэмэгдэх боломжтой байна. Тодруулбал, скүүтерийн үйлчилгээ үзүүлэгчдээс “Жет”-ийн скүүтер 6000, “Табо” скүүтер 700 ширхэг хэрэглэгчдэд хүрч байгаа гэсэн тоо байна</w:t>
      </w:r>
      <w:r>
        <w:rPr>
          <w:rFonts w:ascii="Arial" w:eastAsia="Arial" w:hAnsi="Arial" w:cs="Arial"/>
          <w:vertAlign w:val="superscript"/>
        </w:rPr>
        <w:footnoteReference w:id="5"/>
      </w:r>
      <w:r>
        <w:rPr>
          <w:rFonts w:ascii="Arial" w:eastAsia="Arial" w:hAnsi="Arial" w:cs="Arial"/>
        </w:rPr>
        <w:t>. Монгол Улсад “Жет”-ийн скүүтерийн үйлчилгээг “Жэт Шэйринг Монголиа” ХХК нь 2023 онд эхэлсэн, “Табо” скүүтерийг “Ви Эм Си Групп” ХХК 2024 онд нэвтрүүлж үйл ажиллагаагаа эхэлсэн байна. Мөн 2024 онд цахилгаан дугуйны шинэ төрөл болох “Эко байк”-ийн түрээсийн үйлчилгээ 2024 онд Монгол Улсад нэвтэрсэн байна. Үүнээс үзвэл Нийтийн хэрэглээний цахилгаан дугуй, цахилгаан скүүтерийн үйлчилгээ үзүүлэгч хуулийн этгээд нэмэгдэх боломжтой байгааг анхааран үзэж хамрагдах хуулийн этгээдийн тоог багасгах боломжгүй гэж үзлээ.</w:t>
      </w:r>
    </w:p>
    <w:p w:rsidR="00946F9F" w:rsidRDefault="00000000">
      <w:pPr>
        <w:ind w:firstLine="720"/>
        <w:jc w:val="both"/>
        <w:rPr>
          <w:rFonts w:ascii="Arial" w:eastAsia="Arial" w:hAnsi="Arial" w:cs="Arial"/>
        </w:rPr>
      </w:pPr>
      <w:r>
        <w:rPr>
          <w:rFonts w:ascii="Arial" w:eastAsia="Arial" w:hAnsi="Arial" w:cs="Arial"/>
        </w:rPr>
        <w:t>Аргачлалын 2.7.2, 2.7.3-д заасны дагуу мэдээлэл хүргүүлэх давтамжийг багасгах,  мэдээллийн агуулгыг багасгах боломж байгаа эсэхийг тодруулбал:</w:t>
      </w:r>
    </w:p>
    <w:p w:rsidR="00946F9F" w:rsidRDefault="00000000">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Төрийн байгууллага буюу гуравдагч этгээдэд мэдээлэл, баримт бичиг өгөх хугацааг нарийвчлан тогтоосны үндсэн дээр багасгах боломж бий.</w:t>
      </w:r>
    </w:p>
    <w:p w:rsidR="00946F9F" w:rsidRDefault="00000000">
      <w:pPr>
        <w:ind w:firstLine="720"/>
        <w:jc w:val="both"/>
        <w:rPr>
          <w:rFonts w:ascii="Arial" w:eastAsia="Arial" w:hAnsi="Arial" w:cs="Arial"/>
        </w:rPr>
      </w:pPr>
      <w:r>
        <w:rPr>
          <w:rFonts w:ascii="Arial" w:eastAsia="Arial" w:hAnsi="Arial" w:cs="Arial"/>
        </w:rPr>
        <w:t>Аргачлалын 2.7.4-д заасанчлан шинээр үүсэх үүргийг урьд байсан үүрэгтэй нэгтгэж болох эсэх:</w:t>
      </w:r>
    </w:p>
    <w:p w:rsidR="00946F9F" w:rsidRDefault="00000000">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Шинээр үүсэх үүрэг нь зөвхөн Нийтийн хэрэглээний цахилгаан дугуй, цахилгаан скүүтерийн үйлчилгээ үзүүлэгч хуулийн этгээдэд хамааруулсан үүрэг байгаа тул энэ тал дээр өөрчлөлт хийх шаардлагагүй гэж үзлээ.</w:t>
      </w:r>
    </w:p>
    <w:p w:rsidR="00946F9F" w:rsidRDefault="00000000">
      <w:pPr>
        <w:ind w:firstLine="710"/>
        <w:jc w:val="both"/>
        <w:rPr>
          <w:rFonts w:ascii="Arial" w:eastAsia="Arial" w:hAnsi="Arial" w:cs="Arial"/>
        </w:rPr>
      </w:pPr>
      <w:r>
        <w:rPr>
          <w:rFonts w:ascii="Arial" w:eastAsia="Arial" w:hAnsi="Arial" w:cs="Arial"/>
        </w:rPr>
        <w:t>Аргачлалын 2.7.5-д заасны дагуу мэдээллийг цахимаар хүргүүлэх боломжтой эсэх:</w:t>
      </w:r>
    </w:p>
    <w:p w:rsidR="00946F9F" w:rsidRDefault="00000000">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Мэдээллийг цахимаар хүргүүлэх, зардал хэмнэх боломжийн хүрээнд мэдээллийг 100 хувь цахим хэлбэрээр хүргүүлэх, бичиг баримтыг багасгах боломжтой эсэхийг нарийвчлан судлах шаардлагатай.</w:t>
      </w:r>
    </w:p>
    <w:p w:rsidR="00946F9F" w:rsidRDefault="00000000">
      <w:pPr>
        <w:ind w:firstLine="710"/>
        <w:jc w:val="both"/>
        <w:rPr>
          <w:rFonts w:ascii="Arial" w:eastAsia="Arial" w:hAnsi="Arial" w:cs="Arial"/>
        </w:rPr>
      </w:pPr>
      <w:r>
        <w:rPr>
          <w:rFonts w:ascii="Arial" w:eastAsia="Arial" w:hAnsi="Arial" w:cs="Arial"/>
        </w:rPr>
        <w:t>Аргачлалын 2.7.6-д заасанчлан мэдээллийг хүргүүлэх байгууллагын тоог багасгах боломжтой эсэх:</w:t>
      </w:r>
    </w:p>
    <w:p w:rsidR="00946F9F" w:rsidRDefault="00000000">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Нийтийн хэрэглээний цахилгаан дугуй, цахилгаан скүүтерийн үйлчилгээ үзүүлэгч хуулийн этгээд нь Зөвшөөрлийн тухай хуулийн 8.2 дугаар зүйлийн 4.6-д заасны дагуу аймаг, нийслэлийн Засаг даргад хүсэлтэй гаргах тул мэдээллийг хүргүүлэх байгууллагын тоог багасгах боломжгүй гэж үзлээ.</w:t>
      </w:r>
    </w:p>
    <w:p w:rsidR="00946F9F" w:rsidRDefault="00000000">
      <w:pPr>
        <w:ind w:firstLine="710"/>
        <w:jc w:val="both"/>
        <w:rPr>
          <w:rFonts w:ascii="Arial" w:eastAsia="Arial" w:hAnsi="Arial" w:cs="Arial"/>
        </w:rPr>
      </w:pPr>
      <w:r>
        <w:rPr>
          <w:rFonts w:ascii="Arial" w:eastAsia="Arial" w:hAnsi="Arial" w:cs="Arial"/>
        </w:rPr>
        <w:t>Аргачлалын 2.7.7-д заасан нэг цэгийн үйлчилгээ бий болгох боломжтой эсэх:</w:t>
      </w:r>
    </w:p>
    <w:p w:rsidR="00946F9F" w:rsidRDefault="00000000">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Нэг цэгийн үйлчилгээг бий болгох боломжгүй гэж дүгнэлээ.</w:t>
      </w:r>
    </w:p>
    <w:p w:rsidR="00946F9F" w:rsidRDefault="00000000">
      <w:pPr>
        <w:jc w:val="center"/>
        <w:rPr>
          <w:rFonts w:ascii="Arial" w:eastAsia="Arial" w:hAnsi="Arial" w:cs="Arial"/>
          <w:b/>
        </w:rPr>
      </w:pPr>
      <w:r>
        <w:rPr>
          <w:rFonts w:ascii="Arial" w:eastAsia="Arial" w:hAnsi="Arial" w:cs="Arial"/>
          <w:b/>
        </w:rPr>
        <w:t>Нэмэлт зардлыг тооцох:</w:t>
      </w:r>
    </w:p>
    <w:p w:rsidR="00946F9F" w:rsidRDefault="00000000">
      <w:pPr>
        <w:ind w:firstLine="720"/>
        <w:jc w:val="both"/>
        <w:rPr>
          <w:rFonts w:ascii="Arial" w:eastAsia="Arial" w:hAnsi="Arial" w:cs="Arial"/>
        </w:rPr>
      </w:pPr>
      <w:r>
        <w:rPr>
          <w:rFonts w:ascii="Arial" w:eastAsia="Arial" w:hAnsi="Arial" w:cs="Arial"/>
        </w:rPr>
        <w:t xml:space="preserve">Хуулийн этгээд хуулийн төсөлд тусгасан үүргийг биелүүлэхийн тулд зайлшгүй төлөхөөр хууль тогтоомжоор тогтоосон төлбөр хураамж, шинээр худалдан авах шаардлагатай тоног төхөөрөмж, материал зэрэгтэй холбогдон үүсч, шууд гарах зардлыг </w:t>
      </w:r>
      <w:r>
        <w:rPr>
          <w:rFonts w:ascii="Arial" w:eastAsia="Arial" w:hAnsi="Arial" w:cs="Arial"/>
          <w:b/>
        </w:rPr>
        <w:t>нэмэлт зардал</w:t>
      </w:r>
      <w:r>
        <w:rPr>
          <w:rFonts w:ascii="Arial" w:eastAsia="Arial" w:hAnsi="Arial" w:cs="Arial"/>
        </w:rPr>
        <w:t xml:space="preserve"> гэсэн ойлголтод хамруулж ойлгодог болно. </w:t>
      </w:r>
    </w:p>
    <w:p w:rsidR="00946F9F" w:rsidRDefault="00000000">
      <w:pPr>
        <w:jc w:val="both"/>
        <w:rPr>
          <w:rFonts w:ascii="Arial" w:eastAsia="Arial" w:hAnsi="Arial" w:cs="Arial"/>
        </w:rPr>
      </w:pPr>
      <w:r>
        <w:rPr>
          <w:rFonts w:ascii="Arial" w:eastAsia="Arial" w:hAnsi="Arial" w:cs="Arial"/>
        </w:rPr>
        <w:tab/>
        <w:t>Өөрийн эзэмшлийн цахилгаан дугуй, цахилгаан скүүтерийг тогтоосон хугацаанд техникийн хяналтын үзлэгт хамруулах үүрэгтэй холбогдуулан нэмэлт зардал эсэхэд дараах тооцоог хийв. Үүнд:</w:t>
      </w:r>
    </w:p>
    <w:p w:rsidR="00946F9F" w:rsidRDefault="00000000">
      <w:pPr>
        <w:ind w:firstLine="720"/>
        <w:jc w:val="both"/>
        <w:rPr>
          <w:rFonts w:ascii="Arial" w:eastAsia="Arial" w:hAnsi="Arial" w:cs="Arial"/>
        </w:rPr>
      </w:pPr>
      <w:r>
        <w:rPr>
          <w:rFonts w:ascii="Arial" w:eastAsia="Arial" w:hAnsi="Arial" w:cs="Arial"/>
        </w:rPr>
        <w:t>1. Техникийн хяналтын үзлэгт Иргэн, хуулийн этгээд нь тээврийн хэрэгслийг жилд нэг удаа тогтсон хугацаанд хамруулах үүрэгтэй.</w:t>
      </w:r>
      <w:r>
        <w:rPr>
          <w:rFonts w:ascii="Arial" w:eastAsia="Arial" w:hAnsi="Arial" w:cs="Arial"/>
          <w:vertAlign w:val="superscript"/>
        </w:rPr>
        <w:footnoteReference w:id="6"/>
      </w:r>
    </w:p>
    <w:p w:rsidR="00946F9F" w:rsidRDefault="00000000">
      <w:pPr>
        <w:jc w:val="center"/>
        <w:rPr>
          <w:rFonts w:ascii="Arial" w:eastAsia="Arial" w:hAnsi="Arial" w:cs="Arial"/>
          <w:b/>
        </w:rPr>
      </w:pPr>
      <w:r>
        <w:rPr>
          <w:rFonts w:ascii="Arial" w:eastAsia="Arial" w:hAnsi="Arial" w:cs="Arial"/>
          <w:b/>
        </w:rPr>
        <w:t>Автотээврийн хэрэгслийг техникийн хяналтын үзлэгт оруулах давтамж, оношилгооны төлбөрийн хэмжээ</w:t>
      </w:r>
      <w:r>
        <w:rPr>
          <w:rFonts w:ascii="Arial" w:eastAsia="Arial" w:hAnsi="Arial" w:cs="Arial"/>
          <w:b/>
          <w:vertAlign w:val="superscript"/>
        </w:rPr>
        <w:footnoteReference w:id="7"/>
      </w:r>
    </w:p>
    <w:tbl>
      <w:tblPr>
        <w:tblStyle w:val="a2"/>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8"/>
        <w:gridCol w:w="1890"/>
        <w:gridCol w:w="2039"/>
        <w:gridCol w:w="2707"/>
      </w:tblGrid>
      <w:tr w:rsidR="00946F9F">
        <w:tc>
          <w:tcPr>
            <w:tcW w:w="2708" w:type="dxa"/>
            <w:vAlign w:val="center"/>
          </w:tcPr>
          <w:p w:rsidR="00946F9F" w:rsidRDefault="00000000">
            <w:pPr>
              <w:jc w:val="center"/>
              <w:rPr>
                <w:rFonts w:ascii="Arial" w:eastAsia="Arial" w:hAnsi="Arial" w:cs="Arial"/>
              </w:rPr>
            </w:pPr>
            <w:r>
              <w:rPr>
                <w:rFonts w:ascii="Arial" w:eastAsia="Arial" w:hAnsi="Arial" w:cs="Arial"/>
                <w:b/>
                <w:color w:val="333333"/>
              </w:rPr>
              <w:t>Тээврийн хэрэгслийн төрөл</w:t>
            </w:r>
          </w:p>
        </w:tc>
        <w:tc>
          <w:tcPr>
            <w:tcW w:w="1890" w:type="dxa"/>
            <w:vAlign w:val="center"/>
          </w:tcPr>
          <w:p w:rsidR="00946F9F" w:rsidRDefault="00000000">
            <w:pPr>
              <w:pBdr>
                <w:top w:val="nil"/>
                <w:left w:val="nil"/>
                <w:bottom w:val="nil"/>
                <w:right w:val="nil"/>
                <w:between w:val="nil"/>
              </w:pBdr>
              <w:jc w:val="center"/>
              <w:rPr>
                <w:rFonts w:ascii="Arial" w:eastAsia="Arial" w:hAnsi="Arial" w:cs="Arial"/>
                <w:color w:val="333333"/>
              </w:rPr>
            </w:pPr>
            <w:r>
              <w:rPr>
                <w:rFonts w:ascii="Arial" w:eastAsia="Arial" w:hAnsi="Arial" w:cs="Arial"/>
                <w:b/>
                <w:color w:val="333333"/>
              </w:rPr>
              <w:t>Тухайн жилд үзлэгт оруулах давтамж</w:t>
            </w:r>
          </w:p>
        </w:tc>
        <w:tc>
          <w:tcPr>
            <w:tcW w:w="2039" w:type="dxa"/>
            <w:vAlign w:val="center"/>
          </w:tcPr>
          <w:p w:rsidR="00946F9F" w:rsidRDefault="00000000">
            <w:pPr>
              <w:pBdr>
                <w:top w:val="nil"/>
                <w:left w:val="nil"/>
                <w:bottom w:val="nil"/>
                <w:right w:val="nil"/>
                <w:between w:val="nil"/>
              </w:pBdr>
              <w:jc w:val="center"/>
              <w:rPr>
                <w:rFonts w:ascii="Arial" w:eastAsia="Arial" w:hAnsi="Arial" w:cs="Arial"/>
                <w:color w:val="333333"/>
              </w:rPr>
            </w:pPr>
            <w:r>
              <w:rPr>
                <w:rFonts w:ascii="Arial" w:eastAsia="Arial" w:hAnsi="Arial" w:cs="Arial"/>
                <w:b/>
                <w:color w:val="333333"/>
              </w:rPr>
              <w:t>Нэг удаагийн төлбөрийн хэмжээ</w:t>
            </w:r>
          </w:p>
          <w:p w:rsidR="00946F9F" w:rsidRDefault="00000000">
            <w:pPr>
              <w:pBdr>
                <w:top w:val="nil"/>
                <w:left w:val="nil"/>
                <w:bottom w:val="nil"/>
                <w:right w:val="nil"/>
                <w:between w:val="nil"/>
              </w:pBdr>
              <w:jc w:val="center"/>
              <w:rPr>
                <w:rFonts w:ascii="Arial" w:eastAsia="Arial" w:hAnsi="Arial" w:cs="Arial"/>
                <w:color w:val="333333"/>
              </w:rPr>
            </w:pPr>
            <w:r>
              <w:rPr>
                <w:rFonts w:ascii="Arial" w:eastAsia="Arial" w:hAnsi="Arial" w:cs="Arial"/>
                <w:b/>
                <w:color w:val="333333"/>
              </w:rPr>
              <w:t>(төгрөгөөр)</w:t>
            </w:r>
          </w:p>
        </w:tc>
        <w:tc>
          <w:tcPr>
            <w:tcW w:w="2707" w:type="dxa"/>
            <w:vAlign w:val="center"/>
          </w:tcPr>
          <w:p w:rsidR="00946F9F" w:rsidRDefault="00000000">
            <w:pPr>
              <w:jc w:val="center"/>
              <w:rPr>
                <w:rFonts w:ascii="Arial" w:eastAsia="Arial" w:hAnsi="Arial" w:cs="Arial"/>
              </w:rPr>
            </w:pPr>
            <w:r>
              <w:rPr>
                <w:rFonts w:ascii="Arial" w:eastAsia="Arial" w:hAnsi="Arial" w:cs="Arial"/>
                <w:b/>
                <w:color w:val="333333"/>
              </w:rPr>
              <w:t>Тээврийн хэрэгслийн төрөл</w:t>
            </w:r>
          </w:p>
        </w:tc>
      </w:tr>
      <w:tr w:rsidR="00946F9F">
        <w:tc>
          <w:tcPr>
            <w:tcW w:w="2708" w:type="dxa"/>
          </w:tcPr>
          <w:p w:rsidR="00946F9F" w:rsidRDefault="00000000">
            <w:pPr>
              <w:jc w:val="center"/>
              <w:rPr>
                <w:rFonts w:ascii="Arial" w:eastAsia="Arial" w:hAnsi="Arial" w:cs="Arial"/>
              </w:rPr>
            </w:pPr>
            <w:r>
              <w:rPr>
                <w:rFonts w:ascii="Arial" w:eastAsia="Arial" w:hAnsi="Arial" w:cs="Arial"/>
                <w:color w:val="333333"/>
              </w:rPr>
              <w:t>Суудлын автомашин</w:t>
            </w:r>
          </w:p>
        </w:tc>
        <w:tc>
          <w:tcPr>
            <w:tcW w:w="1890" w:type="dxa"/>
          </w:tcPr>
          <w:p w:rsidR="00946F9F" w:rsidRDefault="00000000">
            <w:pPr>
              <w:jc w:val="center"/>
              <w:rPr>
                <w:rFonts w:ascii="Arial" w:eastAsia="Arial" w:hAnsi="Arial" w:cs="Arial"/>
              </w:rPr>
            </w:pPr>
            <w:r>
              <w:rPr>
                <w:rFonts w:ascii="Arial" w:eastAsia="Arial" w:hAnsi="Arial" w:cs="Arial"/>
                <w:color w:val="333333"/>
              </w:rPr>
              <w:t>1</w:t>
            </w:r>
          </w:p>
        </w:tc>
        <w:tc>
          <w:tcPr>
            <w:tcW w:w="2039" w:type="dxa"/>
          </w:tcPr>
          <w:p w:rsidR="00946F9F" w:rsidRDefault="00000000">
            <w:pPr>
              <w:jc w:val="center"/>
              <w:rPr>
                <w:rFonts w:ascii="Arial" w:eastAsia="Arial" w:hAnsi="Arial" w:cs="Arial"/>
              </w:rPr>
            </w:pPr>
            <w:r>
              <w:rPr>
                <w:rFonts w:ascii="Arial" w:eastAsia="Arial" w:hAnsi="Arial" w:cs="Arial"/>
                <w:color w:val="333333"/>
              </w:rPr>
              <w:t>20000</w:t>
            </w:r>
          </w:p>
        </w:tc>
        <w:tc>
          <w:tcPr>
            <w:tcW w:w="2707" w:type="dxa"/>
          </w:tcPr>
          <w:p w:rsidR="00946F9F" w:rsidRDefault="00000000">
            <w:pPr>
              <w:jc w:val="center"/>
              <w:rPr>
                <w:rFonts w:ascii="Arial" w:eastAsia="Arial" w:hAnsi="Arial" w:cs="Arial"/>
              </w:rPr>
            </w:pPr>
            <w:r>
              <w:rPr>
                <w:rFonts w:ascii="Arial" w:eastAsia="Arial" w:hAnsi="Arial" w:cs="Arial"/>
                <w:color w:val="333333"/>
              </w:rPr>
              <w:t>Суудлын автомашин</w:t>
            </w:r>
          </w:p>
        </w:tc>
      </w:tr>
      <w:tr w:rsidR="00946F9F">
        <w:tc>
          <w:tcPr>
            <w:tcW w:w="2708" w:type="dxa"/>
          </w:tcPr>
          <w:p w:rsidR="00946F9F" w:rsidRDefault="00000000">
            <w:pPr>
              <w:jc w:val="center"/>
              <w:rPr>
                <w:rFonts w:ascii="Arial" w:eastAsia="Arial" w:hAnsi="Arial" w:cs="Arial"/>
              </w:rPr>
            </w:pPr>
            <w:r>
              <w:rPr>
                <w:rFonts w:ascii="Arial" w:eastAsia="Arial" w:hAnsi="Arial" w:cs="Arial"/>
                <w:color w:val="333333"/>
              </w:rPr>
              <w:t>Ачааны автомашин</w:t>
            </w:r>
          </w:p>
        </w:tc>
        <w:tc>
          <w:tcPr>
            <w:tcW w:w="1890" w:type="dxa"/>
          </w:tcPr>
          <w:p w:rsidR="00946F9F" w:rsidRDefault="00000000">
            <w:pPr>
              <w:jc w:val="center"/>
              <w:rPr>
                <w:rFonts w:ascii="Arial" w:eastAsia="Arial" w:hAnsi="Arial" w:cs="Arial"/>
              </w:rPr>
            </w:pPr>
            <w:r>
              <w:rPr>
                <w:rFonts w:ascii="Arial" w:eastAsia="Arial" w:hAnsi="Arial" w:cs="Arial"/>
                <w:color w:val="333333"/>
              </w:rPr>
              <w:t>1</w:t>
            </w:r>
          </w:p>
        </w:tc>
        <w:tc>
          <w:tcPr>
            <w:tcW w:w="2039" w:type="dxa"/>
          </w:tcPr>
          <w:p w:rsidR="00946F9F" w:rsidRDefault="00000000">
            <w:pPr>
              <w:jc w:val="center"/>
              <w:rPr>
                <w:rFonts w:ascii="Arial" w:eastAsia="Arial" w:hAnsi="Arial" w:cs="Arial"/>
              </w:rPr>
            </w:pPr>
            <w:r>
              <w:rPr>
                <w:rFonts w:ascii="Arial" w:eastAsia="Arial" w:hAnsi="Arial" w:cs="Arial"/>
                <w:color w:val="333333"/>
              </w:rPr>
              <w:t>30000</w:t>
            </w:r>
          </w:p>
        </w:tc>
        <w:tc>
          <w:tcPr>
            <w:tcW w:w="2707" w:type="dxa"/>
          </w:tcPr>
          <w:p w:rsidR="00946F9F" w:rsidRDefault="00000000">
            <w:pPr>
              <w:jc w:val="center"/>
              <w:rPr>
                <w:rFonts w:ascii="Arial" w:eastAsia="Arial" w:hAnsi="Arial" w:cs="Arial"/>
              </w:rPr>
            </w:pPr>
            <w:r>
              <w:rPr>
                <w:rFonts w:ascii="Arial" w:eastAsia="Arial" w:hAnsi="Arial" w:cs="Arial"/>
                <w:color w:val="333333"/>
              </w:rPr>
              <w:t>Ачааны автомашин</w:t>
            </w:r>
          </w:p>
        </w:tc>
      </w:tr>
      <w:tr w:rsidR="00946F9F">
        <w:tc>
          <w:tcPr>
            <w:tcW w:w="2708" w:type="dxa"/>
          </w:tcPr>
          <w:p w:rsidR="00946F9F" w:rsidRDefault="00000000">
            <w:pPr>
              <w:jc w:val="center"/>
              <w:rPr>
                <w:rFonts w:ascii="Arial" w:eastAsia="Arial" w:hAnsi="Arial" w:cs="Arial"/>
              </w:rPr>
            </w:pPr>
            <w:r>
              <w:rPr>
                <w:rFonts w:ascii="Arial" w:eastAsia="Arial" w:hAnsi="Arial" w:cs="Arial"/>
                <w:color w:val="333333"/>
              </w:rPr>
              <w:t>Автобус</w:t>
            </w:r>
          </w:p>
        </w:tc>
        <w:tc>
          <w:tcPr>
            <w:tcW w:w="1890" w:type="dxa"/>
          </w:tcPr>
          <w:p w:rsidR="00946F9F" w:rsidRDefault="00000000">
            <w:pPr>
              <w:jc w:val="center"/>
              <w:rPr>
                <w:rFonts w:ascii="Arial" w:eastAsia="Arial" w:hAnsi="Arial" w:cs="Arial"/>
              </w:rPr>
            </w:pPr>
            <w:r>
              <w:rPr>
                <w:rFonts w:ascii="Arial" w:eastAsia="Arial" w:hAnsi="Arial" w:cs="Arial"/>
                <w:color w:val="333333"/>
              </w:rPr>
              <w:t>1</w:t>
            </w:r>
          </w:p>
        </w:tc>
        <w:tc>
          <w:tcPr>
            <w:tcW w:w="2039" w:type="dxa"/>
          </w:tcPr>
          <w:p w:rsidR="00946F9F" w:rsidRDefault="00000000">
            <w:pPr>
              <w:jc w:val="center"/>
              <w:rPr>
                <w:rFonts w:ascii="Arial" w:eastAsia="Arial" w:hAnsi="Arial" w:cs="Arial"/>
              </w:rPr>
            </w:pPr>
            <w:r>
              <w:rPr>
                <w:rFonts w:ascii="Arial" w:eastAsia="Arial" w:hAnsi="Arial" w:cs="Arial"/>
                <w:color w:val="333333"/>
              </w:rPr>
              <w:t>30000</w:t>
            </w:r>
          </w:p>
        </w:tc>
        <w:tc>
          <w:tcPr>
            <w:tcW w:w="2707" w:type="dxa"/>
          </w:tcPr>
          <w:p w:rsidR="00946F9F" w:rsidRDefault="00000000">
            <w:pPr>
              <w:jc w:val="center"/>
              <w:rPr>
                <w:rFonts w:ascii="Arial" w:eastAsia="Arial" w:hAnsi="Arial" w:cs="Arial"/>
              </w:rPr>
            </w:pPr>
            <w:r>
              <w:rPr>
                <w:rFonts w:ascii="Arial" w:eastAsia="Arial" w:hAnsi="Arial" w:cs="Arial"/>
                <w:color w:val="333333"/>
              </w:rPr>
              <w:t>Автобус</w:t>
            </w:r>
          </w:p>
        </w:tc>
      </w:tr>
      <w:tr w:rsidR="00946F9F">
        <w:trPr>
          <w:trHeight w:val="1264"/>
        </w:trPr>
        <w:tc>
          <w:tcPr>
            <w:tcW w:w="2708" w:type="dxa"/>
          </w:tcPr>
          <w:p w:rsidR="00946F9F" w:rsidRDefault="00000000">
            <w:pPr>
              <w:jc w:val="center"/>
              <w:rPr>
                <w:rFonts w:ascii="Arial" w:eastAsia="Arial" w:hAnsi="Arial" w:cs="Arial"/>
              </w:rPr>
            </w:pPr>
            <w:r>
              <w:rPr>
                <w:rFonts w:ascii="Arial" w:eastAsia="Arial" w:hAnsi="Arial" w:cs="Arial"/>
                <w:color w:val="333333"/>
              </w:rPr>
              <w:t>Нийтийн болон жуулчны, ажилчдын, сургуулийн хүүхдийн автобус</w:t>
            </w:r>
          </w:p>
        </w:tc>
        <w:tc>
          <w:tcPr>
            <w:tcW w:w="1890" w:type="dxa"/>
          </w:tcPr>
          <w:p w:rsidR="00946F9F" w:rsidRDefault="00000000">
            <w:pPr>
              <w:jc w:val="center"/>
              <w:rPr>
                <w:rFonts w:ascii="Arial" w:eastAsia="Arial" w:hAnsi="Arial" w:cs="Arial"/>
              </w:rPr>
            </w:pPr>
            <w:r>
              <w:rPr>
                <w:rFonts w:ascii="Arial" w:eastAsia="Arial" w:hAnsi="Arial" w:cs="Arial"/>
                <w:color w:val="333333"/>
              </w:rPr>
              <w:t>2</w:t>
            </w:r>
          </w:p>
        </w:tc>
        <w:tc>
          <w:tcPr>
            <w:tcW w:w="2039" w:type="dxa"/>
          </w:tcPr>
          <w:p w:rsidR="00946F9F" w:rsidRDefault="00000000">
            <w:pPr>
              <w:jc w:val="center"/>
              <w:rPr>
                <w:rFonts w:ascii="Arial" w:eastAsia="Arial" w:hAnsi="Arial" w:cs="Arial"/>
              </w:rPr>
            </w:pPr>
            <w:r>
              <w:rPr>
                <w:rFonts w:ascii="Arial" w:eastAsia="Arial" w:hAnsi="Arial" w:cs="Arial"/>
                <w:color w:val="333333"/>
              </w:rPr>
              <w:t>30000</w:t>
            </w:r>
          </w:p>
        </w:tc>
        <w:tc>
          <w:tcPr>
            <w:tcW w:w="2707" w:type="dxa"/>
          </w:tcPr>
          <w:p w:rsidR="00946F9F" w:rsidRDefault="00000000">
            <w:pPr>
              <w:jc w:val="center"/>
              <w:rPr>
                <w:rFonts w:ascii="Arial" w:eastAsia="Arial" w:hAnsi="Arial" w:cs="Arial"/>
              </w:rPr>
            </w:pPr>
            <w:r>
              <w:rPr>
                <w:rFonts w:ascii="Arial" w:eastAsia="Arial" w:hAnsi="Arial" w:cs="Arial"/>
                <w:color w:val="333333"/>
              </w:rPr>
              <w:t>Нийтийн болон жуулчны, ажилчдын, сургуулийн хүүхдийн автобус</w:t>
            </w:r>
          </w:p>
        </w:tc>
      </w:tr>
      <w:tr w:rsidR="00946F9F">
        <w:tc>
          <w:tcPr>
            <w:tcW w:w="2708" w:type="dxa"/>
          </w:tcPr>
          <w:p w:rsidR="00946F9F" w:rsidRDefault="00000000">
            <w:pPr>
              <w:jc w:val="center"/>
              <w:rPr>
                <w:rFonts w:ascii="Arial" w:eastAsia="Arial" w:hAnsi="Arial" w:cs="Arial"/>
              </w:rPr>
            </w:pPr>
            <w:r>
              <w:rPr>
                <w:rFonts w:ascii="Arial" w:eastAsia="Arial" w:hAnsi="Arial" w:cs="Arial"/>
                <w:color w:val="333333"/>
              </w:rPr>
              <w:t>Такси</w:t>
            </w:r>
          </w:p>
        </w:tc>
        <w:tc>
          <w:tcPr>
            <w:tcW w:w="1890" w:type="dxa"/>
          </w:tcPr>
          <w:p w:rsidR="00946F9F" w:rsidRDefault="00000000">
            <w:pPr>
              <w:jc w:val="center"/>
              <w:rPr>
                <w:rFonts w:ascii="Arial" w:eastAsia="Arial" w:hAnsi="Arial" w:cs="Arial"/>
              </w:rPr>
            </w:pPr>
            <w:r>
              <w:rPr>
                <w:rFonts w:ascii="Arial" w:eastAsia="Arial" w:hAnsi="Arial" w:cs="Arial"/>
                <w:color w:val="333333"/>
              </w:rPr>
              <w:t>2</w:t>
            </w:r>
          </w:p>
        </w:tc>
        <w:tc>
          <w:tcPr>
            <w:tcW w:w="2039" w:type="dxa"/>
          </w:tcPr>
          <w:p w:rsidR="00946F9F" w:rsidRDefault="00000000">
            <w:pPr>
              <w:jc w:val="center"/>
              <w:rPr>
                <w:rFonts w:ascii="Arial" w:eastAsia="Arial" w:hAnsi="Arial" w:cs="Arial"/>
              </w:rPr>
            </w:pPr>
            <w:r>
              <w:rPr>
                <w:rFonts w:ascii="Arial" w:eastAsia="Arial" w:hAnsi="Arial" w:cs="Arial"/>
                <w:color w:val="333333"/>
              </w:rPr>
              <w:t>20000</w:t>
            </w:r>
          </w:p>
        </w:tc>
        <w:tc>
          <w:tcPr>
            <w:tcW w:w="2707" w:type="dxa"/>
          </w:tcPr>
          <w:p w:rsidR="00946F9F" w:rsidRDefault="00000000">
            <w:pPr>
              <w:jc w:val="center"/>
              <w:rPr>
                <w:rFonts w:ascii="Arial" w:eastAsia="Arial" w:hAnsi="Arial" w:cs="Arial"/>
              </w:rPr>
            </w:pPr>
            <w:r>
              <w:rPr>
                <w:rFonts w:ascii="Arial" w:eastAsia="Arial" w:hAnsi="Arial" w:cs="Arial"/>
                <w:color w:val="333333"/>
              </w:rPr>
              <w:t>Такси</w:t>
            </w:r>
          </w:p>
        </w:tc>
      </w:tr>
      <w:tr w:rsidR="00946F9F">
        <w:tc>
          <w:tcPr>
            <w:tcW w:w="2708" w:type="dxa"/>
          </w:tcPr>
          <w:p w:rsidR="00946F9F" w:rsidRDefault="00000000">
            <w:pPr>
              <w:jc w:val="center"/>
              <w:rPr>
                <w:rFonts w:ascii="Arial" w:eastAsia="Arial" w:hAnsi="Arial" w:cs="Arial"/>
              </w:rPr>
            </w:pPr>
            <w:r>
              <w:rPr>
                <w:rFonts w:ascii="Arial" w:eastAsia="Arial" w:hAnsi="Arial" w:cs="Arial"/>
                <w:color w:val="333333"/>
              </w:rPr>
              <w:lastRenderedPageBreak/>
              <w:t>Трактор, механизм</w:t>
            </w:r>
          </w:p>
        </w:tc>
        <w:tc>
          <w:tcPr>
            <w:tcW w:w="1890" w:type="dxa"/>
          </w:tcPr>
          <w:p w:rsidR="00946F9F" w:rsidRDefault="00000000">
            <w:pPr>
              <w:jc w:val="center"/>
              <w:rPr>
                <w:rFonts w:ascii="Arial" w:eastAsia="Arial" w:hAnsi="Arial" w:cs="Arial"/>
              </w:rPr>
            </w:pPr>
            <w:r>
              <w:rPr>
                <w:rFonts w:ascii="Arial" w:eastAsia="Arial" w:hAnsi="Arial" w:cs="Arial"/>
                <w:color w:val="333333"/>
              </w:rPr>
              <w:t>1</w:t>
            </w:r>
          </w:p>
        </w:tc>
        <w:tc>
          <w:tcPr>
            <w:tcW w:w="2039" w:type="dxa"/>
          </w:tcPr>
          <w:p w:rsidR="00946F9F" w:rsidRDefault="00000000">
            <w:pPr>
              <w:jc w:val="center"/>
              <w:rPr>
                <w:rFonts w:ascii="Arial" w:eastAsia="Arial" w:hAnsi="Arial" w:cs="Arial"/>
              </w:rPr>
            </w:pPr>
            <w:r>
              <w:rPr>
                <w:rFonts w:ascii="Arial" w:eastAsia="Arial" w:hAnsi="Arial" w:cs="Arial"/>
                <w:color w:val="333333"/>
              </w:rPr>
              <w:t>30000</w:t>
            </w:r>
          </w:p>
        </w:tc>
        <w:tc>
          <w:tcPr>
            <w:tcW w:w="2707" w:type="dxa"/>
          </w:tcPr>
          <w:p w:rsidR="00946F9F" w:rsidRDefault="00000000">
            <w:pPr>
              <w:jc w:val="center"/>
              <w:rPr>
                <w:rFonts w:ascii="Arial" w:eastAsia="Arial" w:hAnsi="Arial" w:cs="Arial"/>
              </w:rPr>
            </w:pPr>
            <w:r>
              <w:rPr>
                <w:rFonts w:ascii="Arial" w:eastAsia="Arial" w:hAnsi="Arial" w:cs="Arial"/>
                <w:color w:val="333333"/>
              </w:rPr>
              <w:t>Трактор, механизм</w:t>
            </w:r>
          </w:p>
        </w:tc>
      </w:tr>
      <w:tr w:rsidR="00946F9F">
        <w:tc>
          <w:tcPr>
            <w:tcW w:w="2708" w:type="dxa"/>
          </w:tcPr>
          <w:p w:rsidR="00946F9F" w:rsidRDefault="00000000">
            <w:pPr>
              <w:jc w:val="center"/>
              <w:rPr>
                <w:rFonts w:ascii="Arial" w:eastAsia="Arial" w:hAnsi="Arial" w:cs="Arial"/>
              </w:rPr>
            </w:pPr>
            <w:r>
              <w:rPr>
                <w:rFonts w:ascii="Arial" w:eastAsia="Arial" w:hAnsi="Arial" w:cs="Arial"/>
                <w:color w:val="333333"/>
              </w:rPr>
              <w:t>Чиргүүл</w:t>
            </w:r>
          </w:p>
        </w:tc>
        <w:tc>
          <w:tcPr>
            <w:tcW w:w="1890" w:type="dxa"/>
          </w:tcPr>
          <w:p w:rsidR="00946F9F" w:rsidRDefault="00000000">
            <w:pPr>
              <w:jc w:val="center"/>
              <w:rPr>
                <w:rFonts w:ascii="Arial" w:eastAsia="Arial" w:hAnsi="Arial" w:cs="Arial"/>
              </w:rPr>
            </w:pPr>
            <w:r>
              <w:rPr>
                <w:rFonts w:ascii="Arial" w:eastAsia="Arial" w:hAnsi="Arial" w:cs="Arial"/>
                <w:color w:val="333333"/>
              </w:rPr>
              <w:t>1</w:t>
            </w:r>
          </w:p>
        </w:tc>
        <w:tc>
          <w:tcPr>
            <w:tcW w:w="2039" w:type="dxa"/>
          </w:tcPr>
          <w:p w:rsidR="00946F9F" w:rsidRDefault="00000000">
            <w:pPr>
              <w:jc w:val="center"/>
              <w:rPr>
                <w:rFonts w:ascii="Arial" w:eastAsia="Arial" w:hAnsi="Arial" w:cs="Arial"/>
              </w:rPr>
            </w:pPr>
            <w:r>
              <w:rPr>
                <w:rFonts w:ascii="Arial" w:eastAsia="Arial" w:hAnsi="Arial" w:cs="Arial"/>
                <w:color w:val="333333"/>
              </w:rPr>
              <w:t>10000</w:t>
            </w:r>
          </w:p>
        </w:tc>
        <w:tc>
          <w:tcPr>
            <w:tcW w:w="2707" w:type="dxa"/>
          </w:tcPr>
          <w:p w:rsidR="00946F9F" w:rsidRDefault="00000000">
            <w:pPr>
              <w:jc w:val="center"/>
              <w:rPr>
                <w:rFonts w:ascii="Arial" w:eastAsia="Arial" w:hAnsi="Arial" w:cs="Arial"/>
              </w:rPr>
            </w:pPr>
            <w:r>
              <w:rPr>
                <w:rFonts w:ascii="Arial" w:eastAsia="Arial" w:hAnsi="Arial" w:cs="Arial"/>
                <w:color w:val="333333"/>
              </w:rPr>
              <w:t>Чиргүүл</w:t>
            </w:r>
          </w:p>
        </w:tc>
      </w:tr>
      <w:tr w:rsidR="00946F9F">
        <w:tc>
          <w:tcPr>
            <w:tcW w:w="2708" w:type="dxa"/>
          </w:tcPr>
          <w:p w:rsidR="00946F9F" w:rsidRDefault="00000000">
            <w:pPr>
              <w:jc w:val="center"/>
              <w:rPr>
                <w:rFonts w:ascii="Arial" w:eastAsia="Arial" w:hAnsi="Arial" w:cs="Arial"/>
              </w:rPr>
            </w:pPr>
            <w:r>
              <w:rPr>
                <w:rFonts w:ascii="Arial" w:eastAsia="Arial" w:hAnsi="Arial" w:cs="Arial"/>
                <w:color w:val="333333"/>
              </w:rPr>
              <w:t>Мотоцикл</w:t>
            </w:r>
          </w:p>
        </w:tc>
        <w:tc>
          <w:tcPr>
            <w:tcW w:w="1890" w:type="dxa"/>
          </w:tcPr>
          <w:p w:rsidR="00946F9F" w:rsidRDefault="00000000">
            <w:pPr>
              <w:jc w:val="center"/>
              <w:rPr>
                <w:rFonts w:ascii="Arial" w:eastAsia="Arial" w:hAnsi="Arial" w:cs="Arial"/>
              </w:rPr>
            </w:pPr>
            <w:r>
              <w:rPr>
                <w:rFonts w:ascii="Arial" w:eastAsia="Arial" w:hAnsi="Arial" w:cs="Arial"/>
                <w:color w:val="333333"/>
              </w:rPr>
              <w:t>1</w:t>
            </w:r>
          </w:p>
        </w:tc>
        <w:tc>
          <w:tcPr>
            <w:tcW w:w="2039" w:type="dxa"/>
          </w:tcPr>
          <w:p w:rsidR="00946F9F" w:rsidRDefault="00000000">
            <w:pPr>
              <w:jc w:val="center"/>
              <w:rPr>
                <w:rFonts w:ascii="Arial" w:eastAsia="Arial" w:hAnsi="Arial" w:cs="Arial"/>
              </w:rPr>
            </w:pPr>
            <w:r>
              <w:rPr>
                <w:rFonts w:ascii="Arial" w:eastAsia="Arial" w:hAnsi="Arial" w:cs="Arial"/>
                <w:color w:val="333333"/>
              </w:rPr>
              <w:t>10000</w:t>
            </w:r>
          </w:p>
        </w:tc>
        <w:tc>
          <w:tcPr>
            <w:tcW w:w="2707" w:type="dxa"/>
          </w:tcPr>
          <w:p w:rsidR="00946F9F" w:rsidRDefault="00000000">
            <w:pPr>
              <w:jc w:val="center"/>
              <w:rPr>
                <w:rFonts w:ascii="Arial" w:eastAsia="Arial" w:hAnsi="Arial" w:cs="Arial"/>
              </w:rPr>
            </w:pPr>
            <w:r>
              <w:rPr>
                <w:rFonts w:ascii="Arial" w:eastAsia="Arial" w:hAnsi="Arial" w:cs="Arial"/>
                <w:color w:val="333333"/>
              </w:rPr>
              <w:t>Мотоцикл</w:t>
            </w:r>
          </w:p>
        </w:tc>
      </w:tr>
    </w:tbl>
    <w:p w:rsidR="00946F9F" w:rsidRDefault="00946F9F">
      <w:pPr>
        <w:ind w:firstLine="720"/>
        <w:jc w:val="both"/>
        <w:rPr>
          <w:rFonts w:ascii="Arial" w:eastAsia="Arial" w:hAnsi="Arial" w:cs="Arial"/>
          <w:b/>
        </w:rPr>
      </w:pPr>
    </w:p>
    <w:p w:rsidR="00946F9F" w:rsidRDefault="00000000">
      <w:pPr>
        <w:ind w:firstLine="720"/>
        <w:jc w:val="both"/>
        <w:rPr>
          <w:rFonts w:ascii="Arial" w:eastAsia="Arial" w:hAnsi="Arial" w:cs="Arial"/>
        </w:rPr>
      </w:pPr>
      <w:r>
        <w:rPr>
          <w:rFonts w:ascii="Arial" w:eastAsia="Arial" w:hAnsi="Arial" w:cs="Arial"/>
        </w:rPr>
        <w:t>Нийтийн хэрэглээний цахилгаан дугуй, цахилгаан скүүтерийн үйлчилгээ үзүүлэгч хуулийн этгээд нь нэг жилд нэг цахилгаан дугуй, цахилгаан скүүтерийг 10,000 төгрөг /ойролцоо үнээр тооцоолов/-өөр тээврийн техникийн хяналтын үзлэгт хамруулахаар байна.</w:t>
      </w:r>
    </w:p>
    <w:p w:rsidR="00946F9F" w:rsidRDefault="00000000">
      <w:pPr>
        <w:ind w:firstLine="720"/>
        <w:jc w:val="both"/>
        <w:rPr>
          <w:rFonts w:ascii="Arial" w:eastAsia="Arial" w:hAnsi="Arial" w:cs="Arial"/>
        </w:rPr>
      </w:pPr>
      <w:r>
        <w:rPr>
          <w:rFonts w:ascii="Arial" w:eastAsia="Arial" w:hAnsi="Arial" w:cs="Arial"/>
        </w:rPr>
        <w:t>Тодруулбал, Скүүтерийн үйлчилгээ үзүүлэгч хуулийн этгээдээс “Жет”-ийн скүүтер 6000, “Табо” скүүтер 700 ширхэг хэрэглэгчдэд хүрч байгаа гэсэн тоо байна.</w:t>
      </w:r>
      <w:r>
        <w:rPr>
          <w:rFonts w:ascii="Arial" w:eastAsia="Arial" w:hAnsi="Arial" w:cs="Arial"/>
          <w:vertAlign w:val="superscript"/>
        </w:rPr>
        <w:footnoteReference w:id="8"/>
      </w:r>
      <w:r>
        <w:rPr>
          <w:rFonts w:ascii="Arial" w:eastAsia="Arial" w:hAnsi="Arial" w:cs="Arial"/>
        </w:rPr>
        <w:t xml:space="preserve"> “Жэт Шэйринг Монголиа” ХХК нь 6000 скүүтерийг жилд нэг удаа тээврийн хэрэгслийн хяналтын үзлэгт хамруулахад 60,000,000 төгрөгийг зарцуулна. Харин “Ви Эм Си Групп” ХХК нь жилд нэг удаа тээврийн хэрэгслийн хяналтын үзлэгт 700 скүүтерийг хамруулахад 7,000,000 төгрөгийг зарцуулахаар байна.</w:t>
      </w:r>
    </w:p>
    <w:p w:rsidR="00946F9F" w:rsidRDefault="00000000">
      <w:pPr>
        <w:ind w:firstLine="710"/>
        <w:jc w:val="both"/>
        <w:rPr>
          <w:rFonts w:ascii="Arial" w:eastAsia="Arial" w:hAnsi="Arial" w:cs="Arial"/>
        </w:rPr>
      </w:pPr>
      <w:r>
        <w:rPr>
          <w:rFonts w:ascii="Arial" w:eastAsia="Arial" w:hAnsi="Arial" w:cs="Arial"/>
        </w:rPr>
        <w:t>2. Өөрийн эзэмшлийн цахилгаан дугуй, цахилгаан скүүтерийг улсын бүртгэлд бүртгүүлэх үүрэгтэй холбогдуулан нэмэлт зардал эсэхэд дараах тооцоог хийв. Үүнд:</w:t>
      </w:r>
    </w:p>
    <w:p w:rsidR="00946F9F" w:rsidRDefault="00000000">
      <w:pPr>
        <w:ind w:firstLine="710"/>
        <w:rPr>
          <w:rFonts w:ascii="Arial" w:eastAsia="Arial" w:hAnsi="Arial" w:cs="Arial"/>
          <w:b/>
        </w:rPr>
      </w:pPr>
      <w:r>
        <w:rPr>
          <w:rFonts w:ascii="Arial" w:eastAsia="Arial" w:hAnsi="Arial" w:cs="Arial"/>
          <w:b/>
        </w:rPr>
        <w:t>Тээврийн хэрэгслийн бүртгэлийн үйлчилгээний үнэ, тариф</w:t>
      </w:r>
      <w:r>
        <w:rPr>
          <w:rFonts w:ascii="Arial" w:eastAsia="Arial" w:hAnsi="Arial" w:cs="Arial"/>
          <w:b/>
          <w:vertAlign w:val="superscript"/>
        </w:rPr>
        <w:footnoteReference w:id="9"/>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Шинээр бүртгэх: 14700 төгрөг</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Шилжилт хөдөлгөөн: 12500 төгрөг, УД солилттой: 14700 төгрөг</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Техникийн өөрчлөлт: 12500 төгрөг</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Улсын дугаар, гэрчилгээг нөхөн олгох: 32500 төгрөг</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Бүртгэлээс хасах, бүртгэлийг сэргээх: 11000 төгрөг </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Түр дугаар олгох: 15000 төгрөг</w:t>
      </w:r>
    </w:p>
    <w:p w:rsidR="00946F9F" w:rsidRDefault="00000000">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Улсын дугаарын өөрчлөлт, солилт: 14700 төгрөг</w:t>
      </w:r>
    </w:p>
    <w:p w:rsidR="00946F9F" w:rsidRDefault="00000000">
      <w:pPr>
        <w:ind w:firstLine="710"/>
        <w:jc w:val="both"/>
        <w:rPr>
          <w:rFonts w:ascii="Arial" w:eastAsia="Arial" w:hAnsi="Arial" w:cs="Arial"/>
        </w:rPr>
      </w:pPr>
      <w:r>
        <w:rPr>
          <w:rFonts w:ascii="Arial" w:eastAsia="Arial" w:hAnsi="Arial" w:cs="Arial"/>
        </w:rPr>
        <w:t>Нийтийн хэрэглээний цахилгаан дугуй, цахилгаан скүүтерийн үйлчилгээ үзүүлэгч хуулийн этгээд нь улсын бүртгэлд 14,700 төгрөгөөр цахилгаан дугуй, цахилгаан скүүтерийг бүртгүүлэхээр байна.</w:t>
      </w:r>
    </w:p>
    <w:p w:rsidR="00946F9F" w:rsidRDefault="00000000">
      <w:pPr>
        <w:ind w:firstLine="710"/>
        <w:jc w:val="both"/>
        <w:rPr>
          <w:rFonts w:ascii="Arial" w:eastAsia="Arial" w:hAnsi="Arial" w:cs="Arial"/>
        </w:rPr>
      </w:pPr>
      <w:r>
        <w:rPr>
          <w:rFonts w:ascii="Arial" w:eastAsia="Arial" w:hAnsi="Arial" w:cs="Arial"/>
        </w:rPr>
        <w:t>Тодруулбал, “Жэт Шэйринг Монголиа” ХХК нь 6000 скүүтерийг улсын бүртгэлд бүртгүүлэхэд 88,200,000 төгрөгийг зарцуулна. Харин “Ви Эм Си Групп” ХХК нь 700 скүүтерийг улсын бүртгэлд бүртгүүлэхэд 10,290,000 төгрөгийг зарцуулахаар байна.</w:t>
      </w:r>
    </w:p>
    <w:p w:rsidR="00946F9F" w:rsidRDefault="00946F9F">
      <w:pPr>
        <w:ind w:firstLine="710"/>
        <w:jc w:val="both"/>
        <w:rPr>
          <w:rFonts w:ascii="Arial" w:eastAsia="Arial" w:hAnsi="Arial" w:cs="Arial"/>
        </w:rPr>
      </w:pPr>
    </w:p>
    <w:p w:rsidR="00DE76D5" w:rsidRDefault="00DE76D5">
      <w:pPr>
        <w:ind w:firstLine="710"/>
        <w:jc w:val="both"/>
        <w:rPr>
          <w:rFonts w:ascii="Arial" w:eastAsia="Arial" w:hAnsi="Arial" w:cs="Arial"/>
        </w:rPr>
      </w:pPr>
    </w:p>
    <w:p w:rsidR="00DE76D5" w:rsidRDefault="00DE76D5">
      <w:pPr>
        <w:ind w:firstLine="710"/>
        <w:jc w:val="both"/>
        <w:rPr>
          <w:rFonts w:ascii="Arial" w:eastAsia="Arial" w:hAnsi="Arial" w:cs="Arial"/>
        </w:rPr>
      </w:pPr>
    </w:p>
    <w:p w:rsidR="00DE76D5" w:rsidRDefault="00DE76D5">
      <w:pPr>
        <w:ind w:firstLine="710"/>
        <w:jc w:val="both"/>
        <w:rPr>
          <w:rFonts w:ascii="Arial" w:eastAsia="Arial" w:hAnsi="Arial" w:cs="Arial"/>
        </w:rPr>
      </w:pPr>
    </w:p>
    <w:p w:rsidR="00946F9F" w:rsidRDefault="00000000">
      <w:pPr>
        <w:jc w:val="center"/>
        <w:rPr>
          <w:rFonts w:ascii="Arial" w:eastAsia="Arial" w:hAnsi="Arial" w:cs="Arial"/>
          <w:b/>
        </w:rPr>
      </w:pPr>
      <w:r>
        <w:rPr>
          <w:rFonts w:ascii="Arial" w:eastAsia="Arial" w:hAnsi="Arial" w:cs="Arial"/>
          <w:b/>
        </w:rPr>
        <w:lastRenderedPageBreak/>
        <w:t>ХОЁР. ИРГЭНД ҮҮСЭХ ЗАРДЛЫН ТООЦОО</w:t>
      </w:r>
    </w:p>
    <w:p w:rsidR="00946F9F" w:rsidRDefault="00000000">
      <w:pPr>
        <w:ind w:firstLine="720"/>
        <w:jc w:val="both"/>
        <w:rPr>
          <w:rFonts w:ascii="Arial" w:eastAsia="Arial" w:hAnsi="Arial" w:cs="Arial"/>
        </w:rPr>
      </w:pPr>
      <w:r>
        <w:rPr>
          <w:rFonts w:ascii="Arial" w:eastAsia="Arial" w:hAnsi="Arial" w:cs="Arial"/>
        </w:rPr>
        <w:t>Замын хөдөлгөөний аюулгүй байдлын тухай хуульд нэмэлт, өөрчлөлт оруулах хуулийн төсөл батлагдсанаар иргэнд очих ачаалал, зардлыг тооцоолон гаргана. 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3.1-д заасны дагуу дараах үе шаттайгаар тооцоолох шаардлагатай. Үүнд:</w:t>
      </w:r>
    </w:p>
    <w:p w:rsidR="00946F9F" w:rsidRDefault="00000000">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иргэний гүйцэтгэх үүргийг тогтоох;</w:t>
      </w:r>
    </w:p>
    <w:p w:rsidR="00946F9F" w:rsidRDefault="00000000">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цаг хугацаа болон гарч болох зардлыг тооцох;</w:t>
      </w:r>
    </w:p>
    <w:p w:rsidR="00946F9F" w:rsidRDefault="00000000">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тоон үзүүлэлтийг тооцох;</w:t>
      </w:r>
    </w:p>
    <w:p w:rsidR="00946F9F" w:rsidRDefault="00000000">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нийт дүнг тооцож гаргах;</w:t>
      </w:r>
    </w:p>
    <w:p w:rsidR="00946F9F" w:rsidRDefault="00000000">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хялбарчлах боломжийг шалгах.</w:t>
      </w:r>
    </w:p>
    <w:p w:rsidR="00946F9F" w:rsidRDefault="00946F9F">
      <w:pPr>
        <w:pBdr>
          <w:top w:val="nil"/>
          <w:left w:val="nil"/>
          <w:bottom w:val="nil"/>
          <w:right w:val="nil"/>
          <w:between w:val="nil"/>
        </w:pBdr>
        <w:spacing w:after="0"/>
        <w:ind w:left="720"/>
        <w:jc w:val="both"/>
        <w:rPr>
          <w:rFonts w:ascii="Arial" w:eastAsia="Arial" w:hAnsi="Arial" w:cs="Arial"/>
          <w:color w:val="000000"/>
        </w:rPr>
      </w:pPr>
    </w:p>
    <w:p w:rsidR="00946F9F" w:rsidRDefault="00000000">
      <w:pPr>
        <w:numPr>
          <w:ilvl w:val="0"/>
          <w:numId w:val="1"/>
        </w:numPr>
        <w:pBdr>
          <w:top w:val="nil"/>
          <w:left w:val="nil"/>
          <w:bottom w:val="nil"/>
          <w:right w:val="nil"/>
          <w:between w:val="nil"/>
        </w:pBdr>
        <w:tabs>
          <w:tab w:val="left" w:pos="851"/>
        </w:tabs>
        <w:rPr>
          <w:rFonts w:ascii="Arial" w:eastAsia="Arial" w:hAnsi="Arial" w:cs="Arial"/>
          <w:b/>
          <w:color w:val="000000"/>
        </w:rPr>
      </w:pPr>
      <w:r>
        <w:rPr>
          <w:rFonts w:ascii="Arial" w:eastAsia="Arial" w:hAnsi="Arial" w:cs="Arial"/>
          <w:b/>
          <w:color w:val="000000"/>
        </w:rPr>
        <w:t xml:space="preserve"> Иргэнд үүрэг хүлээлгэсэн заалтууд</w:t>
      </w:r>
    </w:p>
    <w:p w:rsidR="00946F9F" w:rsidRDefault="00000000">
      <w:pPr>
        <w:ind w:firstLine="720"/>
        <w:jc w:val="both"/>
        <w:rPr>
          <w:rFonts w:ascii="Arial" w:eastAsia="Arial" w:hAnsi="Arial" w:cs="Arial"/>
        </w:rPr>
      </w:pPr>
      <w:r>
        <w:rPr>
          <w:rFonts w:ascii="Arial" w:eastAsia="Arial" w:hAnsi="Arial" w:cs="Arial"/>
        </w:rPr>
        <w:t>Замын хөдөлгөөний аюулгүй байдлын тухай хуульд замын хөдөлгөөнд оролцох, замын хөдөлгөөний аюулгүй байдлыг хангах иргэний үүрэг болгосон ерөнхий зохицуулалт тусгагдсанаас өөр Хувь хүний бичил цахилгаан тээврийн хэрэгсэл, цахилгаан дугуй, цахилгаан скүүтертэй холбоотой тусгайлсан зүйл, хэсэг, заалт бүхий зохицуулалт байхгүй байна.</w:t>
      </w:r>
    </w:p>
    <w:p w:rsidR="00946F9F" w:rsidRDefault="00000000">
      <w:pPr>
        <w:ind w:firstLine="710"/>
        <w:jc w:val="both"/>
        <w:rPr>
          <w:rFonts w:ascii="Arial" w:eastAsia="Arial" w:hAnsi="Arial" w:cs="Arial"/>
        </w:rPr>
      </w:pPr>
      <w:r>
        <w:rPr>
          <w:rFonts w:ascii="Arial" w:eastAsia="Arial" w:hAnsi="Arial" w:cs="Arial"/>
        </w:rPr>
        <w:t>Тиймээс хуулийн төслийн дараах зохицуулалтыг иргэнд үүрэг болгосон, заавал биелүүлэх хориглосон зохицуулалтуудыг сонгон авлаа. Үүнд:</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Монгол улсын нутаг дэвсгэрт цахилгаан дугуй, цахилгаан скүүтерийг 16-аас дээш насны хүн жолоодож замын хөдөлгөөнд оролцох;</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Техникийн дээд хурд нь энэ хуулийн цагт 25 км-ээс илүү хурд бүхий цахилгаан дугуйг Монгол улсын замын хөдөлгөөний дүрэмд заасны дагуу мотоцикл ангиллын жолоодох эрхийн үнэмлэхтэй, 18-аас дээш насны хүн жолоодож замын хөдөлгөөнд оролцох;</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Цахилгаан скүүтер, цахилгаан дугуй дээр зорчигч, ачаа тээвэрлэхгүй байх;</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Цахилгаан скүүтер, цахилгаан дугуйн залуурыг сул тавьж жолоодохгүй байх;</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Нэгээс илүү эгнээтэй зам дээр зүүн эргэх эсхүл буцаж эргэхгүй байх;</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Цахилгаан скүүтер, цахилгаан дугуйг чирэх эсхүл эдгээрээр чирүүлэхгүй байх;</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Явган хүний гарцаар цахилгаан скүүтер, цахилгаан дугуйг жолоодож зам хөндлөн гарахгүй байх;</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Харанхуй, үзэгдэх орчин муу үед замын хөдөлгөөнд оролцохдоо бусад тээврийн хэрэгслийн жолооч нарт харагдахуйц гэрэл ойлгогчгүйгээр явахгүй байх;</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Цахилгаан дугуй, цахилгаан скүүтерийг жолоодох үедээ гар утас ашиглахгүй байх;</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Өөрийн үйлдлийг хянах чадваргүй (согтуурсан, мансуурсан гэх мэт) үедээ жолоо барихгүй байх. </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lastRenderedPageBreak/>
        <w:t>Шөнийн цагаар буюу 22:00 цагаас дараагийн өдрийн 6:00 цаг хүртэл хугацаанд цахилгаан дугуй, цахилгаан скүүтерээр замын хөдөлгөөнд оролцохгүй байх.</w:t>
      </w:r>
    </w:p>
    <w:p w:rsidR="00946F9F" w:rsidRDefault="00000000">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Нийтийн хэрэглээний цахилгаан дугуй, цахилгаан скүүтерийг эвдэх, гэмтээхгүй байх зэрэг үүрэг, хориглолтууд тусгагдсан байна.</w:t>
      </w:r>
    </w:p>
    <w:p w:rsidR="00946F9F" w:rsidRDefault="00946F9F">
      <w:pPr>
        <w:pBdr>
          <w:top w:val="nil"/>
          <w:left w:val="nil"/>
          <w:bottom w:val="nil"/>
          <w:right w:val="nil"/>
          <w:between w:val="nil"/>
        </w:pBdr>
        <w:spacing w:after="0"/>
        <w:ind w:left="1070"/>
        <w:jc w:val="both"/>
        <w:rPr>
          <w:rFonts w:ascii="Arial" w:eastAsia="Arial" w:hAnsi="Arial" w:cs="Arial"/>
          <w:color w:val="000000"/>
        </w:rPr>
      </w:pPr>
    </w:p>
    <w:p w:rsidR="00946F9F" w:rsidRDefault="00000000">
      <w:pPr>
        <w:numPr>
          <w:ilvl w:val="0"/>
          <w:numId w:val="1"/>
        </w:numPr>
        <w:pBdr>
          <w:top w:val="nil"/>
          <w:left w:val="nil"/>
          <w:bottom w:val="nil"/>
          <w:right w:val="nil"/>
          <w:between w:val="nil"/>
        </w:pBdr>
        <w:tabs>
          <w:tab w:val="left" w:pos="851"/>
        </w:tabs>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Зардлын тооцоо</w:t>
      </w:r>
    </w:p>
    <w:p w:rsidR="00946F9F" w:rsidRDefault="00000000">
      <w:pPr>
        <w:jc w:val="center"/>
        <w:rPr>
          <w:rFonts w:ascii="Arial" w:eastAsia="Arial" w:hAnsi="Arial" w:cs="Arial"/>
          <w:b/>
        </w:rPr>
      </w:pPr>
      <w:r>
        <w:rPr>
          <w:rFonts w:ascii="Arial" w:eastAsia="Arial" w:hAnsi="Arial" w:cs="Arial"/>
          <w:b/>
        </w:rPr>
        <w:t>Цаг хугацаа болон гарч болох зардлыг тооцох:</w:t>
      </w:r>
    </w:p>
    <w:p w:rsidR="00946F9F" w:rsidRDefault="00000000">
      <w:pPr>
        <w:ind w:firstLine="720"/>
        <w:jc w:val="both"/>
        <w:rPr>
          <w:rFonts w:ascii="Arial" w:eastAsia="Arial" w:hAnsi="Arial" w:cs="Arial"/>
        </w:rPr>
      </w:pPr>
      <w:r>
        <w:rPr>
          <w:rFonts w:ascii="Arial" w:eastAsia="Arial" w:hAnsi="Arial" w:cs="Arial"/>
        </w:rPr>
        <w:t>Цаг хугацаа болон гарч болох зардлыг тооцохдоо зарцуулах цаг хугацааг шаардлагатай мөнгөн дүнгийн хамт гаргана.</w:t>
      </w:r>
    </w:p>
    <w:p w:rsidR="00946F9F" w:rsidRDefault="00000000">
      <w:pPr>
        <w:ind w:firstLine="720"/>
        <w:jc w:val="both"/>
        <w:rPr>
          <w:rFonts w:ascii="Arial" w:eastAsia="Arial" w:hAnsi="Arial" w:cs="Arial"/>
        </w:rPr>
      </w:pPr>
      <w:r>
        <w:rPr>
          <w:rFonts w:ascii="Arial" w:eastAsia="Arial" w:hAnsi="Arial" w:cs="Arial"/>
        </w:rPr>
        <w:t>Аргачлалын 3.4.3-т заасны дагуу мөнгөн зардлыг тооцохдоо тухайн үүргийг хэрэгжүүлэхэд иргэнээс зайлшгүй гарах мөнгөн зардал буюу бодит, тогтсон зардлыг тооцохоор заасан. Үүнд: Мэдээллийг холбогдох газарт хүргүүлэхэд гарах бичиг хэрэг, шуудангийн зардал, , гадаад паспорт авах өргөдөл гаргахад цээж зураг авхуулах зардал, зөвшөөрөл хүсэхэд төлөх хураамж зэргийг оруулна. Ингэхдээ гүйцэтгэх үүргийг хэрэгжүүлэхэд тухайн иргэнээс гарч болох замын зардлыг тооцохгүй.</w:t>
      </w:r>
    </w:p>
    <w:p w:rsidR="00946F9F" w:rsidRDefault="00000000">
      <w:pPr>
        <w:ind w:firstLine="720"/>
        <w:jc w:val="both"/>
        <w:rPr>
          <w:rFonts w:ascii="Arial" w:eastAsia="Arial" w:hAnsi="Arial" w:cs="Arial"/>
          <w:b/>
        </w:rPr>
      </w:pPr>
      <w:r>
        <w:rPr>
          <w:rFonts w:ascii="Arial" w:eastAsia="Arial" w:hAnsi="Arial" w:cs="Arial"/>
        </w:rPr>
        <w:t>Замын хөдөлгөөний аюулгүй байдлын тухай хуульд нэмэлт, өөрчлөлт оруулах хуулийн төсөлд тусгагдсан иргэнд үүрэг болгож, хориглосон зохицуулалтуудтай холбоотойгоор мэдээллийг холбогдох газарт хүргүүлэхэд гарах бичиг хэрэг, шуудангийн зардал, баримт бичгийг нотариатаар баталгаажуулахыг тухайлан шаардсан тохиолдолд нотариатын зардал, зөвшөөрөл хүсэхэд төлөх хураамж зэрэг, түүнтэй төсөөтэй зардал гаргах үүргийг тусгаагүй байх тул зардал гарахгүй гэж дүгнэлээ.</w:t>
      </w:r>
    </w:p>
    <w:p w:rsidR="00946F9F" w:rsidRDefault="00000000">
      <w:pPr>
        <w:jc w:val="center"/>
        <w:rPr>
          <w:rFonts w:ascii="Arial" w:eastAsia="Arial" w:hAnsi="Arial" w:cs="Arial"/>
          <w:b/>
        </w:rPr>
      </w:pPr>
      <w:r>
        <w:rPr>
          <w:rFonts w:ascii="Arial" w:eastAsia="Arial" w:hAnsi="Arial" w:cs="Arial"/>
          <w:b/>
        </w:rPr>
        <w:t>Тоон үзүүлэлтийг тооцох:</w:t>
      </w:r>
    </w:p>
    <w:p w:rsidR="00946F9F" w:rsidRDefault="00000000">
      <w:pPr>
        <w:ind w:firstLine="720"/>
        <w:jc w:val="both"/>
        <w:rPr>
          <w:rFonts w:ascii="Arial" w:eastAsia="Arial" w:hAnsi="Arial" w:cs="Arial"/>
        </w:rPr>
      </w:pPr>
      <w:r>
        <w:rPr>
          <w:rFonts w:ascii="Arial" w:eastAsia="Arial" w:hAnsi="Arial" w:cs="Arial"/>
        </w:rPr>
        <w:t>Хуулийн төслийн иргэнд хүлээлгэж буй үүргийг хэрэгжүүлэх тоон үзүүлэлтийг дараах бүдүүвчийн дагуу тооцохоор заасан.</w:t>
      </w:r>
    </w:p>
    <w:tbl>
      <w:tblPr>
        <w:tblStyle w:val="a3"/>
        <w:tblW w:w="934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57"/>
        <w:gridCol w:w="6239"/>
        <w:gridCol w:w="2552"/>
      </w:tblGrid>
      <w:tr w:rsidR="00946F9F">
        <w:trPr>
          <w:trHeight w:val="964"/>
        </w:trPr>
        <w:tc>
          <w:tcPr>
            <w:tcW w:w="55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rPr>
            </w:pPr>
            <w:r>
              <w:rPr>
                <w:rFonts w:ascii="Arial" w:eastAsia="Arial" w:hAnsi="Arial" w:cs="Arial"/>
              </w:rPr>
              <w:t>№</w:t>
            </w:r>
          </w:p>
        </w:tc>
        <w:tc>
          <w:tcPr>
            <w:tcW w:w="62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rPr>
            </w:pPr>
            <w:r>
              <w:rPr>
                <w:rFonts w:ascii="Arial" w:eastAsia="Arial" w:hAnsi="Arial" w:cs="Arial"/>
              </w:rPr>
              <w:t>Ерөнхий стандарт үйл ажиллагаа</w:t>
            </w:r>
          </w:p>
        </w:tc>
        <w:tc>
          <w:tcPr>
            <w:tcW w:w="2552" w:type="dxa"/>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rPr>
            </w:pPr>
            <w:r>
              <w:rPr>
                <w:rFonts w:ascii="Arial" w:eastAsia="Arial" w:hAnsi="Arial" w:cs="Arial"/>
              </w:rPr>
              <w:t>Тоон үзүүлэлт</w:t>
            </w:r>
          </w:p>
        </w:tc>
      </w:tr>
      <w:tr w:rsidR="00946F9F">
        <w:tc>
          <w:tcPr>
            <w:tcW w:w="55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rPr>
            </w:pPr>
            <w:r>
              <w:rPr>
                <w:rFonts w:ascii="Arial" w:eastAsia="Arial" w:hAnsi="Arial" w:cs="Arial"/>
              </w:rPr>
              <w:t>1</w:t>
            </w:r>
          </w:p>
        </w:tc>
        <w:tc>
          <w:tcPr>
            <w:tcW w:w="8791"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946F9F" w:rsidRDefault="00000000">
            <w:pPr>
              <w:jc w:val="center"/>
              <w:rPr>
                <w:rFonts w:ascii="Arial" w:eastAsia="Arial" w:hAnsi="Arial" w:cs="Arial"/>
              </w:rPr>
            </w:pPr>
            <w:r>
              <w:rPr>
                <w:rFonts w:ascii="Arial" w:eastAsia="Arial" w:hAnsi="Arial" w:cs="Arial"/>
              </w:rPr>
              <w:t>Тоон үзүүлэлт= Тохиолдлын тоо х Давтамжийн тоо</w:t>
            </w:r>
          </w:p>
        </w:tc>
      </w:tr>
    </w:tbl>
    <w:p w:rsidR="00946F9F" w:rsidRDefault="00946F9F">
      <w:pPr>
        <w:ind w:firstLine="720"/>
        <w:jc w:val="both"/>
        <w:rPr>
          <w:rFonts w:ascii="Arial" w:eastAsia="Arial" w:hAnsi="Arial" w:cs="Arial"/>
        </w:rPr>
      </w:pPr>
    </w:p>
    <w:p w:rsidR="00946F9F" w:rsidRDefault="00000000">
      <w:pPr>
        <w:ind w:firstLine="720"/>
        <w:jc w:val="both"/>
        <w:rPr>
          <w:rFonts w:ascii="Arial" w:eastAsia="Arial" w:hAnsi="Arial" w:cs="Arial"/>
        </w:rPr>
      </w:pPr>
      <w:r>
        <w:rPr>
          <w:rFonts w:ascii="Arial" w:eastAsia="Arial" w:hAnsi="Arial" w:cs="Arial"/>
        </w:rPr>
        <w:t>Хуулийн төсөлд заасан Иргэнд хүлээлгэсэн үүрэг, хориглолтуудыг тогтмол хэрэгжүүлнэ. Гэвч төрийн байгууллага буюу гуравдагч этгээдэд мэдээлэл, баримт бичиг өгөх үүрэг хүлээлгэсэн зохицуулалт байхгүй байгааг анхааран үзлээ. Иймд тоон үзүүлэлтийг гаргах шаардлагагүй гэж дүгнэлээ.</w:t>
      </w:r>
    </w:p>
    <w:p w:rsidR="00946F9F" w:rsidRDefault="00946F9F">
      <w:pPr>
        <w:ind w:firstLine="720"/>
        <w:jc w:val="both"/>
        <w:rPr>
          <w:rFonts w:ascii="Arial" w:eastAsia="Arial" w:hAnsi="Arial" w:cs="Arial"/>
        </w:rPr>
      </w:pPr>
    </w:p>
    <w:p w:rsidR="00946F9F" w:rsidRDefault="00946F9F">
      <w:pPr>
        <w:ind w:firstLine="720"/>
        <w:jc w:val="both"/>
        <w:rPr>
          <w:rFonts w:ascii="Arial" w:eastAsia="Arial" w:hAnsi="Arial" w:cs="Arial"/>
        </w:rPr>
      </w:pPr>
    </w:p>
    <w:p w:rsidR="00946F9F" w:rsidRDefault="00000000">
      <w:pPr>
        <w:jc w:val="center"/>
        <w:rPr>
          <w:rFonts w:ascii="Arial" w:eastAsia="Arial" w:hAnsi="Arial" w:cs="Arial"/>
          <w:b/>
        </w:rPr>
      </w:pPr>
      <w:r>
        <w:rPr>
          <w:rFonts w:ascii="Arial" w:eastAsia="Arial" w:hAnsi="Arial" w:cs="Arial"/>
          <w:b/>
        </w:rPr>
        <w:lastRenderedPageBreak/>
        <w:t>Нийт дүнг тооцож гаргах:</w:t>
      </w:r>
    </w:p>
    <w:p w:rsidR="00946F9F" w:rsidRDefault="00000000">
      <w:pPr>
        <w:ind w:firstLine="720"/>
        <w:jc w:val="both"/>
        <w:rPr>
          <w:rFonts w:ascii="Arial" w:eastAsia="Arial" w:hAnsi="Arial" w:cs="Arial"/>
        </w:rPr>
      </w:pPr>
      <w:r>
        <w:rPr>
          <w:rFonts w:ascii="Arial" w:eastAsia="Arial" w:hAnsi="Arial" w:cs="Arial"/>
        </w:rPr>
        <w:t>Аргачлалын 3.6-д заасны дагуу нийт дүнг тооцож гаргах үе шатанд тухайн үүргийг хэрэгжүүлэхтэй холбогдуулан иргэнд үүсэх ачааллыг тооцож гаргах бөгөөд иргэнд үүсэх ачаалал нь цаг хугацааг тоон үзүүлэлтээр үржүүлснээр тодорхойлогдоно.</w:t>
      </w:r>
    </w:p>
    <w:p w:rsidR="00946F9F" w:rsidRDefault="00000000">
      <w:pPr>
        <w:jc w:val="both"/>
        <w:rPr>
          <w:rFonts w:ascii="Arial" w:eastAsia="Arial" w:hAnsi="Arial" w:cs="Arial"/>
          <w:b/>
        </w:rPr>
      </w:pPr>
      <w:r>
        <w:rPr>
          <w:rFonts w:ascii="Arial" w:eastAsia="Arial" w:hAnsi="Arial" w:cs="Arial"/>
          <w:b/>
        </w:rPr>
        <w:t>Ачаалал=Цаг хугацаа×Тоон үзүүлэлт</w:t>
      </w:r>
    </w:p>
    <w:p w:rsidR="00946F9F" w:rsidRDefault="00000000">
      <w:pPr>
        <w:jc w:val="both"/>
        <w:rPr>
          <w:rFonts w:ascii="Arial" w:eastAsia="Arial" w:hAnsi="Arial" w:cs="Arial"/>
        </w:rPr>
      </w:pPr>
      <w:r>
        <w:rPr>
          <w:rFonts w:ascii="Arial" w:eastAsia="Arial" w:hAnsi="Arial" w:cs="Arial"/>
        </w:rPr>
        <w:tab/>
        <w:t>Төрийн байгууллага буюу гуравдагч этгээдэд мэдээлэл, баримт бичиг өгөх үүрэг хүлээлгэсэн зохицуулалт байхгүй тул тоон үзүүлэлтийг тооцоогүй болно. Тиймээс хуулийн төсөлд туссан үүрэг, хориглолттой холбоотойгоор иргэнд ачаалал үүсэхээргүй байна.</w:t>
      </w:r>
    </w:p>
    <w:p w:rsidR="00946F9F" w:rsidRDefault="00000000">
      <w:pPr>
        <w:numPr>
          <w:ilvl w:val="0"/>
          <w:numId w:val="1"/>
        </w:numPr>
        <w:pBdr>
          <w:top w:val="nil"/>
          <w:left w:val="nil"/>
          <w:bottom w:val="nil"/>
          <w:right w:val="nil"/>
          <w:between w:val="nil"/>
        </w:pBdr>
        <w:tabs>
          <w:tab w:val="left" w:pos="851"/>
        </w:tabs>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Хувилбарыг нягталж хялбарчлах боломжийг шалгах</w:t>
      </w:r>
    </w:p>
    <w:p w:rsidR="00946F9F" w:rsidRDefault="00000000">
      <w:pPr>
        <w:ind w:firstLine="720"/>
        <w:jc w:val="both"/>
        <w:rPr>
          <w:rFonts w:ascii="Arial" w:eastAsia="Arial" w:hAnsi="Arial" w:cs="Arial"/>
        </w:rPr>
      </w:pPr>
      <w:r>
        <w:rPr>
          <w:rFonts w:ascii="Arial" w:eastAsia="Arial" w:hAnsi="Arial" w:cs="Arial"/>
        </w:rPr>
        <w:t>Аргачлалын 3.7-д заасны дагуу хялбарчлах боломжийг шалгах үе шатанд энэхүү аргачлалын 2.7-д заасантай нэгэн адил арга хэмжээ авч хэрэгжүүлнэ.</w:t>
      </w:r>
    </w:p>
    <w:p w:rsidR="00946F9F" w:rsidRDefault="00000000">
      <w:pPr>
        <w:ind w:firstLine="720"/>
        <w:jc w:val="both"/>
        <w:rPr>
          <w:rFonts w:ascii="Arial" w:eastAsia="Arial" w:hAnsi="Arial" w:cs="Arial"/>
        </w:rPr>
      </w:pPr>
      <w:r>
        <w:rPr>
          <w:rFonts w:ascii="Arial" w:eastAsia="Arial" w:hAnsi="Arial" w:cs="Arial"/>
        </w:rPr>
        <w:t>Хялбарчлах боломжийг шалгах үе шатанд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w:t>
      </w:r>
    </w:p>
    <w:p w:rsidR="00946F9F" w:rsidRDefault="00000000">
      <w:pPr>
        <w:ind w:firstLine="720"/>
        <w:jc w:val="both"/>
        <w:rPr>
          <w:rFonts w:ascii="Arial" w:eastAsia="Arial" w:hAnsi="Arial" w:cs="Arial"/>
        </w:rPr>
      </w:pPr>
      <w:r>
        <w:rPr>
          <w:rFonts w:ascii="Arial" w:eastAsia="Arial" w:hAnsi="Arial" w:cs="Arial"/>
        </w:rPr>
        <w:t>Замын хөдөлгөөний аюулгүй байдлын тухай хуульд нэмэлт, өөрчлөлт оруулах хуулийн төсөлд туссан үүрэг, хориглолттой холбоотойгоор иргэнд ачаалал үүсэхгүй тул хялбарчлах боломжийг шалгах шаардлагагүй гэж дүгнэлээ.</w:t>
      </w: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DE76D5" w:rsidRDefault="00DE76D5">
      <w:pPr>
        <w:ind w:firstLine="720"/>
        <w:jc w:val="center"/>
        <w:rPr>
          <w:rFonts w:ascii="Arial" w:eastAsia="Arial" w:hAnsi="Arial" w:cs="Arial"/>
          <w:b/>
        </w:rPr>
      </w:pPr>
    </w:p>
    <w:p w:rsidR="00946F9F" w:rsidRDefault="00000000">
      <w:pPr>
        <w:ind w:firstLine="720"/>
        <w:jc w:val="center"/>
        <w:rPr>
          <w:rFonts w:ascii="Arial" w:eastAsia="Arial" w:hAnsi="Arial" w:cs="Arial"/>
        </w:rPr>
      </w:pPr>
      <w:r>
        <w:rPr>
          <w:rFonts w:ascii="Arial" w:eastAsia="Arial" w:hAnsi="Arial" w:cs="Arial"/>
          <w:b/>
        </w:rPr>
        <w:lastRenderedPageBreak/>
        <w:t>ГУРАВ. ТӨРИЙН БАЙГУУЛЛАГЫН ЗАРДЛЫН ТООЦОО</w:t>
      </w:r>
    </w:p>
    <w:p w:rsidR="00946F9F" w:rsidRDefault="00000000">
      <w:pPr>
        <w:ind w:firstLine="720"/>
        <w:jc w:val="both"/>
        <w:rPr>
          <w:rFonts w:ascii="Arial" w:eastAsia="Arial" w:hAnsi="Arial" w:cs="Arial"/>
        </w:rPr>
      </w:pPr>
      <w:r>
        <w:rPr>
          <w:rFonts w:ascii="Arial" w:eastAsia="Arial" w:hAnsi="Arial" w:cs="Arial"/>
        </w:rPr>
        <w:t>“Замын хөдөлгөөний аюулгүй байдлын тухай хуульд нэмэлт, өөрчлөлт оруулах хуулийн төсөл”-ийн төрийн байгууллагад үүрэг оногдуулсан зохицуулалтуудыг харгалзан тухайн байгууллагад үүсэх ачаалал, зардлын хэмжээг урьдчилан тооцох нь тухайн зохицуулалтыг хэрэгжүүлэх төсөв, санхүүжилтийн хэмжээ, хэрэгцээ, шаардлагыг тогтооход оршино.</w:t>
      </w:r>
    </w:p>
    <w:p w:rsidR="00946F9F" w:rsidRDefault="00000000">
      <w:pPr>
        <w:ind w:firstLine="720"/>
        <w:jc w:val="both"/>
        <w:rPr>
          <w:rFonts w:ascii="Arial" w:eastAsia="Arial" w:hAnsi="Arial" w:cs="Arial"/>
        </w:rPr>
      </w:pPr>
      <w:r>
        <w:rPr>
          <w:rFonts w:ascii="Arial" w:eastAsia="Arial" w:hAnsi="Arial" w:cs="Arial"/>
        </w:rPr>
        <w:t>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4.1-д заасны дагуу 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гүйцэтгэх шаардлагатай. Үүнд:</w:t>
      </w:r>
    </w:p>
    <w:p w:rsidR="00946F9F" w:rsidRDefault="00000000">
      <w:pPr>
        <w:numPr>
          <w:ilvl w:val="0"/>
          <w:numId w:val="5"/>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Байгууллагын гүйцэтгэх үүрэг буюу ажил, үйлчилгээг тодорхойлох;</w:t>
      </w:r>
    </w:p>
    <w:p w:rsidR="00946F9F" w:rsidRDefault="00000000">
      <w:pPr>
        <w:numPr>
          <w:ilvl w:val="0"/>
          <w:numId w:val="5"/>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Ажил, үйлчилгээг гүйцэтгэх хүний нөөцийг тодорхойлох;</w:t>
      </w:r>
    </w:p>
    <w:p w:rsidR="00946F9F" w:rsidRDefault="00000000">
      <w:pPr>
        <w:numPr>
          <w:ilvl w:val="0"/>
          <w:numId w:val="5"/>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Гарах зардлыг урьдчилан тооцох;</w:t>
      </w:r>
    </w:p>
    <w:p w:rsidR="00946F9F" w:rsidRDefault="00000000">
      <w:pPr>
        <w:numPr>
          <w:ilvl w:val="0"/>
          <w:numId w:val="5"/>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Зардлыг нэгтгэн тооцох;</w:t>
      </w:r>
    </w:p>
    <w:p w:rsidR="00946F9F" w:rsidRDefault="00000000">
      <w:pPr>
        <w:numPr>
          <w:ilvl w:val="0"/>
          <w:numId w:val="5"/>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Хувилбарыг нягталж, үр дүнг танилцуулах.</w:t>
      </w:r>
    </w:p>
    <w:p w:rsidR="00946F9F" w:rsidRDefault="00946F9F">
      <w:pPr>
        <w:pBdr>
          <w:top w:val="nil"/>
          <w:left w:val="nil"/>
          <w:bottom w:val="nil"/>
          <w:right w:val="nil"/>
          <w:between w:val="nil"/>
        </w:pBdr>
        <w:spacing w:after="0"/>
        <w:ind w:left="720"/>
        <w:jc w:val="both"/>
        <w:rPr>
          <w:rFonts w:ascii="Arial" w:eastAsia="Arial" w:hAnsi="Arial" w:cs="Arial"/>
          <w:color w:val="000000"/>
        </w:rPr>
      </w:pPr>
    </w:p>
    <w:p w:rsidR="00DE76D5" w:rsidRDefault="00DE76D5">
      <w:pPr>
        <w:pBdr>
          <w:top w:val="nil"/>
          <w:left w:val="nil"/>
          <w:bottom w:val="nil"/>
          <w:right w:val="nil"/>
          <w:between w:val="nil"/>
        </w:pBdr>
        <w:spacing w:after="0"/>
        <w:ind w:left="720"/>
        <w:jc w:val="both"/>
        <w:rPr>
          <w:rFonts w:ascii="Arial" w:eastAsia="Arial" w:hAnsi="Arial" w:cs="Arial"/>
          <w:color w:val="000000"/>
        </w:rPr>
      </w:pPr>
    </w:p>
    <w:p w:rsidR="00946F9F" w:rsidRDefault="00000000">
      <w:pPr>
        <w:numPr>
          <w:ilvl w:val="0"/>
          <w:numId w:val="2"/>
        </w:numPr>
        <w:pBdr>
          <w:top w:val="nil"/>
          <w:left w:val="nil"/>
          <w:bottom w:val="nil"/>
          <w:right w:val="nil"/>
          <w:between w:val="nil"/>
        </w:pBdr>
        <w:tabs>
          <w:tab w:val="left" w:pos="851"/>
        </w:tabs>
        <w:jc w:val="both"/>
        <w:rPr>
          <w:rFonts w:ascii="Arial" w:eastAsia="Arial" w:hAnsi="Arial" w:cs="Arial"/>
          <w:b/>
          <w:color w:val="000000"/>
        </w:rPr>
      </w:pPr>
      <w:r>
        <w:rPr>
          <w:rFonts w:ascii="Arial" w:eastAsia="Arial" w:hAnsi="Arial" w:cs="Arial"/>
          <w:b/>
          <w:color w:val="000000"/>
        </w:rPr>
        <w:t>Төрийн байгууллагад хүлээлгэсэн үүрэг буюу ажил, үйлчилгээг тодорхойлох</w:t>
      </w:r>
    </w:p>
    <w:p w:rsidR="00946F9F" w:rsidRDefault="00000000">
      <w:pPr>
        <w:spacing w:before="240"/>
        <w:ind w:firstLine="720"/>
        <w:jc w:val="both"/>
        <w:rPr>
          <w:rFonts w:ascii="Arial" w:eastAsia="Arial" w:hAnsi="Arial" w:cs="Arial"/>
        </w:rPr>
      </w:pPr>
      <w:r>
        <w:rPr>
          <w:rFonts w:ascii="Arial" w:eastAsia="Arial" w:hAnsi="Arial" w:cs="Arial"/>
        </w:rPr>
        <w:t xml:space="preserve">Хуулийн төсөлд дараах байгууллагууд тодорхой чиг үүрэг гүйцэтгэхээр тусгагдсан байна. Үүнд: </w:t>
      </w:r>
    </w:p>
    <w:p w:rsidR="00946F9F" w:rsidRDefault="00000000">
      <w:pPr>
        <w:spacing w:before="240"/>
        <w:ind w:firstLine="720"/>
        <w:jc w:val="both"/>
        <w:rPr>
          <w:rFonts w:ascii="Arial" w:eastAsia="Arial" w:hAnsi="Arial" w:cs="Arial"/>
        </w:rPr>
      </w:pPr>
      <w:r>
        <w:rPr>
          <w:rFonts w:ascii="Arial" w:eastAsia="Arial" w:hAnsi="Arial" w:cs="Arial"/>
        </w:rPr>
        <w:t>Замын хөдөлгөөний аюулгүй байдлын тухай хуульд нэмэлт, өөрчлөлт оруулах хуулийн төслийн 1 дүгээр зүйлийн 1 дахь хэсэгт “Зөвшөөрлийн тухай хуулийн 8.2 дугаар зүйлийн 4.6-д заасны дагуу хуулийн этгээд нийтийн хэрэглээний цахилгаан дугуй, цахилгаан скүүтерийн үйлчилгээ эрхэлж болно.” гэсэн зохицуулалтыг тусгасан байна. Тус зохицуулалтаас үзвэл Зөвшөөрлийн тухай хуулийн 8.2 дугаар зүйлийн 4.6-д заасан зөвшөөрлийг аймаг, нийслэлийн Засаг дарга олгохоор байна.</w:t>
      </w:r>
    </w:p>
    <w:p w:rsidR="00946F9F" w:rsidRDefault="00000000">
      <w:pPr>
        <w:numPr>
          <w:ilvl w:val="0"/>
          <w:numId w:val="2"/>
        </w:numPr>
        <w:pBdr>
          <w:top w:val="nil"/>
          <w:left w:val="nil"/>
          <w:bottom w:val="nil"/>
          <w:right w:val="nil"/>
          <w:between w:val="nil"/>
        </w:pBdr>
        <w:tabs>
          <w:tab w:val="left" w:pos="851"/>
        </w:tabs>
        <w:spacing w:before="240"/>
        <w:rPr>
          <w:rFonts w:ascii="Arial" w:eastAsia="Arial" w:hAnsi="Arial" w:cs="Arial"/>
          <w:b/>
          <w:color w:val="000000"/>
        </w:rPr>
      </w:pPr>
      <w:r>
        <w:rPr>
          <w:rFonts w:ascii="Arial" w:eastAsia="Arial" w:hAnsi="Arial" w:cs="Arial"/>
          <w:b/>
          <w:color w:val="000000"/>
        </w:rPr>
        <w:t xml:space="preserve"> Зардлын тооцоо</w:t>
      </w:r>
    </w:p>
    <w:p w:rsidR="00946F9F" w:rsidRDefault="00000000">
      <w:pPr>
        <w:spacing w:before="240"/>
        <w:jc w:val="center"/>
        <w:rPr>
          <w:rFonts w:ascii="Arial" w:eastAsia="Arial" w:hAnsi="Arial" w:cs="Arial"/>
          <w:b/>
        </w:rPr>
      </w:pPr>
      <w:r>
        <w:rPr>
          <w:rFonts w:ascii="Arial" w:eastAsia="Arial" w:hAnsi="Arial" w:cs="Arial"/>
          <w:b/>
        </w:rPr>
        <w:t>Ажил, үйлчилгээг гүйцэтгэх хүний нөөцийг тодорхойлох:</w:t>
      </w:r>
    </w:p>
    <w:p w:rsidR="00946F9F" w:rsidRDefault="00000000">
      <w:pPr>
        <w:spacing w:after="120" w:line="276" w:lineRule="auto"/>
        <w:ind w:firstLine="634"/>
        <w:jc w:val="both"/>
        <w:rPr>
          <w:rFonts w:ascii="Arial" w:eastAsia="Arial" w:hAnsi="Arial" w:cs="Arial"/>
        </w:rPr>
      </w:pPr>
      <w:r>
        <w:rPr>
          <w:rFonts w:ascii="Arial" w:eastAsia="Arial" w:hAnsi="Arial" w:cs="Arial"/>
        </w:rPr>
        <w:t>Зарцуулах хугацааг тодорхойлохдоо чиг үүргийг хэрэгжүүлэхэд шаардлагатай ажил, үйлчилгээ буюу стандарт үйл ажиллагаагаар нь задалж, тухайн стандарт үйл ажиллагаа тус бүрт зарцуулах хугацааг адил төстэй үйлчилгээ байгаа эсэхийг судалж баримжаалах болон аргачлалаар тогтоосон стандарт, Зөвшөөрлийн тухай</w:t>
      </w:r>
      <w:r>
        <w:rPr>
          <w:rFonts w:ascii="Arial" w:eastAsia="Arial" w:hAnsi="Arial" w:cs="Arial"/>
          <w:vertAlign w:val="superscript"/>
        </w:rPr>
        <w:footnoteReference w:id="10"/>
      </w:r>
      <w:r>
        <w:rPr>
          <w:rFonts w:ascii="Arial" w:eastAsia="Arial" w:hAnsi="Arial" w:cs="Arial"/>
        </w:rPr>
        <w:t xml:space="preserve"> хуульд заасан хугацааг ашиглах зэргээр тогтоов.</w:t>
      </w:r>
    </w:p>
    <w:tbl>
      <w:tblPr>
        <w:tblStyle w:val="a4"/>
        <w:tblW w:w="9214" w:type="dxa"/>
        <w:tblInd w:w="-5" w:type="dxa"/>
        <w:tblLayout w:type="fixed"/>
        <w:tblLook w:val="0400" w:firstRow="0" w:lastRow="0" w:firstColumn="0" w:lastColumn="0" w:noHBand="0" w:noVBand="1"/>
      </w:tblPr>
      <w:tblGrid>
        <w:gridCol w:w="2560"/>
        <w:gridCol w:w="4666"/>
        <w:gridCol w:w="1988"/>
      </w:tblGrid>
      <w:tr w:rsidR="00946F9F">
        <w:trPr>
          <w:trHeight w:val="1380"/>
        </w:trPr>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6F9F" w:rsidRDefault="00000000">
            <w:pPr>
              <w:spacing w:after="0" w:line="240" w:lineRule="auto"/>
              <w:jc w:val="center"/>
              <w:rPr>
                <w:rFonts w:ascii="Arial" w:eastAsia="Arial" w:hAnsi="Arial" w:cs="Arial"/>
                <w:b/>
                <w:color w:val="000000"/>
              </w:rPr>
            </w:pPr>
            <w:r>
              <w:rPr>
                <w:rFonts w:ascii="Arial" w:eastAsia="Arial" w:hAnsi="Arial" w:cs="Arial"/>
                <w:b/>
                <w:color w:val="000000"/>
              </w:rPr>
              <w:lastRenderedPageBreak/>
              <w:t>Хуулийн төсөлд тусгагдсан  гүйцэтгэх үүрэг буюу ажил үйлчилгээ</w:t>
            </w:r>
          </w:p>
        </w:tc>
        <w:tc>
          <w:tcPr>
            <w:tcW w:w="4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6F9F" w:rsidRDefault="00000000">
            <w:pPr>
              <w:spacing w:after="0" w:line="240" w:lineRule="auto"/>
              <w:jc w:val="center"/>
              <w:rPr>
                <w:rFonts w:ascii="Arial" w:eastAsia="Arial" w:hAnsi="Arial" w:cs="Arial"/>
                <w:b/>
                <w:color w:val="000000"/>
              </w:rPr>
            </w:pPr>
            <w:r>
              <w:rPr>
                <w:rFonts w:ascii="Arial" w:eastAsia="Arial" w:hAnsi="Arial" w:cs="Arial"/>
                <w:b/>
                <w:color w:val="000000"/>
              </w:rPr>
              <w:t>Чиг үүргийг хэрэгжүүлэхэд зайлшгүй хийгдэх стандарт үйл ажиллагаа</w:t>
            </w:r>
          </w:p>
        </w:tc>
        <w:tc>
          <w:tcPr>
            <w:tcW w:w="1988" w:type="dxa"/>
            <w:tcBorders>
              <w:top w:val="single" w:sz="4" w:space="0" w:color="000000"/>
              <w:left w:val="nil"/>
              <w:bottom w:val="single" w:sz="4" w:space="0" w:color="000000"/>
              <w:right w:val="single" w:sz="4" w:space="0" w:color="000000"/>
            </w:tcBorders>
            <w:shd w:val="clear" w:color="auto" w:fill="auto"/>
            <w:vAlign w:val="center"/>
          </w:tcPr>
          <w:p w:rsidR="00946F9F" w:rsidRDefault="00000000">
            <w:pPr>
              <w:spacing w:after="0" w:line="240" w:lineRule="auto"/>
              <w:jc w:val="center"/>
              <w:rPr>
                <w:rFonts w:ascii="Arial" w:eastAsia="Arial" w:hAnsi="Arial" w:cs="Arial"/>
                <w:b/>
                <w:color w:val="000000"/>
              </w:rPr>
            </w:pPr>
            <w:r>
              <w:rPr>
                <w:rFonts w:ascii="Arial" w:eastAsia="Arial" w:hAnsi="Arial" w:cs="Arial"/>
                <w:b/>
                <w:color w:val="000000"/>
              </w:rPr>
              <w:t xml:space="preserve">Зарцуулах хугацаа </w:t>
            </w:r>
            <w:r>
              <w:rPr>
                <w:rFonts w:ascii="Arial" w:eastAsia="Arial" w:hAnsi="Arial" w:cs="Arial"/>
                <w:b/>
              </w:rPr>
              <w:t>(минут)</w:t>
            </w:r>
          </w:p>
        </w:tc>
      </w:tr>
      <w:tr w:rsidR="00946F9F">
        <w:trPr>
          <w:trHeight w:val="665"/>
        </w:trPr>
        <w:tc>
          <w:tcPr>
            <w:tcW w:w="2560" w:type="dxa"/>
            <w:vMerge w:val="restart"/>
            <w:tcBorders>
              <w:top w:val="nil"/>
              <w:left w:val="single" w:sz="4" w:space="0" w:color="000000"/>
              <w:right w:val="single" w:sz="4" w:space="0" w:color="000000"/>
            </w:tcBorders>
            <w:shd w:val="clear" w:color="auto" w:fill="auto"/>
            <w:vAlign w:val="center"/>
          </w:tcPr>
          <w:p w:rsidR="00946F9F" w:rsidRDefault="00000000">
            <w:pPr>
              <w:spacing w:after="0" w:line="240" w:lineRule="auto"/>
              <w:rPr>
                <w:rFonts w:ascii="Arial" w:eastAsia="Arial" w:hAnsi="Arial" w:cs="Arial"/>
                <w:color w:val="000000"/>
              </w:rPr>
            </w:pPr>
            <w:r>
              <w:rPr>
                <w:rFonts w:ascii="Arial" w:eastAsia="Arial" w:hAnsi="Arial" w:cs="Arial"/>
              </w:rPr>
              <w:t>Зөвшөөрлийн тухай хуулийн 8.2 дугаар зүйлийн 4.6-д заасны дагуу аймаг, нийслэлийн Засаг дарга нь нийтийн хэрэглээний цахилгаан дугуй, цахилгаан скүүтерийн үйлчилгээ үзүүлэгч хуулийн этгээдэд зөвшөөрөл олгох</w:t>
            </w:r>
          </w:p>
        </w:tc>
        <w:tc>
          <w:tcPr>
            <w:tcW w:w="4666"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both"/>
              <w:rPr>
                <w:rFonts w:ascii="Arial" w:eastAsia="Arial" w:hAnsi="Arial" w:cs="Arial"/>
                <w:color w:val="000000"/>
              </w:rPr>
            </w:pPr>
            <w:r>
              <w:rPr>
                <w:rFonts w:ascii="Arial" w:eastAsia="Arial" w:hAnsi="Arial" w:cs="Arial"/>
                <w:color w:val="000000"/>
              </w:rPr>
              <w:t>Зөвшөөрөл хүсэгчийн ирүүлсэн баримт бичгийг хүлээж авах</w:t>
            </w:r>
          </w:p>
        </w:tc>
        <w:tc>
          <w:tcPr>
            <w:tcW w:w="1988" w:type="dxa"/>
            <w:tcBorders>
              <w:top w:val="single" w:sz="4" w:space="0" w:color="000000"/>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center"/>
              <w:rPr>
                <w:rFonts w:ascii="Arial" w:eastAsia="Arial" w:hAnsi="Arial" w:cs="Arial"/>
                <w:color w:val="000000"/>
              </w:rPr>
            </w:pPr>
            <w:r>
              <w:rPr>
                <w:rFonts w:ascii="Arial" w:eastAsia="Arial" w:hAnsi="Arial" w:cs="Arial"/>
                <w:color w:val="000000"/>
              </w:rPr>
              <w:t>480</w:t>
            </w:r>
          </w:p>
        </w:tc>
      </w:tr>
      <w:tr w:rsidR="00946F9F">
        <w:trPr>
          <w:trHeight w:val="630"/>
        </w:trPr>
        <w:tc>
          <w:tcPr>
            <w:tcW w:w="2560" w:type="dxa"/>
            <w:vMerge/>
            <w:tcBorders>
              <w:top w:val="nil"/>
              <w:left w:val="single" w:sz="4" w:space="0" w:color="000000"/>
              <w:right w:val="single" w:sz="4" w:space="0" w:color="000000"/>
            </w:tcBorders>
            <w:shd w:val="clear" w:color="auto" w:fill="auto"/>
            <w:vAlign w:val="center"/>
          </w:tcPr>
          <w:p w:rsidR="00946F9F" w:rsidRDefault="00946F9F">
            <w:pPr>
              <w:widowControl w:val="0"/>
              <w:pBdr>
                <w:top w:val="nil"/>
                <w:left w:val="nil"/>
                <w:bottom w:val="nil"/>
                <w:right w:val="nil"/>
                <w:between w:val="nil"/>
              </w:pBdr>
              <w:spacing w:after="0" w:line="276" w:lineRule="auto"/>
              <w:rPr>
                <w:rFonts w:ascii="Arial" w:eastAsia="Arial" w:hAnsi="Arial" w:cs="Arial"/>
                <w:color w:val="000000"/>
              </w:rPr>
            </w:pPr>
          </w:p>
        </w:tc>
        <w:tc>
          <w:tcPr>
            <w:tcW w:w="4666"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both"/>
              <w:rPr>
                <w:rFonts w:ascii="Arial" w:eastAsia="Arial" w:hAnsi="Arial" w:cs="Arial"/>
                <w:color w:val="000000"/>
              </w:rPr>
            </w:pPr>
            <w:r>
              <w:rPr>
                <w:rFonts w:ascii="Arial" w:eastAsia="Arial" w:hAnsi="Arial" w:cs="Arial"/>
                <w:color w:val="000000"/>
              </w:rPr>
              <w:t xml:space="preserve">Баримт бичгийг судлах </w:t>
            </w:r>
          </w:p>
        </w:tc>
        <w:tc>
          <w:tcPr>
            <w:tcW w:w="1988"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center"/>
              <w:rPr>
                <w:rFonts w:ascii="Arial" w:eastAsia="Arial" w:hAnsi="Arial" w:cs="Arial"/>
                <w:color w:val="000000"/>
              </w:rPr>
            </w:pPr>
            <w:r>
              <w:rPr>
                <w:rFonts w:ascii="Arial" w:eastAsia="Arial" w:hAnsi="Arial" w:cs="Arial"/>
                <w:color w:val="000000"/>
              </w:rPr>
              <w:t>960</w:t>
            </w:r>
          </w:p>
        </w:tc>
      </w:tr>
      <w:tr w:rsidR="00946F9F">
        <w:trPr>
          <w:trHeight w:val="615"/>
        </w:trPr>
        <w:tc>
          <w:tcPr>
            <w:tcW w:w="2560" w:type="dxa"/>
            <w:vMerge/>
            <w:tcBorders>
              <w:top w:val="nil"/>
              <w:left w:val="single" w:sz="4" w:space="0" w:color="000000"/>
              <w:right w:val="single" w:sz="4" w:space="0" w:color="000000"/>
            </w:tcBorders>
            <w:shd w:val="clear" w:color="auto" w:fill="auto"/>
            <w:vAlign w:val="center"/>
          </w:tcPr>
          <w:p w:rsidR="00946F9F" w:rsidRDefault="00946F9F">
            <w:pPr>
              <w:widowControl w:val="0"/>
              <w:pBdr>
                <w:top w:val="nil"/>
                <w:left w:val="nil"/>
                <w:bottom w:val="nil"/>
                <w:right w:val="nil"/>
                <w:between w:val="nil"/>
              </w:pBdr>
              <w:spacing w:after="0" w:line="276" w:lineRule="auto"/>
              <w:rPr>
                <w:rFonts w:ascii="Arial" w:eastAsia="Arial" w:hAnsi="Arial" w:cs="Arial"/>
                <w:color w:val="000000"/>
              </w:rPr>
            </w:pPr>
          </w:p>
        </w:tc>
        <w:tc>
          <w:tcPr>
            <w:tcW w:w="4666"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both"/>
              <w:rPr>
                <w:rFonts w:ascii="Arial" w:eastAsia="Arial" w:hAnsi="Arial" w:cs="Arial"/>
              </w:rPr>
            </w:pPr>
            <w:r>
              <w:rPr>
                <w:rFonts w:ascii="Arial" w:eastAsia="Arial" w:hAnsi="Arial" w:cs="Arial"/>
              </w:rPr>
              <w:t>Зөвшөөрөл олгох шаардлага хангасан, эсэх талаарх санал дүгнэлт боловсруулах</w:t>
            </w:r>
          </w:p>
        </w:tc>
        <w:tc>
          <w:tcPr>
            <w:tcW w:w="1988"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center"/>
              <w:rPr>
                <w:rFonts w:ascii="Arial" w:eastAsia="Arial" w:hAnsi="Arial" w:cs="Arial"/>
                <w:color w:val="000000"/>
              </w:rPr>
            </w:pPr>
            <w:r>
              <w:rPr>
                <w:rFonts w:ascii="Arial" w:eastAsia="Arial" w:hAnsi="Arial" w:cs="Arial"/>
                <w:color w:val="000000"/>
              </w:rPr>
              <w:t>2400</w:t>
            </w:r>
          </w:p>
        </w:tc>
      </w:tr>
      <w:tr w:rsidR="00946F9F">
        <w:trPr>
          <w:trHeight w:val="480"/>
        </w:trPr>
        <w:tc>
          <w:tcPr>
            <w:tcW w:w="2560" w:type="dxa"/>
            <w:vMerge/>
            <w:tcBorders>
              <w:top w:val="nil"/>
              <w:left w:val="single" w:sz="4" w:space="0" w:color="000000"/>
              <w:right w:val="single" w:sz="4" w:space="0" w:color="000000"/>
            </w:tcBorders>
            <w:shd w:val="clear" w:color="auto" w:fill="auto"/>
            <w:vAlign w:val="center"/>
          </w:tcPr>
          <w:p w:rsidR="00946F9F" w:rsidRDefault="00946F9F">
            <w:pPr>
              <w:widowControl w:val="0"/>
              <w:pBdr>
                <w:top w:val="nil"/>
                <w:left w:val="nil"/>
                <w:bottom w:val="nil"/>
                <w:right w:val="nil"/>
                <w:between w:val="nil"/>
              </w:pBdr>
              <w:spacing w:after="0" w:line="276" w:lineRule="auto"/>
              <w:rPr>
                <w:rFonts w:ascii="Arial" w:eastAsia="Arial" w:hAnsi="Arial" w:cs="Arial"/>
                <w:color w:val="000000"/>
              </w:rPr>
            </w:pPr>
          </w:p>
        </w:tc>
        <w:tc>
          <w:tcPr>
            <w:tcW w:w="4666"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both"/>
              <w:rPr>
                <w:rFonts w:ascii="Arial" w:eastAsia="Arial" w:hAnsi="Arial" w:cs="Arial"/>
              </w:rPr>
            </w:pPr>
            <w:r>
              <w:rPr>
                <w:rFonts w:ascii="Arial" w:eastAsia="Arial" w:hAnsi="Arial" w:cs="Arial"/>
              </w:rPr>
              <w:t>Зөвшөөрлийг олгох</w:t>
            </w:r>
          </w:p>
        </w:tc>
        <w:tc>
          <w:tcPr>
            <w:tcW w:w="1988"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center"/>
              <w:rPr>
                <w:rFonts w:ascii="Arial" w:eastAsia="Arial" w:hAnsi="Arial" w:cs="Arial"/>
                <w:color w:val="000000"/>
              </w:rPr>
            </w:pPr>
            <w:r>
              <w:rPr>
                <w:rFonts w:ascii="Arial" w:eastAsia="Arial" w:hAnsi="Arial" w:cs="Arial"/>
                <w:color w:val="000000"/>
              </w:rPr>
              <w:t>2400</w:t>
            </w:r>
          </w:p>
        </w:tc>
      </w:tr>
      <w:tr w:rsidR="00946F9F">
        <w:trPr>
          <w:trHeight w:val="405"/>
        </w:trPr>
        <w:tc>
          <w:tcPr>
            <w:tcW w:w="2560" w:type="dxa"/>
            <w:vMerge/>
            <w:tcBorders>
              <w:top w:val="nil"/>
              <w:left w:val="single" w:sz="4" w:space="0" w:color="000000"/>
              <w:right w:val="single" w:sz="4" w:space="0" w:color="000000"/>
            </w:tcBorders>
            <w:shd w:val="clear" w:color="auto" w:fill="auto"/>
            <w:vAlign w:val="center"/>
          </w:tcPr>
          <w:p w:rsidR="00946F9F" w:rsidRDefault="00946F9F">
            <w:pPr>
              <w:widowControl w:val="0"/>
              <w:pBdr>
                <w:top w:val="nil"/>
                <w:left w:val="nil"/>
                <w:bottom w:val="nil"/>
                <w:right w:val="nil"/>
                <w:between w:val="nil"/>
              </w:pBdr>
              <w:spacing w:after="0" w:line="276" w:lineRule="auto"/>
              <w:rPr>
                <w:rFonts w:ascii="Arial" w:eastAsia="Arial" w:hAnsi="Arial" w:cs="Arial"/>
                <w:color w:val="000000"/>
              </w:rPr>
            </w:pPr>
          </w:p>
        </w:tc>
        <w:tc>
          <w:tcPr>
            <w:tcW w:w="4666"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both"/>
              <w:rPr>
                <w:rFonts w:ascii="Arial" w:eastAsia="Arial" w:hAnsi="Arial" w:cs="Arial"/>
                <w:color w:val="000000"/>
              </w:rPr>
            </w:pPr>
            <w:r>
              <w:rPr>
                <w:rFonts w:ascii="Arial" w:eastAsia="Arial" w:hAnsi="Arial" w:cs="Arial"/>
                <w:color w:val="000000"/>
              </w:rPr>
              <w:t>Зөвшөөрөлтэй холбоотой баримт бичгийг архивлах</w:t>
            </w:r>
          </w:p>
        </w:tc>
        <w:tc>
          <w:tcPr>
            <w:tcW w:w="1988"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center"/>
              <w:rPr>
                <w:rFonts w:ascii="Arial" w:eastAsia="Arial" w:hAnsi="Arial" w:cs="Arial"/>
                <w:color w:val="000000"/>
              </w:rPr>
            </w:pPr>
            <w:r>
              <w:rPr>
                <w:rFonts w:ascii="Arial" w:eastAsia="Arial" w:hAnsi="Arial" w:cs="Arial"/>
                <w:color w:val="000000"/>
              </w:rPr>
              <w:t>480</w:t>
            </w:r>
          </w:p>
        </w:tc>
      </w:tr>
      <w:tr w:rsidR="00946F9F">
        <w:trPr>
          <w:trHeight w:val="405"/>
        </w:trPr>
        <w:tc>
          <w:tcPr>
            <w:tcW w:w="2560" w:type="dxa"/>
            <w:vMerge/>
            <w:tcBorders>
              <w:top w:val="nil"/>
              <w:left w:val="single" w:sz="4" w:space="0" w:color="000000"/>
              <w:right w:val="single" w:sz="4" w:space="0" w:color="000000"/>
            </w:tcBorders>
            <w:shd w:val="clear" w:color="auto" w:fill="auto"/>
            <w:vAlign w:val="center"/>
          </w:tcPr>
          <w:p w:rsidR="00946F9F" w:rsidRDefault="00946F9F">
            <w:pPr>
              <w:widowControl w:val="0"/>
              <w:pBdr>
                <w:top w:val="nil"/>
                <w:left w:val="nil"/>
                <w:bottom w:val="nil"/>
                <w:right w:val="nil"/>
                <w:between w:val="nil"/>
              </w:pBdr>
              <w:spacing w:after="0" w:line="276" w:lineRule="auto"/>
              <w:rPr>
                <w:rFonts w:ascii="Arial" w:eastAsia="Arial" w:hAnsi="Arial" w:cs="Arial"/>
                <w:color w:val="000000"/>
              </w:rPr>
            </w:pPr>
          </w:p>
        </w:tc>
        <w:tc>
          <w:tcPr>
            <w:tcW w:w="4666"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both"/>
              <w:rPr>
                <w:rFonts w:ascii="Arial" w:eastAsia="Arial" w:hAnsi="Arial" w:cs="Arial"/>
              </w:rPr>
            </w:pPr>
            <w:r>
              <w:rPr>
                <w:rFonts w:ascii="Arial" w:eastAsia="Arial" w:hAnsi="Arial" w:cs="Arial"/>
              </w:rPr>
              <w:t>Зөвшөөрөл эзэмшигчийн талаар мэдээллийн сан бий болгох</w:t>
            </w:r>
          </w:p>
        </w:tc>
        <w:tc>
          <w:tcPr>
            <w:tcW w:w="1988"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center"/>
              <w:rPr>
                <w:rFonts w:ascii="Arial" w:eastAsia="Arial" w:hAnsi="Arial" w:cs="Arial"/>
                <w:color w:val="000000"/>
              </w:rPr>
            </w:pPr>
            <w:r>
              <w:rPr>
                <w:rFonts w:ascii="Arial" w:eastAsia="Arial" w:hAnsi="Arial" w:cs="Arial"/>
                <w:color w:val="000000"/>
              </w:rPr>
              <w:t>960</w:t>
            </w:r>
          </w:p>
        </w:tc>
      </w:tr>
      <w:tr w:rsidR="00946F9F">
        <w:trPr>
          <w:trHeight w:val="405"/>
        </w:trPr>
        <w:tc>
          <w:tcPr>
            <w:tcW w:w="2560" w:type="dxa"/>
            <w:vMerge/>
            <w:tcBorders>
              <w:top w:val="nil"/>
              <w:left w:val="single" w:sz="4" w:space="0" w:color="000000"/>
              <w:right w:val="single" w:sz="4" w:space="0" w:color="000000"/>
            </w:tcBorders>
            <w:shd w:val="clear" w:color="auto" w:fill="auto"/>
            <w:vAlign w:val="center"/>
          </w:tcPr>
          <w:p w:rsidR="00946F9F" w:rsidRDefault="00946F9F">
            <w:pPr>
              <w:widowControl w:val="0"/>
              <w:pBdr>
                <w:top w:val="nil"/>
                <w:left w:val="nil"/>
                <w:bottom w:val="nil"/>
                <w:right w:val="nil"/>
                <w:between w:val="nil"/>
              </w:pBdr>
              <w:spacing w:after="0" w:line="276" w:lineRule="auto"/>
              <w:rPr>
                <w:rFonts w:ascii="Arial" w:eastAsia="Arial" w:hAnsi="Arial" w:cs="Arial"/>
                <w:color w:val="000000"/>
              </w:rPr>
            </w:pPr>
          </w:p>
        </w:tc>
        <w:tc>
          <w:tcPr>
            <w:tcW w:w="4666"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both"/>
              <w:rPr>
                <w:rFonts w:ascii="Arial" w:eastAsia="Arial" w:hAnsi="Arial" w:cs="Arial"/>
              </w:rPr>
            </w:pPr>
            <w:r>
              <w:rPr>
                <w:rFonts w:ascii="Arial" w:eastAsia="Arial" w:hAnsi="Arial" w:cs="Arial"/>
              </w:rPr>
              <w:t>Зөвшөөрөлтэй холбоотой гомдол мэдээллийг шийдвэрлэх</w:t>
            </w:r>
          </w:p>
        </w:tc>
        <w:tc>
          <w:tcPr>
            <w:tcW w:w="1988"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center"/>
              <w:rPr>
                <w:rFonts w:ascii="Arial" w:eastAsia="Arial" w:hAnsi="Arial" w:cs="Arial"/>
                <w:color w:val="000000"/>
              </w:rPr>
            </w:pPr>
            <w:r>
              <w:rPr>
                <w:rFonts w:ascii="Arial" w:eastAsia="Arial" w:hAnsi="Arial" w:cs="Arial"/>
                <w:color w:val="000000"/>
              </w:rPr>
              <w:t>2400</w:t>
            </w:r>
          </w:p>
        </w:tc>
      </w:tr>
      <w:tr w:rsidR="00946F9F">
        <w:trPr>
          <w:trHeight w:val="405"/>
        </w:trPr>
        <w:tc>
          <w:tcPr>
            <w:tcW w:w="2560" w:type="dxa"/>
            <w:vMerge/>
            <w:tcBorders>
              <w:top w:val="nil"/>
              <w:left w:val="single" w:sz="4" w:space="0" w:color="000000"/>
              <w:right w:val="single" w:sz="4" w:space="0" w:color="000000"/>
            </w:tcBorders>
            <w:shd w:val="clear" w:color="auto" w:fill="auto"/>
            <w:vAlign w:val="center"/>
          </w:tcPr>
          <w:p w:rsidR="00946F9F" w:rsidRDefault="00946F9F">
            <w:pPr>
              <w:widowControl w:val="0"/>
              <w:pBdr>
                <w:top w:val="nil"/>
                <w:left w:val="nil"/>
                <w:bottom w:val="nil"/>
                <w:right w:val="nil"/>
                <w:between w:val="nil"/>
              </w:pBdr>
              <w:spacing w:after="0" w:line="276" w:lineRule="auto"/>
              <w:rPr>
                <w:rFonts w:ascii="Arial" w:eastAsia="Arial" w:hAnsi="Arial" w:cs="Arial"/>
                <w:color w:val="000000"/>
              </w:rPr>
            </w:pPr>
          </w:p>
        </w:tc>
        <w:tc>
          <w:tcPr>
            <w:tcW w:w="4666"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both"/>
              <w:rPr>
                <w:rFonts w:ascii="Arial" w:eastAsia="Arial" w:hAnsi="Arial" w:cs="Arial"/>
              </w:rPr>
            </w:pPr>
            <w:r>
              <w:rPr>
                <w:rFonts w:ascii="Arial" w:eastAsia="Arial" w:hAnsi="Arial" w:cs="Arial"/>
              </w:rPr>
              <w:t>Зөвшөөрөлтэй холбоотой мэдээллээр олон нийтийг хангах</w:t>
            </w:r>
          </w:p>
        </w:tc>
        <w:tc>
          <w:tcPr>
            <w:tcW w:w="1988" w:type="dxa"/>
            <w:tcBorders>
              <w:top w:val="nil"/>
              <w:left w:val="nil"/>
              <w:bottom w:val="single" w:sz="4" w:space="0" w:color="000000"/>
              <w:right w:val="single" w:sz="4" w:space="0" w:color="000000"/>
            </w:tcBorders>
            <w:shd w:val="clear" w:color="auto" w:fill="auto"/>
            <w:vAlign w:val="center"/>
          </w:tcPr>
          <w:p w:rsidR="00946F9F" w:rsidRDefault="00000000" w:rsidP="00DE76D5">
            <w:pPr>
              <w:spacing w:after="0" w:line="240" w:lineRule="auto"/>
              <w:jc w:val="center"/>
              <w:rPr>
                <w:rFonts w:ascii="Arial" w:eastAsia="Arial" w:hAnsi="Arial" w:cs="Arial"/>
                <w:color w:val="000000"/>
              </w:rPr>
            </w:pPr>
            <w:r>
              <w:rPr>
                <w:rFonts w:ascii="Arial" w:eastAsia="Arial" w:hAnsi="Arial" w:cs="Arial"/>
                <w:color w:val="000000"/>
              </w:rPr>
              <w:t>960</w:t>
            </w:r>
          </w:p>
        </w:tc>
      </w:tr>
      <w:tr w:rsidR="00946F9F">
        <w:trPr>
          <w:trHeight w:val="553"/>
        </w:trPr>
        <w:tc>
          <w:tcPr>
            <w:tcW w:w="7226" w:type="dxa"/>
            <w:gridSpan w:val="2"/>
            <w:tcBorders>
              <w:top w:val="single" w:sz="4" w:space="0" w:color="000000"/>
              <w:left w:val="single" w:sz="4" w:space="0" w:color="000000"/>
              <w:bottom w:val="single" w:sz="4" w:space="0" w:color="000000"/>
              <w:right w:val="single" w:sz="4" w:space="0" w:color="000000"/>
            </w:tcBorders>
            <w:vAlign w:val="center"/>
          </w:tcPr>
          <w:p w:rsidR="00946F9F" w:rsidRDefault="00000000">
            <w:pPr>
              <w:spacing w:after="0" w:line="240" w:lineRule="auto"/>
              <w:jc w:val="center"/>
              <w:rPr>
                <w:rFonts w:ascii="Arial" w:eastAsia="Arial" w:hAnsi="Arial" w:cs="Arial"/>
                <w:color w:val="000000"/>
              </w:rPr>
            </w:pPr>
            <w:r>
              <w:rPr>
                <w:rFonts w:ascii="Arial" w:eastAsia="Arial" w:hAnsi="Arial" w:cs="Arial"/>
                <w:b/>
                <w:color w:val="000000"/>
              </w:rPr>
              <w:t>НИЙТ ШААРДЛАГАТАЙ ХУГАЦАА</w:t>
            </w:r>
          </w:p>
        </w:tc>
        <w:tc>
          <w:tcPr>
            <w:tcW w:w="1988" w:type="dxa"/>
            <w:tcBorders>
              <w:top w:val="single" w:sz="4" w:space="0" w:color="000000"/>
              <w:left w:val="single" w:sz="4" w:space="0" w:color="000000"/>
              <w:bottom w:val="single" w:sz="4" w:space="0" w:color="000000"/>
              <w:right w:val="single" w:sz="4" w:space="0" w:color="000000"/>
            </w:tcBorders>
            <w:vAlign w:val="center"/>
          </w:tcPr>
          <w:p w:rsidR="00946F9F" w:rsidRDefault="00000000">
            <w:pPr>
              <w:spacing w:after="0" w:line="240" w:lineRule="auto"/>
              <w:jc w:val="center"/>
              <w:rPr>
                <w:rFonts w:ascii="Arial" w:eastAsia="Arial" w:hAnsi="Arial" w:cs="Arial"/>
                <w:color w:val="000000"/>
              </w:rPr>
            </w:pPr>
            <w:r>
              <w:rPr>
                <w:rFonts w:ascii="Arial" w:eastAsia="Arial" w:hAnsi="Arial" w:cs="Arial"/>
                <w:color w:val="000000"/>
              </w:rPr>
              <w:t>11040</w:t>
            </w:r>
          </w:p>
        </w:tc>
      </w:tr>
    </w:tbl>
    <w:p w:rsidR="00946F9F" w:rsidRDefault="00000000">
      <w:pPr>
        <w:spacing w:before="240"/>
        <w:ind w:firstLine="720"/>
        <w:jc w:val="both"/>
        <w:rPr>
          <w:rFonts w:ascii="Arial" w:eastAsia="Arial" w:hAnsi="Arial" w:cs="Arial"/>
          <w:b/>
        </w:rPr>
      </w:pPr>
      <w:r>
        <w:rPr>
          <w:rFonts w:ascii="Arial" w:eastAsia="Arial" w:hAnsi="Arial" w:cs="Arial"/>
          <w:b/>
        </w:rPr>
        <w:t>Хүний нөөцийн хэрэгцээ=Зарцуулах хугацаа * тохиолдлын тоо</w:t>
      </w:r>
    </w:p>
    <w:p w:rsidR="00946F9F" w:rsidRDefault="00000000">
      <w:pPr>
        <w:spacing w:before="240"/>
        <w:ind w:firstLine="720"/>
        <w:jc w:val="both"/>
        <w:rPr>
          <w:rFonts w:ascii="Arial" w:eastAsia="Arial" w:hAnsi="Arial" w:cs="Arial"/>
        </w:rPr>
      </w:pPr>
      <w:r>
        <w:rPr>
          <w:rFonts w:ascii="Arial" w:eastAsia="Arial" w:hAnsi="Arial" w:cs="Arial"/>
        </w:rPr>
        <w:t xml:space="preserve">33120 = </w:t>
      </w:r>
      <w:r>
        <w:rPr>
          <w:rFonts w:ascii="Arial" w:eastAsia="Arial" w:hAnsi="Arial" w:cs="Arial"/>
          <w:color w:val="000000"/>
        </w:rPr>
        <w:t xml:space="preserve">11040 </w:t>
      </w:r>
      <w:r>
        <w:rPr>
          <w:rFonts w:ascii="Arial" w:eastAsia="Arial" w:hAnsi="Arial" w:cs="Arial"/>
        </w:rPr>
        <w:t>минут * 3</w:t>
      </w:r>
      <w:r>
        <w:rPr>
          <w:rFonts w:ascii="Arial" w:eastAsia="Arial" w:hAnsi="Arial" w:cs="Arial"/>
          <w:vertAlign w:val="superscript"/>
        </w:rPr>
        <w:footnoteReference w:id="11"/>
      </w:r>
      <w:r>
        <w:rPr>
          <w:rFonts w:ascii="Arial" w:eastAsia="Arial" w:hAnsi="Arial" w:cs="Arial"/>
        </w:rPr>
        <w:t xml:space="preserve"> /тухайн ажлыг 1 удаа хийнэ гэж тооцсон боловч хуулийн төсөл батлагдсан тохиолдолд 3 хуулийн этгээд зөвшөөрөл хүсэх магадлалтай учир тохиолдлыг тоог 3 гэж тооцлоо./</w:t>
      </w:r>
    </w:p>
    <w:p w:rsidR="00946F9F" w:rsidRDefault="00000000">
      <w:pPr>
        <w:spacing w:before="240"/>
        <w:ind w:firstLine="720"/>
        <w:jc w:val="both"/>
        <w:rPr>
          <w:rFonts w:ascii="Arial" w:eastAsia="Arial" w:hAnsi="Arial" w:cs="Arial"/>
        </w:rPr>
      </w:pPr>
      <w:r>
        <w:rPr>
          <w:rFonts w:ascii="Arial" w:eastAsia="Arial" w:hAnsi="Arial" w:cs="Arial"/>
        </w:rPr>
        <w:t xml:space="preserve">Тооцож гаргасан хүний нөөцийн хэрэгцээг жилд шаардагдах ажлын цагт хувааж тухайн ажил, үйлчилгээг гүйцэтгэх ажилтны тоо буюу нэмэгдэх ажлын ачааллын хувийг гаргана. </w:t>
      </w:r>
    </w:p>
    <w:p w:rsidR="00946F9F" w:rsidRDefault="00000000">
      <w:pPr>
        <w:spacing w:before="240"/>
        <w:ind w:firstLine="720"/>
        <w:jc w:val="both"/>
        <w:rPr>
          <w:rFonts w:ascii="Arial" w:eastAsia="Arial" w:hAnsi="Arial" w:cs="Arial"/>
        </w:rPr>
      </w:pPr>
      <w:r>
        <w:rPr>
          <w:rFonts w:ascii="Arial" w:eastAsia="Arial" w:hAnsi="Arial" w:cs="Arial"/>
        </w:rPr>
        <w:t>33120</w:t>
      </w:r>
      <w:r>
        <w:rPr>
          <w:rFonts w:ascii="Arial" w:eastAsia="Arial" w:hAnsi="Arial" w:cs="Arial"/>
          <w:color w:val="000000"/>
        </w:rPr>
        <w:t xml:space="preserve"> </w:t>
      </w:r>
      <w:r>
        <w:rPr>
          <w:rFonts w:ascii="Arial" w:eastAsia="Arial" w:hAnsi="Arial" w:cs="Arial"/>
        </w:rPr>
        <w:t>минут: 8</w:t>
      </w:r>
      <w:r>
        <w:rPr>
          <w:rFonts w:ascii="Arial" w:eastAsia="Arial" w:hAnsi="Arial" w:cs="Arial"/>
          <w:vertAlign w:val="superscript"/>
        </w:rPr>
        <w:footnoteReference w:id="12"/>
      </w:r>
      <w:r>
        <w:rPr>
          <w:rFonts w:ascii="Arial" w:eastAsia="Arial" w:hAnsi="Arial" w:cs="Arial"/>
        </w:rPr>
        <w:t xml:space="preserve"> = 4140 минут</w:t>
      </w:r>
    </w:p>
    <w:p w:rsidR="00946F9F" w:rsidRDefault="00000000">
      <w:pPr>
        <w:spacing w:after="0" w:line="276" w:lineRule="auto"/>
        <w:ind w:firstLine="720"/>
        <w:jc w:val="both"/>
        <w:rPr>
          <w:rFonts w:ascii="Arial" w:eastAsia="Arial" w:hAnsi="Arial" w:cs="Arial"/>
        </w:rPr>
      </w:pPr>
      <w:r>
        <w:rPr>
          <w:rFonts w:ascii="Arial" w:eastAsia="Arial" w:hAnsi="Arial" w:cs="Arial"/>
        </w:rPr>
        <w:t>4140 минут буюу 69 цаг : 200</w:t>
      </w:r>
      <w:r>
        <w:rPr>
          <w:rFonts w:ascii="Arial" w:eastAsia="Arial" w:hAnsi="Arial" w:cs="Arial"/>
          <w:vertAlign w:val="superscript"/>
        </w:rPr>
        <w:footnoteReference w:id="13"/>
      </w:r>
      <w:r>
        <w:rPr>
          <w:rFonts w:ascii="Arial" w:eastAsia="Arial" w:hAnsi="Arial" w:cs="Arial"/>
        </w:rPr>
        <w:t xml:space="preserve"> = 0.345 албан хаагч шаардлагатай буюу хүний нөөц нэмэх шаардлагагүй, одоо байгаа нөөцөө хуваарилах замаар чиг үүргийг хэрэгжүүлэх боломжтой гэж дүгнэлээ.</w:t>
      </w:r>
    </w:p>
    <w:p w:rsidR="00946F9F" w:rsidRDefault="00946F9F">
      <w:pPr>
        <w:spacing w:after="0" w:line="276" w:lineRule="auto"/>
        <w:ind w:firstLine="720"/>
        <w:jc w:val="both"/>
        <w:rPr>
          <w:rFonts w:ascii="Arial" w:eastAsia="Arial" w:hAnsi="Arial" w:cs="Arial"/>
        </w:rPr>
      </w:pPr>
    </w:p>
    <w:p w:rsidR="00946F9F" w:rsidRDefault="00000000">
      <w:pPr>
        <w:spacing w:after="0" w:line="276" w:lineRule="auto"/>
        <w:jc w:val="center"/>
        <w:rPr>
          <w:rFonts w:ascii="Arial" w:eastAsia="Arial" w:hAnsi="Arial" w:cs="Arial"/>
          <w:b/>
        </w:rPr>
      </w:pPr>
      <w:r>
        <w:rPr>
          <w:rFonts w:ascii="Arial" w:eastAsia="Arial" w:hAnsi="Arial" w:cs="Arial"/>
          <w:b/>
        </w:rPr>
        <w:t>Гарах зардлыг урьдчилан тооцох:</w:t>
      </w:r>
    </w:p>
    <w:p w:rsidR="00946F9F" w:rsidRDefault="00946F9F">
      <w:pPr>
        <w:spacing w:after="0" w:line="276" w:lineRule="auto"/>
        <w:ind w:firstLine="720"/>
        <w:jc w:val="both"/>
        <w:rPr>
          <w:rFonts w:ascii="Arial" w:eastAsia="Arial" w:hAnsi="Arial" w:cs="Arial"/>
        </w:rPr>
      </w:pPr>
    </w:p>
    <w:p w:rsidR="00946F9F" w:rsidRDefault="00000000">
      <w:pPr>
        <w:spacing w:line="276" w:lineRule="auto"/>
        <w:ind w:firstLine="720"/>
        <w:jc w:val="both"/>
        <w:rPr>
          <w:rFonts w:ascii="Arial" w:eastAsia="Arial" w:hAnsi="Arial" w:cs="Arial"/>
          <w:b/>
        </w:rPr>
      </w:pPr>
      <w:r>
        <w:rPr>
          <w:rFonts w:ascii="Arial" w:eastAsia="Arial" w:hAnsi="Arial" w:cs="Arial"/>
        </w:rPr>
        <w:t xml:space="preserve">Хуулиар хүлээсэн чиг үүргээ хэрэгжүүлэхэд шаардлагатай хүний нөөцийн тоо нь тодорхой болсон тул тухайн төрийн байгууллагад хүний нөөц, материаллаг болон бусад зардлыг харгалзах шаардлагатай. Өөрөөр хэлбэл хүн ажиллахад цалин хөлсний зардлаас түрээсийн төлбөр, эд хөрөнгийн элэгдэл хорогдол, цахилгаан дулаан, бичиг хэрэг, техник, тоног төхөөрөмж, урсгал болон хөрөнгө оруулалт, бусад дагалдах зардлууд гардаг байна. </w:t>
      </w:r>
    </w:p>
    <w:p w:rsidR="00946F9F" w:rsidRDefault="00000000">
      <w:pPr>
        <w:spacing w:after="0" w:line="276" w:lineRule="auto"/>
        <w:ind w:firstLine="720"/>
        <w:jc w:val="both"/>
        <w:rPr>
          <w:rFonts w:ascii="Arial" w:eastAsia="Arial" w:hAnsi="Arial" w:cs="Arial"/>
        </w:rPr>
      </w:pPr>
      <w:r>
        <w:rPr>
          <w:rFonts w:ascii="Arial" w:eastAsia="Arial" w:hAnsi="Arial" w:cs="Arial"/>
        </w:rPr>
        <w:t>Гэвч төрийн албан хаагчийг цалин хөлснөөс гадна бусад нэмэлт зардлыг тооцоолох нэгдсэн стандарт, жишиг байхгүй тул зардлын тооцоог үүгээр дуусгаж байна.</w:t>
      </w:r>
    </w:p>
    <w:p w:rsidR="00946F9F" w:rsidRDefault="00000000">
      <w:pPr>
        <w:spacing w:before="240"/>
        <w:ind w:firstLine="426"/>
        <w:rPr>
          <w:rFonts w:ascii="Arial" w:eastAsia="Arial" w:hAnsi="Arial" w:cs="Arial"/>
          <w:b/>
        </w:rPr>
      </w:pPr>
      <w:r>
        <w:rPr>
          <w:rFonts w:ascii="Arial" w:eastAsia="Arial" w:hAnsi="Arial" w:cs="Arial"/>
          <w:b/>
        </w:rPr>
        <w:t>3.3. Хувилбарыг нягталж хялбарчлах боломжийг шалгах:</w:t>
      </w:r>
    </w:p>
    <w:p w:rsidR="00946F9F" w:rsidRDefault="00000000">
      <w:pPr>
        <w:ind w:firstLine="710"/>
        <w:jc w:val="both"/>
        <w:rPr>
          <w:rFonts w:ascii="Arial" w:eastAsia="Arial" w:hAnsi="Arial" w:cs="Arial"/>
        </w:rPr>
      </w:pPr>
      <w:r>
        <w:rPr>
          <w:rFonts w:ascii="Arial" w:eastAsia="Arial" w:hAnsi="Arial" w:cs="Arial"/>
        </w:rPr>
        <w:t>Хялбарчлах боломжийг шалгаж үр дүнг танилцуулах үе шатанд хуулийн төсөлд шинээр нэмж байгаа буюу өөрчилж байгаа зохицуулалттай холбогдон гарах төсвийн зардлыг багасгах, эдийн засагт дарамт багатай өөр хувилбар, боломж байгаа эсэхийг шалгана.</w:t>
      </w:r>
    </w:p>
    <w:p w:rsidR="00946F9F" w:rsidRDefault="00000000">
      <w:pPr>
        <w:ind w:firstLine="710"/>
        <w:jc w:val="both"/>
        <w:rPr>
          <w:rFonts w:ascii="Arial" w:eastAsia="Arial" w:hAnsi="Arial" w:cs="Arial"/>
        </w:rPr>
      </w:pPr>
      <w:r>
        <w:rPr>
          <w:rFonts w:ascii="Arial" w:eastAsia="Arial" w:hAnsi="Arial" w:cs="Arial"/>
        </w:rPr>
        <w:t>Цаашид улсын төсөвт нэмэлт зардал тусгахгүй бөгөөд нийтийн хэрэглээний цахилгаан дугуй, цахилгаан скүүтерийн үйлчилгээ үзүүлэгч хуулийн этгээдэд зөвшөөрөл олгоход холбогдох төрийн байгууллагын одоогийн хүний нөөцийн хүрээнд ажиллах боломжтой байх тул төсвийн зардлыг багасгах, эдийн засагт дарамт багатай өөр хувилбар, боломж байгаа эсэхийг шалгах шаардлагагүй гэж үзлээ.</w:t>
      </w: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DE76D5" w:rsidRDefault="00DE76D5">
      <w:pPr>
        <w:jc w:val="center"/>
        <w:rPr>
          <w:rFonts w:ascii="Arial" w:eastAsia="Arial" w:hAnsi="Arial" w:cs="Arial"/>
          <w:b/>
        </w:rPr>
      </w:pPr>
    </w:p>
    <w:p w:rsidR="00946F9F" w:rsidRDefault="00000000">
      <w:pPr>
        <w:jc w:val="center"/>
        <w:rPr>
          <w:rFonts w:ascii="Arial" w:eastAsia="Arial" w:hAnsi="Arial" w:cs="Arial"/>
          <w:b/>
        </w:rPr>
      </w:pPr>
      <w:r>
        <w:rPr>
          <w:rFonts w:ascii="Arial" w:eastAsia="Arial" w:hAnsi="Arial" w:cs="Arial"/>
          <w:b/>
        </w:rPr>
        <w:lastRenderedPageBreak/>
        <w:t>ДӨРӨВ. НЭГДСЭН ДҮГНЭЛТ</w:t>
      </w:r>
    </w:p>
    <w:p w:rsidR="00946F9F" w:rsidRDefault="00000000">
      <w:pPr>
        <w:ind w:firstLine="720"/>
        <w:jc w:val="both"/>
        <w:rPr>
          <w:rFonts w:ascii="Arial" w:eastAsia="Arial" w:hAnsi="Arial" w:cs="Arial"/>
        </w:rPr>
      </w:pPr>
      <w:r>
        <w:rPr>
          <w:rFonts w:ascii="Arial" w:eastAsia="Arial" w:hAnsi="Arial" w:cs="Arial"/>
        </w:rPr>
        <w:t>Замын хөдөлгөөний аюулгүй байдлын тухай хуульд нэмэлт, өөрчлөлт оруулах хуулийн төслийг дагалдан гарах зардлын тооцоог Хууль тогтоомжийн тухай хуулийн 8 дугаар зүйлийн 8.1.4 дэх заалтад заасны дагуу Засгийн газрын 2016 оны 59 дүгээр тогтоолын 4 дүгээр хавсралтаар баталсан аргачлалыг баримтлан гүйцэтгэв.</w:t>
      </w:r>
    </w:p>
    <w:p w:rsidR="00946F9F" w:rsidRDefault="00000000">
      <w:pPr>
        <w:ind w:firstLine="720"/>
        <w:jc w:val="both"/>
        <w:rPr>
          <w:rFonts w:ascii="Arial" w:eastAsia="Arial" w:hAnsi="Arial" w:cs="Arial"/>
        </w:rPr>
      </w:pPr>
      <w:r>
        <w:rPr>
          <w:rFonts w:ascii="Arial" w:eastAsia="Arial" w:hAnsi="Arial" w:cs="Arial"/>
        </w:rPr>
        <w:t xml:space="preserve">Замын хөдөлгөөний аюулгүй байдлын тухай хуульд нэмэлт, өөрчлөлт оруулах хуулийн төсөлд иргэн буюу цахилгаан дугуй, цахилгаан скүүтерийн жолоочид хориглосон зүйлсийг тусгасан боловч аливаа зардал үүсгэхгүй бөгөөд төрийн байгууллага болон нийтийн хэрэглээний цахилгаан дугуй, цахилгаан скүүтерийн үйлчилгээ үзүүлэх зөвшөөрөл авах хуулийн этгээдэд тодорхой зардал үүсгэх зохицуулалт агуулсан байна. </w:t>
      </w:r>
    </w:p>
    <w:p w:rsidR="00946F9F" w:rsidRDefault="00000000">
      <w:pPr>
        <w:spacing w:before="240" w:after="0" w:line="276" w:lineRule="auto"/>
        <w:ind w:firstLine="720"/>
        <w:jc w:val="both"/>
        <w:rPr>
          <w:rFonts w:ascii="Arial" w:eastAsia="Arial" w:hAnsi="Arial" w:cs="Arial"/>
        </w:rPr>
      </w:pPr>
      <w:r>
        <w:rPr>
          <w:rFonts w:ascii="Arial" w:eastAsia="Arial" w:hAnsi="Arial" w:cs="Arial"/>
        </w:rPr>
        <w:t>Хуулийн этгээд нь энгийн зөвшөөрөл хүсэж, баримт бичгийг бэлтгэхэд зориулан 1,916,482.5 төгрөгийн үйл ажиллагааны зардал гарахаар байна.</w:t>
      </w:r>
    </w:p>
    <w:p w:rsidR="00946F9F" w:rsidRDefault="00000000">
      <w:pPr>
        <w:spacing w:before="240" w:after="0" w:line="276" w:lineRule="auto"/>
        <w:jc w:val="both"/>
        <w:rPr>
          <w:rFonts w:ascii="Arial" w:eastAsia="Arial" w:hAnsi="Arial" w:cs="Arial"/>
        </w:rPr>
      </w:pPr>
      <w:r>
        <w:rPr>
          <w:rFonts w:ascii="Arial" w:eastAsia="Arial" w:hAnsi="Arial" w:cs="Arial"/>
        </w:rPr>
        <w:tab/>
        <w:t>Харин тухайн хуулийн этгээдийн үйл ажиллагааг эрхлэн явуулахтай холбоотой хөрөнгө оруулалтын зардлыг энэхүү зардлын тооцоогоор гаргахгүй бөгөөд тэр нь хуулийн этгээдийн бизнесийн үйл ажиллагааны зардал болно.</w:t>
      </w:r>
    </w:p>
    <w:p w:rsidR="00946F9F" w:rsidRDefault="00000000">
      <w:pPr>
        <w:spacing w:before="240" w:after="0" w:line="276" w:lineRule="auto"/>
        <w:ind w:firstLine="720"/>
        <w:jc w:val="both"/>
        <w:rPr>
          <w:rFonts w:ascii="Arial" w:eastAsia="Arial" w:hAnsi="Arial" w:cs="Arial"/>
        </w:rPr>
      </w:pPr>
      <w:r>
        <w:rPr>
          <w:rFonts w:ascii="Arial" w:eastAsia="Arial" w:hAnsi="Arial" w:cs="Arial"/>
        </w:rPr>
        <w:t xml:space="preserve">Төрийн байгууллагын зардлын тухайд аймаг, нийслэлийн Засаг дарга энгийн зөвшөөрлийг олгох үүргийг хүлээж байгаатай холбоотойгоор шинээр хүний нөөцийн хэрэгцээ үүсэх эсэхийг тооцоолсон болно. Ийнхүү тооцоолоход аймаг, нийслэлийн Засаг дарга шинэ чиг үүрэг нэмэгдэж байгаатай холбоотойгоор нэмэгдэх ачаалал нь нэг албан хаагчид хүрэхээргүй байх тул одоо байгаа нөөцөө хуваарилах замаар чиг үүргийг хэрэгжүүлэх боломжтой гэж үзлээ. </w:t>
      </w:r>
    </w:p>
    <w:p w:rsidR="00946F9F" w:rsidRDefault="00000000">
      <w:pPr>
        <w:spacing w:before="240" w:after="0" w:line="276" w:lineRule="auto"/>
        <w:ind w:firstLine="720"/>
        <w:jc w:val="both"/>
        <w:rPr>
          <w:rFonts w:ascii="Arial" w:eastAsia="Arial" w:hAnsi="Arial" w:cs="Arial"/>
        </w:rPr>
      </w:pPr>
      <w:r>
        <w:rPr>
          <w:rFonts w:ascii="Arial" w:eastAsia="Arial" w:hAnsi="Arial" w:cs="Arial"/>
        </w:rPr>
        <w:t>Замын хөдөлгөөний аюулгүй байдлын тухай хуульд нэмэлт, өөрчлөлт оруулах хуулийн төсөлд иргэн, хуулийн этгээдэд үүрэг болгосон зохицуулалтаас илүү үйл ажиллагааны баталгааг нь хангасан, иргэнийг хамгаалсан, эрх, үүргийг тодорхой болгосон шинэлэг зохицуулалтууд оруулсан байна.</w:t>
      </w:r>
    </w:p>
    <w:p w:rsidR="00946F9F" w:rsidRDefault="00946F9F">
      <w:pPr>
        <w:ind w:firstLine="720"/>
        <w:jc w:val="both"/>
        <w:rPr>
          <w:rFonts w:ascii="Arial" w:eastAsia="Arial" w:hAnsi="Arial" w:cs="Arial"/>
        </w:rPr>
      </w:pPr>
    </w:p>
    <w:sectPr w:rsidR="00946F9F">
      <w:footerReference w:type="default" r:id="rId9"/>
      <w:pgSz w:w="11906" w:h="16838"/>
      <w:pgMar w:top="1134" w:right="851" w:bottom="1134" w:left="1701"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57D" w:rsidRDefault="0068257D">
      <w:pPr>
        <w:spacing w:after="0" w:line="240" w:lineRule="auto"/>
      </w:pPr>
      <w:r>
        <w:separator/>
      </w:r>
    </w:p>
  </w:endnote>
  <w:endnote w:type="continuationSeparator" w:id="0">
    <w:p w:rsidR="0068257D" w:rsidRDefault="00682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351DEE0-6761-774C-8021-5CCA6017F595}"/>
    <w:embedBold r:id="rId2" w:fontKey="{DB2D0D3C-7533-344F-B2B2-4E5218590B13}"/>
    <w:embedItalic r:id="rId3" w:fontKey="{767D6669-30B3-414C-BEAB-2E2CD291F227}"/>
  </w:font>
  <w:font w:name="Noto Sans Symbols">
    <w:altName w:val="Calibri"/>
    <w:charset w:val="00"/>
    <w:family w:val="auto"/>
    <w:pitch w:val="default"/>
    <w:embedRegular r:id="rId4" w:fontKey="{12EE7681-CE09-B540-BFA0-EA90CF776282}"/>
  </w:font>
  <w:font w:name="Courier New">
    <w:panose1 w:val="02070309020205020404"/>
    <w:charset w:val="00"/>
    <w:family w:val="modern"/>
    <w:pitch w:val="fixed"/>
    <w:sig w:usb0="E0002AFF" w:usb1="C0007843" w:usb2="00000009" w:usb3="00000000" w:csb0="000001FF" w:csb1="00000000"/>
    <w:embedRegular r:id="rId5" w:fontKey="{BAE37794-88AA-984F-97DC-328D183DB7CC}"/>
  </w:font>
  <w:font w:name="Calibri">
    <w:panose1 w:val="020F0502020204030204"/>
    <w:charset w:val="00"/>
    <w:family w:val="swiss"/>
    <w:pitch w:val="variable"/>
    <w:sig w:usb0="E0002AFF" w:usb1="C000ACFF" w:usb2="00000009" w:usb3="00000000" w:csb0="000001FF" w:csb1="00000000"/>
    <w:embedRegular r:id="rId6" w:fontKey="{5FC6F6A4-7C51-E744-8730-3B3A07BFDD78}"/>
    <w:embedItalic r:id="rId7" w:fontKey="{0C22BDA0-A4EF-7C43-868E-A3A4E822E246}"/>
  </w:font>
  <w:font w:name="Calibri Light">
    <w:panose1 w:val="020F0302020204030204"/>
    <w:charset w:val="00"/>
    <w:family w:val="swiss"/>
    <w:pitch w:val="variable"/>
    <w:sig w:usb0="E0002AFF" w:usb1="C000247B" w:usb2="00000009" w:usb3="00000000" w:csb0="000001FF" w:csb1="00000000"/>
    <w:embedRegular r:id="rId8" w:fontKey="{523DC1CA-9347-6548-BDC5-B8F2083AD950}"/>
  </w:font>
  <w:font w:name="Arial">
    <w:panose1 w:val="020B0604020202020204"/>
    <w:charset w:val="00"/>
    <w:family w:val="swiss"/>
    <w:pitch w:val="variable"/>
    <w:sig w:usb0="E0002AFF" w:usb1="C0007843" w:usb2="00000009" w:usb3="00000000" w:csb0="000001FF" w:csb1="00000000"/>
    <w:embedRegular r:id="rId9" w:fontKey="{DEDDBAA1-D199-EB47-B6BF-C797BDBDC791}"/>
    <w:embedBold r:id="rId10" w:fontKey="{919706B0-6C6E-5549-8391-08A94FE555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F9F" w:rsidRPr="00DE76D5" w:rsidRDefault="00000000" w:rsidP="00DE76D5">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DE76D5">
      <w:rPr>
        <w:rFonts w:ascii="Arial" w:eastAsia="Arial" w:hAnsi="Arial" w:cs="Arial"/>
        <w:noProof/>
        <w:color w:val="000000"/>
        <w:sz w:val="22"/>
        <w:szCs w:val="22"/>
      </w:rPr>
      <w:t>1</w:t>
    </w:r>
    <w:r>
      <w:rPr>
        <w:rFonts w:ascii="Arial" w:eastAsia="Arial" w:hAnsi="Arial" w:cs="Arial"/>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57D" w:rsidRDefault="0068257D">
      <w:pPr>
        <w:spacing w:after="0" w:line="240" w:lineRule="auto"/>
      </w:pPr>
      <w:r>
        <w:separator/>
      </w:r>
    </w:p>
  </w:footnote>
  <w:footnote w:type="continuationSeparator" w:id="0">
    <w:p w:rsidR="0068257D" w:rsidRDefault="0068257D">
      <w:pPr>
        <w:spacing w:after="0" w:line="240" w:lineRule="auto"/>
      </w:pPr>
      <w:r>
        <w:continuationSeparator/>
      </w:r>
    </w:p>
  </w:footnote>
  <w:footnote w:id="1">
    <w:p w:rsidR="00946F9F" w:rsidRDefault="00000000">
      <w:pPr>
        <w:pBdr>
          <w:top w:val="nil"/>
          <w:left w:val="nil"/>
          <w:bottom w:val="nil"/>
          <w:right w:val="nil"/>
          <w:between w:val="nil"/>
        </w:pBdr>
        <w:spacing w:after="0" w:line="240" w:lineRule="auto"/>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hyperlink r:id="rId1">
        <w:r w:rsidR="00946F9F">
          <w:rPr>
            <w:rFonts w:ascii="Arial" w:eastAsia="Arial" w:hAnsi="Arial" w:cs="Arial"/>
            <w:color w:val="0563C1"/>
            <w:sz w:val="20"/>
            <w:szCs w:val="20"/>
            <w:u w:val="single"/>
          </w:rPr>
          <w:t>https://downloads.1212.mn/TYz7i07B__fpy5sqmWOAjLH3N_-D-0Fn-nj_hmW_.pdf</w:t>
        </w:r>
      </w:hyperlink>
      <w:r>
        <w:rPr>
          <w:rFonts w:ascii="Arial" w:eastAsia="Arial" w:hAnsi="Arial" w:cs="Arial"/>
          <w:color w:val="000000"/>
          <w:sz w:val="20"/>
          <w:szCs w:val="20"/>
        </w:rPr>
        <w:t xml:space="preserve"> </w:t>
      </w:r>
    </w:p>
  </w:footnote>
  <w:footnote w:id="2">
    <w:p w:rsidR="00946F9F"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highlight w:val="white"/>
        </w:rPr>
        <w:t xml:space="preserve"> “Эко байк”-ийн түрээсийн үйлчилгээ эрхлэгч болон Нийтийн хэрэглээний цахилгаан дугуй, цахилгаан скүүтерийн үйлчилгээ үзүүлэгч 2 хуулийн этгээд  /“Жэт Шэйринг Монголиа” ХХК, “Ви Эм Си Групп” ХХК/ байна.</w:t>
      </w:r>
    </w:p>
  </w:footnote>
  <w:footnote w:id="3">
    <w:p w:rsidR="00946F9F"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rFonts w:ascii="Arial" w:eastAsia="Arial" w:hAnsi="Arial" w:cs="Arial"/>
          <w:color w:val="000000"/>
          <w:sz w:val="20"/>
          <w:szCs w:val="20"/>
        </w:rPr>
        <w:t xml:space="preserve"> Зөвшөөрлийн тухай хуулийн 2.2 дугаар зүйлийн 1 дэх хэсэгт энгийн зөвшөөрлийг 3 жилээс доошгүй хугацаагаар олгохоор заасан тул давтамж нь 0,33 байхаар тодорхойлов.</w:t>
      </w:r>
    </w:p>
  </w:footnote>
  <w:footnote w:id="4">
    <w:p w:rsidR="00946F9F"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“Нийт зардал” гэдэг нь уг хуулийн төсөл батлагдан гарснаар хуулийн төсөлд тусгагдсан үүргийг биелүүлэх нийт хуулийн этгээдэд үүсэх захиргааны зардал юм.</w:t>
      </w:r>
    </w:p>
  </w:footnote>
  <w:footnote w:id="5">
    <w:p w:rsidR="00946F9F" w:rsidRDefault="00000000">
      <w:pPr>
        <w:pBdr>
          <w:top w:val="nil"/>
          <w:left w:val="nil"/>
          <w:bottom w:val="nil"/>
          <w:right w:val="nil"/>
          <w:between w:val="nil"/>
        </w:pBdr>
        <w:spacing w:after="0" w:line="240" w:lineRule="auto"/>
        <w:jc w:val="both"/>
        <w:rPr>
          <w:color w:val="000000"/>
          <w:sz w:val="20"/>
          <w:szCs w:val="20"/>
        </w:rPr>
      </w:pPr>
      <w:r>
        <w:rPr>
          <w:rStyle w:val="FootnoteReference"/>
        </w:rPr>
        <w:footnoteRef/>
      </w:r>
      <w:r>
        <w:rPr>
          <w:rFonts w:ascii="Arial" w:eastAsia="Arial" w:hAnsi="Arial" w:cs="Arial"/>
          <w:color w:val="000000"/>
          <w:sz w:val="20"/>
          <w:szCs w:val="20"/>
        </w:rPr>
        <w:t xml:space="preserve"> Улсын Их хурлын даргын 2024 оны 76 дугаар захирамжаар байгуулагдсан ажлын хэсгийн 2024 оны 11 дүгээр сарын 21-ний өдрийн хуралдааны тэмдэглэл</w:t>
      </w:r>
      <w:r>
        <w:rPr>
          <w:rFonts w:ascii="Times New Roman" w:eastAsia="Times New Roman" w:hAnsi="Times New Roman" w:cs="Times New Roman"/>
          <w:color w:val="000000"/>
          <w:sz w:val="20"/>
          <w:szCs w:val="20"/>
        </w:rPr>
        <w:t>.</w:t>
      </w:r>
    </w:p>
  </w:footnote>
  <w:footnote w:id="6">
    <w:p w:rsidR="00946F9F"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Зам, тээврийн хөгжлийн сайдын 2021 оны 12 дугаар сарын  31-ний өдрийн А/199 дүгээр тушаалын хавсралтаар батлагдсан “Тээврийн хэрэгслийн техникийн хяналтын үзлэг, оношлогоо явуулах журам”-ын 4.3 дахь заалт.</w:t>
      </w:r>
    </w:p>
  </w:footnote>
  <w:footnote w:id="7">
    <w:p w:rsidR="00946F9F"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Засгийн газрын 2016 оны 213 дугаар тогтоолын хавсралтаар батлагдсан “Автотээврийн хэрэгслийг техникийн хяналтын үзлэгт оруулах давтамж, оношилгооны төлбөрийн хэмжээ”</w:t>
      </w:r>
    </w:p>
  </w:footnote>
  <w:footnote w:id="8">
    <w:p w:rsidR="00946F9F"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Улсын Их хурлын даргын 2024 оны 76 дугаар захирамжаар байгуулагдсан ажлын хэсгийн 2024 оны 11 дүгээр сарын 21-ний өдрийн хуралдааны тэмдэглэл.</w:t>
      </w:r>
    </w:p>
  </w:footnote>
  <w:footnote w:id="9">
    <w:p w:rsidR="00946F9F"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rFonts w:ascii="Arial" w:eastAsia="Arial" w:hAnsi="Arial" w:cs="Arial"/>
          <w:color w:val="000000"/>
          <w:sz w:val="20"/>
          <w:szCs w:val="20"/>
        </w:rPr>
        <w:t xml:space="preserve"> </w:t>
      </w:r>
      <w:hyperlink r:id="rId2">
        <w:r w:rsidR="00946F9F">
          <w:rPr>
            <w:rFonts w:ascii="Arial" w:eastAsia="Arial" w:hAnsi="Arial" w:cs="Arial"/>
            <w:color w:val="0563C1"/>
            <w:sz w:val="20"/>
            <w:szCs w:val="20"/>
            <w:u w:val="single"/>
          </w:rPr>
          <w:t>https://www.transdep.mn/</w:t>
        </w:r>
      </w:hyperlink>
      <w:r>
        <w:rPr>
          <w:rFonts w:ascii="Arial" w:eastAsia="Arial" w:hAnsi="Arial" w:cs="Arial"/>
          <w:color w:val="000000"/>
          <w:sz w:val="20"/>
          <w:szCs w:val="20"/>
        </w:rPr>
        <w:t xml:space="preserve"> </w:t>
      </w:r>
    </w:p>
  </w:footnote>
  <w:footnote w:id="10">
    <w:p w:rsidR="00946F9F" w:rsidRDefault="00000000">
      <w:pPr>
        <w:pBdr>
          <w:top w:val="nil"/>
          <w:left w:val="nil"/>
          <w:bottom w:val="nil"/>
          <w:right w:val="nil"/>
          <w:between w:val="nil"/>
        </w:pBdr>
        <w:spacing w:after="0" w:line="240" w:lineRule="auto"/>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hyperlink r:id="rId3">
        <w:r w:rsidR="00946F9F">
          <w:rPr>
            <w:rFonts w:ascii="Arial" w:eastAsia="Arial" w:hAnsi="Arial" w:cs="Arial"/>
            <w:color w:val="0563C1"/>
            <w:sz w:val="20"/>
            <w:szCs w:val="20"/>
            <w:u w:val="single"/>
          </w:rPr>
          <w:t>https://legalinfo.mn/mn/detail?lawId=16530780109311</w:t>
        </w:r>
      </w:hyperlink>
      <w:r>
        <w:rPr>
          <w:rFonts w:ascii="Arial" w:eastAsia="Arial" w:hAnsi="Arial" w:cs="Arial"/>
          <w:color w:val="000000"/>
          <w:sz w:val="20"/>
          <w:szCs w:val="20"/>
        </w:rPr>
        <w:t xml:space="preserve"> </w:t>
      </w:r>
    </w:p>
  </w:footnote>
  <w:footnote w:id="11">
    <w:p w:rsidR="00946F9F"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highlight w:val="white"/>
        </w:rPr>
        <w:t xml:space="preserve"> “Эко байк”-ийн түрээсийн үйлчилгээ эрхлэгч болон Нийтийн хэрэглээний цахилгаан дугуй, цахилгаан скүүтерийн үйлчилгээ үзүүлэгч 2 хуулийн этгээд  /“Жэт Шэйринг Монголиа” ХХК, “Ви Эм Си Групп” ХХК/ байна.</w:t>
      </w:r>
    </w:p>
  </w:footnote>
  <w:footnote w:id="12">
    <w:p w:rsidR="00946F9F" w:rsidRDefault="00000000">
      <w:pPr>
        <w:pBdr>
          <w:top w:val="nil"/>
          <w:left w:val="nil"/>
          <w:bottom w:val="nil"/>
          <w:right w:val="nil"/>
          <w:between w:val="nil"/>
        </w:pBdr>
        <w:spacing w:after="0" w:line="240" w:lineRule="auto"/>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Хөдөлмөрийн тухай хуулийн 84 дүгээр зүйлийн 84.1 дэх хэсэг. </w:t>
      </w:r>
    </w:p>
  </w:footnote>
  <w:footnote w:id="13">
    <w:p w:rsidR="00946F9F"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Хуанлийн 365 хоногоос Хөдөлмөрийн тухай хуульд заасны дагуу бодитойгоор ажиллах өдрөөр тооцохыг Засгийн газрын 2016 оны 59 дүгээр тогтоолын дөрөвдүгээр хавсралтаар баталсан аргачлалд заасан болно.</w:t>
      </w:r>
    </w:p>
    <w:p w:rsidR="00946F9F" w:rsidRDefault="00946F9F">
      <w:pPr>
        <w:pBdr>
          <w:top w:val="nil"/>
          <w:left w:val="nil"/>
          <w:bottom w:val="nil"/>
          <w:right w:val="nil"/>
          <w:between w:val="nil"/>
        </w:pBdr>
        <w:spacing w:after="0" w:line="240" w:lineRule="auto"/>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360D4"/>
    <w:multiLevelType w:val="multilevel"/>
    <w:tmpl w:val="F8080564"/>
    <w:lvl w:ilvl="0">
      <w:start w:val="1"/>
      <w:numFmt w:val="decimal"/>
      <w:lvlText w:val="2.%1."/>
      <w:lvlJc w:val="left"/>
      <w:pPr>
        <w:ind w:left="786" w:hanging="360"/>
      </w:pPr>
      <w:rPr>
        <w:b w:val="0"/>
      </w:rPr>
    </w:lvl>
    <w:lvl w:ilvl="1">
      <w:start w:val="1"/>
      <w:numFmt w:val="lowerLetter"/>
      <w:lvlText w:val="%2."/>
      <w:lvlJc w:val="left"/>
      <w:pPr>
        <w:ind w:left="1386" w:hanging="360"/>
      </w:pPr>
    </w:lvl>
    <w:lvl w:ilvl="2">
      <w:start w:val="1"/>
      <w:numFmt w:val="lowerRoman"/>
      <w:lvlText w:val="%3."/>
      <w:lvlJc w:val="right"/>
      <w:pPr>
        <w:ind w:left="2106" w:hanging="180"/>
      </w:pPr>
    </w:lvl>
    <w:lvl w:ilvl="3">
      <w:start w:val="1"/>
      <w:numFmt w:val="decimal"/>
      <w:lvlText w:val="%4."/>
      <w:lvlJc w:val="left"/>
      <w:pPr>
        <w:ind w:left="2826" w:hanging="360"/>
      </w:pPr>
    </w:lvl>
    <w:lvl w:ilvl="4">
      <w:start w:val="1"/>
      <w:numFmt w:val="lowerLetter"/>
      <w:lvlText w:val="%5."/>
      <w:lvlJc w:val="left"/>
      <w:pPr>
        <w:ind w:left="3546" w:hanging="360"/>
      </w:pPr>
    </w:lvl>
    <w:lvl w:ilvl="5">
      <w:start w:val="1"/>
      <w:numFmt w:val="lowerRoman"/>
      <w:lvlText w:val="%6."/>
      <w:lvlJc w:val="right"/>
      <w:pPr>
        <w:ind w:left="4266" w:hanging="180"/>
      </w:pPr>
    </w:lvl>
    <w:lvl w:ilvl="6">
      <w:start w:val="1"/>
      <w:numFmt w:val="decimal"/>
      <w:lvlText w:val="%7."/>
      <w:lvlJc w:val="left"/>
      <w:pPr>
        <w:ind w:left="4986" w:hanging="360"/>
      </w:pPr>
    </w:lvl>
    <w:lvl w:ilvl="7">
      <w:start w:val="1"/>
      <w:numFmt w:val="lowerLetter"/>
      <w:lvlText w:val="%8."/>
      <w:lvlJc w:val="left"/>
      <w:pPr>
        <w:ind w:left="5706" w:hanging="360"/>
      </w:pPr>
    </w:lvl>
    <w:lvl w:ilvl="8">
      <w:start w:val="1"/>
      <w:numFmt w:val="lowerRoman"/>
      <w:lvlText w:val="%9."/>
      <w:lvlJc w:val="right"/>
      <w:pPr>
        <w:ind w:left="6426" w:hanging="180"/>
      </w:pPr>
    </w:lvl>
  </w:abstractNum>
  <w:abstractNum w:abstractNumId="1" w15:restartNumberingAfterBreak="0">
    <w:nsid w:val="177C1339"/>
    <w:multiLevelType w:val="multilevel"/>
    <w:tmpl w:val="4A762260"/>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3D764F"/>
    <w:multiLevelType w:val="multilevel"/>
    <w:tmpl w:val="EEB093E8"/>
    <w:lvl w:ilvl="0">
      <w:start w:val="1"/>
      <w:numFmt w:val="decimal"/>
      <w:lvlText w:val="2.%1."/>
      <w:lvlJc w:val="left"/>
      <w:pPr>
        <w:ind w:left="786" w:hanging="360"/>
      </w:pPr>
      <w:rPr>
        <w:b/>
      </w:rPr>
    </w:lvl>
    <w:lvl w:ilvl="1">
      <w:start w:val="1"/>
      <w:numFmt w:val="lowerLetter"/>
      <w:lvlText w:val="%2."/>
      <w:lvlJc w:val="left"/>
      <w:pPr>
        <w:ind w:left="1386" w:hanging="360"/>
      </w:pPr>
    </w:lvl>
    <w:lvl w:ilvl="2">
      <w:start w:val="1"/>
      <w:numFmt w:val="lowerRoman"/>
      <w:lvlText w:val="%3."/>
      <w:lvlJc w:val="right"/>
      <w:pPr>
        <w:ind w:left="2106" w:hanging="180"/>
      </w:pPr>
    </w:lvl>
    <w:lvl w:ilvl="3">
      <w:start w:val="1"/>
      <w:numFmt w:val="decimal"/>
      <w:lvlText w:val="%4."/>
      <w:lvlJc w:val="left"/>
      <w:pPr>
        <w:ind w:left="2826" w:hanging="360"/>
      </w:pPr>
    </w:lvl>
    <w:lvl w:ilvl="4">
      <w:start w:val="1"/>
      <w:numFmt w:val="lowerLetter"/>
      <w:lvlText w:val="%5."/>
      <w:lvlJc w:val="left"/>
      <w:pPr>
        <w:ind w:left="3546" w:hanging="360"/>
      </w:pPr>
    </w:lvl>
    <w:lvl w:ilvl="5">
      <w:start w:val="1"/>
      <w:numFmt w:val="lowerRoman"/>
      <w:lvlText w:val="%6."/>
      <w:lvlJc w:val="right"/>
      <w:pPr>
        <w:ind w:left="4266" w:hanging="180"/>
      </w:pPr>
    </w:lvl>
    <w:lvl w:ilvl="6">
      <w:start w:val="1"/>
      <w:numFmt w:val="decimal"/>
      <w:lvlText w:val="%7."/>
      <w:lvlJc w:val="left"/>
      <w:pPr>
        <w:ind w:left="4986" w:hanging="360"/>
      </w:pPr>
    </w:lvl>
    <w:lvl w:ilvl="7">
      <w:start w:val="1"/>
      <w:numFmt w:val="lowerLetter"/>
      <w:lvlText w:val="%8."/>
      <w:lvlJc w:val="left"/>
      <w:pPr>
        <w:ind w:left="5706" w:hanging="360"/>
      </w:pPr>
    </w:lvl>
    <w:lvl w:ilvl="8">
      <w:start w:val="1"/>
      <w:numFmt w:val="lowerRoman"/>
      <w:lvlText w:val="%9."/>
      <w:lvlJc w:val="right"/>
      <w:pPr>
        <w:ind w:left="6426" w:hanging="180"/>
      </w:pPr>
    </w:lvl>
  </w:abstractNum>
  <w:abstractNum w:abstractNumId="3" w15:restartNumberingAfterBreak="0">
    <w:nsid w:val="246B5DC1"/>
    <w:multiLevelType w:val="multilevel"/>
    <w:tmpl w:val="D8E085BE"/>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4" w15:restartNumberingAfterBreak="0">
    <w:nsid w:val="258C1A13"/>
    <w:multiLevelType w:val="multilevel"/>
    <w:tmpl w:val="0344AE7A"/>
    <w:lvl w:ilvl="0">
      <w:start w:val="1"/>
      <w:numFmt w:val="decimal"/>
      <w:lvlText w:val="3.%1."/>
      <w:lvlJc w:val="left"/>
      <w:pPr>
        <w:ind w:left="786" w:hanging="360"/>
      </w:pPr>
      <w:rPr>
        <w:b w:val="0"/>
      </w:rPr>
    </w:lvl>
    <w:lvl w:ilvl="1">
      <w:start w:val="1"/>
      <w:numFmt w:val="lowerLetter"/>
      <w:lvlText w:val="%2."/>
      <w:lvlJc w:val="left"/>
      <w:pPr>
        <w:ind w:left="1386" w:hanging="360"/>
      </w:pPr>
    </w:lvl>
    <w:lvl w:ilvl="2">
      <w:start w:val="1"/>
      <w:numFmt w:val="lowerRoman"/>
      <w:lvlText w:val="%3."/>
      <w:lvlJc w:val="right"/>
      <w:pPr>
        <w:ind w:left="2106" w:hanging="180"/>
      </w:pPr>
    </w:lvl>
    <w:lvl w:ilvl="3">
      <w:start w:val="1"/>
      <w:numFmt w:val="decimal"/>
      <w:lvlText w:val="%4."/>
      <w:lvlJc w:val="left"/>
      <w:pPr>
        <w:ind w:left="2826" w:hanging="360"/>
      </w:pPr>
    </w:lvl>
    <w:lvl w:ilvl="4">
      <w:start w:val="1"/>
      <w:numFmt w:val="lowerLetter"/>
      <w:lvlText w:val="%5."/>
      <w:lvlJc w:val="left"/>
      <w:pPr>
        <w:ind w:left="3546" w:hanging="360"/>
      </w:pPr>
    </w:lvl>
    <w:lvl w:ilvl="5">
      <w:start w:val="1"/>
      <w:numFmt w:val="lowerRoman"/>
      <w:lvlText w:val="%6."/>
      <w:lvlJc w:val="right"/>
      <w:pPr>
        <w:ind w:left="4266" w:hanging="180"/>
      </w:pPr>
    </w:lvl>
    <w:lvl w:ilvl="6">
      <w:start w:val="1"/>
      <w:numFmt w:val="decimal"/>
      <w:lvlText w:val="%7."/>
      <w:lvlJc w:val="left"/>
      <w:pPr>
        <w:ind w:left="4986" w:hanging="360"/>
      </w:pPr>
    </w:lvl>
    <w:lvl w:ilvl="7">
      <w:start w:val="1"/>
      <w:numFmt w:val="lowerLetter"/>
      <w:lvlText w:val="%8."/>
      <w:lvlJc w:val="left"/>
      <w:pPr>
        <w:ind w:left="5706" w:hanging="360"/>
      </w:pPr>
    </w:lvl>
    <w:lvl w:ilvl="8">
      <w:start w:val="1"/>
      <w:numFmt w:val="lowerRoman"/>
      <w:lvlText w:val="%9."/>
      <w:lvlJc w:val="right"/>
      <w:pPr>
        <w:ind w:left="6426" w:hanging="180"/>
      </w:pPr>
    </w:lvl>
  </w:abstractNum>
  <w:abstractNum w:abstractNumId="5" w15:restartNumberingAfterBreak="0">
    <w:nsid w:val="31A309A6"/>
    <w:multiLevelType w:val="multilevel"/>
    <w:tmpl w:val="9746D246"/>
    <w:lvl w:ilvl="0">
      <w:start w:val="1"/>
      <w:numFmt w:val="decimal"/>
      <w:lvlText w:val="3.%1."/>
      <w:lvlJc w:val="left"/>
      <w:pPr>
        <w:ind w:left="786" w:hanging="360"/>
      </w:pPr>
      <w:rPr>
        <w:b/>
      </w:rPr>
    </w:lvl>
    <w:lvl w:ilvl="1">
      <w:start w:val="1"/>
      <w:numFmt w:val="lowerLetter"/>
      <w:lvlText w:val="%2."/>
      <w:lvlJc w:val="left"/>
      <w:pPr>
        <w:ind w:left="1386" w:hanging="360"/>
      </w:pPr>
    </w:lvl>
    <w:lvl w:ilvl="2">
      <w:start w:val="1"/>
      <w:numFmt w:val="lowerRoman"/>
      <w:lvlText w:val="%3."/>
      <w:lvlJc w:val="right"/>
      <w:pPr>
        <w:ind w:left="2106" w:hanging="180"/>
      </w:pPr>
    </w:lvl>
    <w:lvl w:ilvl="3">
      <w:start w:val="1"/>
      <w:numFmt w:val="decimal"/>
      <w:lvlText w:val="%4."/>
      <w:lvlJc w:val="left"/>
      <w:pPr>
        <w:ind w:left="2826" w:hanging="360"/>
      </w:pPr>
    </w:lvl>
    <w:lvl w:ilvl="4">
      <w:start w:val="1"/>
      <w:numFmt w:val="lowerLetter"/>
      <w:lvlText w:val="%5."/>
      <w:lvlJc w:val="left"/>
      <w:pPr>
        <w:ind w:left="3546" w:hanging="360"/>
      </w:pPr>
    </w:lvl>
    <w:lvl w:ilvl="5">
      <w:start w:val="1"/>
      <w:numFmt w:val="lowerRoman"/>
      <w:lvlText w:val="%6."/>
      <w:lvlJc w:val="right"/>
      <w:pPr>
        <w:ind w:left="4266" w:hanging="180"/>
      </w:pPr>
    </w:lvl>
    <w:lvl w:ilvl="6">
      <w:start w:val="1"/>
      <w:numFmt w:val="decimal"/>
      <w:lvlText w:val="%7."/>
      <w:lvlJc w:val="left"/>
      <w:pPr>
        <w:ind w:left="4986" w:hanging="360"/>
      </w:pPr>
    </w:lvl>
    <w:lvl w:ilvl="7">
      <w:start w:val="1"/>
      <w:numFmt w:val="lowerLetter"/>
      <w:lvlText w:val="%8."/>
      <w:lvlJc w:val="left"/>
      <w:pPr>
        <w:ind w:left="5706" w:hanging="360"/>
      </w:pPr>
    </w:lvl>
    <w:lvl w:ilvl="8">
      <w:start w:val="1"/>
      <w:numFmt w:val="lowerRoman"/>
      <w:lvlText w:val="%9."/>
      <w:lvlJc w:val="right"/>
      <w:pPr>
        <w:ind w:left="6426" w:hanging="180"/>
      </w:pPr>
    </w:lvl>
  </w:abstractNum>
  <w:abstractNum w:abstractNumId="6" w15:restartNumberingAfterBreak="0">
    <w:nsid w:val="37660524"/>
    <w:multiLevelType w:val="multilevel"/>
    <w:tmpl w:val="E19A6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B339EE"/>
    <w:multiLevelType w:val="multilevel"/>
    <w:tmpl w:val="4326571C"/>
    <w:lvl w:ilvl="0">
      <w:start w:val="1"/>
      <w:numFmt w:val="decimal"/>
      <w:lvlText w:val="%1."/>
      <w:lvlJc w:val="left"/>
      <w:pPr>
        <w:ind w:left="1070"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8" w15:restartNumberingAfterBreak="0">
    <w:nsid w:val="66B9188D"/>
    <w:multiLevelType w:val="multilevel"/>
    <w:tmpl w:val="416AE5EC"/>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9" w15:restartNumberingAfterBreak="0">
    <w:nsid w:val="7A845CC5"/>
    <w:multiLevelType w:val="multilevel"/>
    <w:tmpl w:val="7CCE6358"/>
    <w:lvl w:ilvl="0">
      <w:start w:val="1"/>
      <w:numFmt w:val="decimal"/>
      <w:lvlText w:val="%1."/>
      <w:lvlJc w:val="left"/>
      <w:pPr>
        <w:ind w:left="360" w:hanging="360"/>
      </w:pPr>
    </w:lvl>
    <w:lvl w:ilvl="1">
      <w:start w:val="1"/>
      <w:numFmt w:val="decimal"/>
      <w:lvlText w:val="%1.%2."/>
      <w:lvlJc w:val="left"/>
      <w:pPr>
        <w:ind w:left="644" w:hanging="359"/>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7ECE70E6"/>
    <w:multiLevelType w:val="multilevel"/>
    <w:tmpl w:val="E1A89A7C"/>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553300652">
    <w:abstractNumId w:val="2"/>
  </w:num>
  <w:num w:numId="2" w16cid:durableId="2021002973">
    <w:abstractNumId w:val="5"/>
  </w:num>
  <w:num w:numId="3" w16cid:durableId="1673289123">
    <w:abstractNumId w:val="7"/>
  </w:num>
  <w:num w:numId="4" w16cid:durableId="1653485770">
    <w:abstractNumId w:val="1"/>
  </w:num>
  <w:num w:numId="5" w16cid:durableId="284584110">
    <w:abstractNumId w:val="6"/>
  </w:num>
  <w:num w:numId="6" w16cid:durableId="1719478380">
    <w:abstractNumId w:val="8"/>
  </w:num>
  <w:num w:numId="7" w16cid:durableId="1610118492">
    <w:abstractNumId w:val="3"/>
  </w:num>
  <w:num w:numId="8" w16cid:durableId="1005935660">
    <w:abstractNumId w:val="10"/>
  </w:num>
  <w:num w:numId="9" w16cid:durableId="559022793">
    <w:abstractNumId w:val="0"/>
  </w:num>
  <w:num w:numId="10" w16cid:durableId="423575429">
    <w:abstractNumId w:val="4"/>
  </w:num>
  <w:num w:numId="11" w16cid:durableId="10837937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9F"/>
    <w:rsid w:val="0068257D"/>
    <w:rsid w:val="0070262A"/>
    <w:rsid w:val="008A46BF"/>
    <w:rsid w:val="00946F9F"/>
    <w:rsid w:val="00B77A23"/>
    <w:rsid w:val="00CD6F25"/>
    <w:rsid w:val="00DE76D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A4DC2BC"/>
  <w15:docId w15:val="{C95A7813-3C85-7A44-AB0A-812CE8973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mn-M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BFA"/>
  </w:style>
  <w:style w:type="paragraph" w:styleId="Heading1">
    <w:name w:val="heading 1"/>
    <w:basedOn w:val="Normal"/>
    <w:next w:val="Normal"/>
    <w:link w:val="Heading1Char"/>
    <w:uiPriority w:val="9"/>
    <w:qFormat/>
    <w:rsid w:val="00B17B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7B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7B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7B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7B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7B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B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B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B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17B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17B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7B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7B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17B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7B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7B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B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B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BFA"/>
    <w:rPr>
      <w:rFonts w:eastAsiaTheme="majorEastAsia" w:cstheme="majorBidi"/>
      <w:color w:val="272727" w:themeColor="text1" w:themeTint="D8"/>
    </w:rPr>
  </w:style>
  <w:style w:type="character" w:customStyle="1" w:styleId="TitleChar">
    <w:name w:val="Title Char"/>
    <w:basedOn w:val="DefaultParagraphFont"/>
    <w:link w:val="Title"/>
    <w:uiPriority w:val="10"/>
    <w:rsid w:val="00B17B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B17B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BFA"/>
    <w:pPr>
      <w:spacing w:before="160"/>
      <w:jc w:val="center"/>
    </w:pPr>
    <w:rPr>
      <w:i/>
      <w:iCs/>
      <w:color w:val="404040" w:themeColor="text1" w:themeTint="BF"/>
    </w:rPr>
  </w:style>
  <w:style w:type="character" w:customStyle="1" w:styleId="QuoteChar">
    <w:name w:val="Quote Char"/>
    <w:basedOn w:val="DefaultParagraphFont"/>
    <w:link w:val="Quote"/>
    <w:uiPriority w:val="29"/>
    <w:rsid w:val="00B17BFA"/>
    <w:rPr>
      <w:i/>
      <w:iCs/>
      <w:color w:val="404040" w:themeColor="text1" w:themeTint="BF"/>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Bulle"/>
    <w:basedOn w:val="Normal"/>
    <w:link w:val="ListParagraphChar"/>
    <w:uiPriority w:val="34"/>
    <w:qFormat/>
    <w:rsid w:val="00B17BFA"/>
    <w:pPr>
      <w:ind w:left="720"/>
      <w:contextualSpacing/>
    </w:pPr>
  </w:style>
  <w:style w:type="character" w:styleId="IntenseEmphasis">
    <w:name w:val="Intense Emphasis"/>
    <w:basedOn w:val="DefaultParagraphFont"/>
    <w:uiPriority w:val="21"/>
    <w:qFormat/>
    <w:rsid w:val="00B17BFA"/>
    <w:rPr>
      <w:i/>
      <w:iCs/>
      <w:color w:val="2F5496" w:themeColor="accent1" w:themeShade="BF"/>
    </w:rPr>
  </w:style>
  <w:style w:type="paragraph" w:styleId="IntenseQuote">
    <w:name w:val="Intense Quote"/>
    <w:basedOn w:val="Normal"/>
    <w:next w:val="Normal"/>
    <w:link w:val="IntenseQuoteChar"/>
    <w:uiPriority w:val="30"/>
    <w:qFormat/>
    <w:rsid w:val="00B17B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7BFA"/>
    <w:rPr>
      <w:i/>
      <w:iCs/>
      <w:color w:val="2F5496" w:themeColor="accent1" w:themeShade="BF"/>
    </w:rPr>
  </w:style>
  <w:style w:type="character" w:styleId="IntenseReference">
    <w:name w:val="Intense Reference"/>
    <w:basedOn w:val="DefaultParagraphFont"/>
    <w:uiPriority w:val="32"/>
    <w:qFormat/>
    <w:rsid w:val="00B17BFA"/>
    <w:rPr>
      <w:b/>
      <w:bCs/>
      <w:smallCaps/>
      <w:color w:val="2F5496" w:themeColor="accent1" w:themeShade="BF"/>
      <w:spacing w:val="5"/>
    </w:rPr>
  </w:style>
  <w:style w:type="paragraph" w:styleId="TOCHeading">
    <w:name w:val="TOC Heading"/>
    <w:basedOn w:val="Heading1"/>
    <w:next w:val="Normal"/>
    <w:uiPriority w:val="39"/>
    <w:unhideWhenUsed/>
    <w:qFormat/>
    <w:rsid w:val="00B95307"/>
    <w:pPr>
      <w:spacing w:before="240" w:after="0" w:line="259" w:lineRule="auto"/>
      <w:outlineLvl w:val="9"/>
    </w:pPr>
    <w:rPr>
      <w:sz w:val="32"/>
      <w:szCs w:val="32"/>
    </w:rPr>
  </w:style>
  <w:style w:type="character" w:styleId="Hyperlink">
    <w:name w:val="Hyperlink"/>
    <w:basedOn w:val="DefaultParagraphFont"/>
    <w:uiPriority w:val="99"/>
    <w:unhideWhenUsed/>
    <w:rsid w:val="00A44DED"/>
    <w:rPr>
      <w:color w:val="0563C1" w:themeColor="hyperlink"/>
      <w:u w:val="single"/>
    </w:rPr>
  </w:style>
  <w:style w:type="character" w:styleId="UnresolvedMention">
    <w:name w:val="Unresolved Mention"/>
    <w:basedOn w:val="DefaultParagraphFont"/>
    <w:uiPriority w:val="99"/>
    <w:semiHidden/>
    <w:unhideWhenUsed/>
    <w:rsid w:val="00A44DED"/>
    <w:rPr>
      <w:color w:val="605E5C"/>
      <w:shd w:val="clear" w:color="auto" w:fill="E1DFDD"/>
    </w:rPr>
  </w:style>
  <w:style w:type="paragraph" w:styleId="FootnoteText">
    <w:name w:val="footnote text"/>
    <w:basedOn w:val="Normal"/>
    <w:link w:val="FootnoteTextChar"/>
    <w:uiPriority w:val="99"/>
    <w:unhideWhenUsed/>
    <w:rsid w:val="00344883"/>
    <w:pPr>
      <w:spacing w:after="0" w:line="240" w:lineRule="auto"/>
    </w:pPr>
    <w:rPr>
      <w:sz w:val="20"/>
      <w:szCs w:val="20"/>
    </w:rPr>
  </w:style>
  <w:style w:type="character" w:customStyle="1" w:styleId="FootnoteTextChar">
    <w:name w:val="Footnote Text Char"/>
    <w:basedOn w:val="DefaultParagraphFont"/>
    <w:link w:val="FootnoteText"/>
    <w:uiPriority w:val="99"/>
    <w:rsid w:val="00344883"/>
    <w:rPr>
      <w:sz w:val="20"/>
      <w:szCs w:val="20"/>
    </w:rPr>
  </w:style>
  <w:style w:type="character" w:styleId="FootnoteReference">
    <w:name w:val="footnote reference"/>
    <w:basedOn w:val="DefaultParagraphFont"/>
    <w:uiPriority w:val="99"/>
    <w:unhideWhenUsed/>
    <w:rsid w:val="00344883"/>
    <w:rPr>
      <w:vertAlign w:val="superscript"/>
    </w:rPr>
  </w:style>
  <w:style w:type="paragraph" w:styleId="Header">
    <w:name w:val="header"/>
    <w:basedOn w:val="Normal"/>
    <w:link w:val="HeaderChar"/>
    <w:uiPriority w:val="99"/>
    <w:unhideWhenUsed/>
    <w:rsid w:val="00423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C2F"/>
  </w:style>
  <w:style w:type="paragraph" w:styleId="Footer">
    <w:name w:val="footer"/>
    <w:basedOn w:val="Normal"/>
    <w:link w:val="FooterChar"/>
    <w:uiPriority w:val="99"/>
    <w:unhideWhenUsed/>
    <w:rsid w:val="00423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C2F"/>
  </w:style>
  <w:style w:type="paragraph" w:styleId="NormalWeb">
    <w:name w:val="Normal (Web)"/>
    <w:basedOn w:val="Normal"/>
    <w:uiPriority w:val="99"/>
    <w:unhideWhenUsed/>
    <w:rsid w:val="008A5349"/>
    <w:pPr>
      <w:spacing w:before="100" w:beforeAutospacing="1" w:after="100" w:afterAutospacing="1" w:line="240" w:lineRule="auto"/>
    </w:pPr>
    <w:rPr>
      <w:rFonts w:ascii="Times New Roman" w:eastAsia="Times New Roman" w:hAnsi="Times New Roman" w:cs="Times New Roman"/>
    </w:rPr>
  </w:style>
  <w:style w:type="character" w:styleId="Emphasis">
    <w:name w:val="Emphasis"/>
    <w:basedOn w:val="DefaultParagraphFont"/>
    <w:uiPriority w:val="20"/>
    <w:qFormat/>
    <w:rsid w:val="008A5349"/>
    <w:rPr>
      <w:i/>
      <w:iCs/>
    </w:rPr>
  </w:style>
  <w:style w:type="table" w:styleId="TableGrid">
    <w:name w:val="Table Grid"/>
    <w:basedOn w:val="TableNormal"/>
    <w:uiPriority w:val="39"/>
    <w:rsid w:val="0077270F"/>
    <w:pPr>
      <w:spacing w:after="0" w:line="240" w:lineRule="auto"/>
    </w:pPr>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Bulle Char"/>
    <w:link w:val="ListParagraph"/>
    <w:uiPriority w:val="34"/>
    <w:qFormat/>
    <w:rsid w:val="0077270F"/>
  </w:style>
  <w:style w:type="character" w:styleId="Strong">
    <w:name w:val="Strong"/>
    <w:basedOn w:val="DefaultParagraphFont"/>
    <w:uiPriority w:val="22"/>
    <w:qFormat/>
    <w:rsid w:val="000B5A2A"/>
    <w:rPr>
      <w:b/>
      <w:bCs/>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after="0" w:line="240" w:lineRule="auto"/>
    </w:pPr>
    <w:rPr>
      <w:rFonts w:ascii="Times New Roman" w:eastAsia="Times New Roman" w:hAnsi="Times New Roman" w:cs="Times New Roman"/>
    </w:rPr>
    <w:tblPr>
      <w:tblStyleRowBandSize w:val="1"/>
      <w:tblStyleColBandSize w:val="1"/>
    </w:tblPr>
  </w:style>
  <w:style w:type="table" w:customStyle="1" w:styleId="a1">
    <w:basedOn w:val="TableNormal"/>
    <w:pPr>
      <w:spacing w:after="0" w:line="240" w:lineRule="auto"/>
    </w:pPr>
    <w:rPr>
      <w:rFonts w:ascii="Times New Roman" w:eastAsia="Times New Roman" w:hAnsi="Times New Roman" w:cs="Times New Roman"/>
    </w:rPr>
    <w:tblPr>
      <w:tblStyleRowBandSize w:val="1"/>
      <w:tblStyleColBandSize w:val="1"/>
    </w:tblPr>
  </w:style>
  <w:style w:type="table" w:customStyle="1" w:styleId="a2">
    <w:basedOn w:val="TableNormal"/>
    <w:pPr>
      <w:spacing w:after="0" w:line="240" w:lineRule="auto"/>
    </w:pPr>
    <w:rPr>
      <w:rFonts w:ascii="Times New Roman" w:eastAsia="Times New Roman" w:hAnsi="Times New Roman" w:cs="Times New Roman"/>
    </w:rPr>
    <w:tblPr>
      <w:tblStyleRowBandSize w:val="1"/>
      <w:tblStyleColBandSize w:val="1"/>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1212.m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legalinfo.mn/mn/detail?lawId=16530780109311" TargetMode="External"/><Relationship Id="rId2" Type="http://schemas.openxmlformats.org/officeDocument/2006/relationships/hyperlink" Target="https://www.transdep.mn/" TargetMode="External"/><Relationship Id="rId1" Type="http://schemas.openxmlformats.org/officeDocument/2006/relationships/hyperlink" Target="https://downloads.1212.mn/TYz7i07B__fpy5sqmWOAjLH3N_-D-0Fn-nj_hmW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PW2oc47BmfZafzlbejwzt93Yzg==">CgMxLjA4AHIhMWN3SElvU2lYTGdSeVgxaGlOU1M1QkJ4Uy1aVl9vZHQy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3808</Words>
  <Characters>21706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Nagvajamts D</dc:creator>
  <cp:lastModifiedBy>Gerel</cp:lastModifiedBy>
  <cp:revision>3</cp:revision>
  <cp:lastPrinted>2025-04-15T08:12:00Z</cp:lastPrinted>
  <dcterms:created xsi:type="dcterms:W3CDTF">2025-03-17T04:30:00Z</dcterms:created>
  <dcterms:modified xsi:type="dcterms:W3CDTF">2025-04-15T08:51:00Z</dcterms:modified>
</cp:coreProperties>
</file>