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0C32" w:rsidRPr="00340C32" w:rsidRDefault="00340C32" w:rsidP="00340C32">
      <w:pPr>
        <w:spacing w:after="0" w:line="240" w:lineRule="auto"/>
        <w:jc w:val="center"/>
        <w:rPr>
          <w:rFonts w:ascii="Arial" w:hAnsi="Arial" w:cs="Arial"/>
          <w:b/>
          <w:bCs/>
        </w:rPr>
      </w:pPr>
      <w:r w:rsidRPr="00340C32">
        <w:rPr>
          <w:rFonts w:ascii="Arial" w:hAnsi="Arial" w:cs="Arial"/>
          <w:b/>
          <w:bCs/>
        </w:rPr>
        <w:t>DETAILED INTRODUCTION</w:t>
      </w:r>
    </w:p>
    <w:p w:rsidR="00340C32" w:rsidRPr="00340C32" w:rsidRDefault="00340C32" w:rsidP="00340C32">
      <w:pPr>
        <w:spacing w:after="0" w:line="240" w:lineRule="auto"/>
        <w:jc w:val="both"/>
        <w:rPr>
          <w:rFonts w:ascii="Arial" w:hAnsi="Arial" w:cs="Arial"/>
        </w:rPr>
      </w:pPr>
    </w:p>
    <w:p w:rsidR="00340C32" w:rsidRDefault="00340C32" w:rsidP="00340C32">
      <w:pPr>
        <w:spacing w:after="0" w:line="240" w:lineRule="auto"/>
        <w:jc w:val="right"/>
        <w:rPr>
          <w:rFonts w:ascii="Arial" w:hAnsi="Arial" w:cs="Arial"/>
        </w:rPr>
      </w:pPr>
      <w:r w:rsidRPr="00340C32">
        <w:rPr>
          <w:rFonts w:ascii="Arial" w:hAnsi="Arial" w:cs="Arial"/>
        </w:rPr>
        <w:t xml:space="preserve">Draft Law on Amendments to the </w:t>
      </w:r>
    </w:p>
    <w:p w:rsidR="00340C32" w:rsidRPr="00340C32" w:rsidRDefault="00340C32" w:rsidP="00340C32">
      <w:pPr>
        <w:spacing w:after="0" w:line="240" w:lineRule="auto"/>
        <w:jc w:val="right"/>
        <w:rPr>
          <w:rFonts w:ascii="Arial" w:hAnsi="Arial" w:cs="Arial"/>
        </w:rPr>
      </w:pPr>
      <w:r w:rsidRPr="00340C32">
        <w:rPr>
          <w:rFonts w:ascii="Arial" w:hAnsi="Arial" w:cs="Arial"/>
        </w:rPr>
        <w:t>Value-Added Tax Act</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According to Resolution No. 52 of 2020 of the State Great Khural of Mongolia, the long-term development policy “Vision 2050” aims to ensure that the economy is accessible and beneficial to every household and citizen, to improve the competitiveness of small and medium enterprises, and to promote competitive micro, small, and medium-sized businesses under favorable investment conditions. It sets forth the following objectives: “Support employment and sustainably increase household income to build the middle class,” “Reduce inequality in all sectors of society and increase the number of middle-income citizens to improve the quality of life,” “Create a favorable environment fully supportive of investment and entrepreneurship,” and “Develop competitive micro, small, and medium enterprises capable of competing internationally and increase jobs.”</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According to Resolution No. 106 of 2021 of the State Great Khural of Mongolia, the implementation of the mid-term program “New Revival Policy” is expected to maintain average economic growth at 6 percent in the long run, double the gross national income per capita, and raise the labor force participation rate to 65 percent.</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Resolution No. 21 of 2024 of the State Great Khural of Mongolia approved the “Government Action Plan of Mongolia for 2024–2028”. Section 3.2.1 stipulates “Tax and social insurance reforms” aimed at reducing the tax burden on low- and middle-income citizens and improving tax incentives, creating a differentiated regional tax system, making tax debt collection more flexible, and supporting responsible taxpayers.</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Mongolia introduced VAT in 1998. Since the revisions in 2007 and 2015, 10 years have passed. During this period, the pandemic and geopolitical conditions caused inflation, depreciation of the tugrik, and rising interest rates, making it important to protect household incomes, support employment, and assist enterprises with liquidity and working capital. Therefore, amendments to the law were drafted to reduce VAT burdens and resolve challenges faced by businesses.</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As required by the Law on Legislation, wide-ranging nationwide discussions were organized starting from January 27, 2025, involving taxpayers, scholars, and chambers of commerce. The Ministry of Finance, the Tax and Customs Authorities, the Mongolian National Chamber of Commerce and Industry, and the Secretariat of the State Great Khural jointly held 150 consultations nationwide, involving more than 13,000 taxpayers and receiving over 176,000 proposals.</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The discussions commonly suggested measures such as reducing VAT burdens, deducting VAT paid on capital asset purchases, creating incentives to support employment, changing revenue recognition principles, and ensuring fair taxation.</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Taking these into account, the need for a revised VAT Law emerged to make tax policy more flexible, clear, and supportive of businesses, increase investment, reduce household burdens, and optimize VAT incentives and exemptions.</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lastRenderedPageBreak/>
        <w:t>Accordingly, the draft revised VAT Law was developed to achieve the following key objectives:</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1.Reduce household tax burdens and protect real income: Provide for VAT refunds of up to 100 percent on a tiered basis, making VAT exemptions and incentives more effective and accessible in line with international practices and principles.</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2.Support business activity and allow enterprises to expand: Reduce liquidity shortages and working capital pressures, ensure equal and fair taxation for all, and avoid creating additional burdens on businesses.</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3.Support employment: Provide specific tax incentives to support human resource development, improve working conditions, and encourage workforce participation.</w:t>
      </w:r>
      <w:r>
        <w:rPr>
          <w:rFonts w:ascii="Arial" w:hAnsi="Arial" w:cs="Arial"/>
        </w:rPr>
        <w:t xml:space="preserve"> </w:t>
      </w:r>
      <w:r w:rsidRPr="00340C32">
        <w:rPr>
          <w:rFonts w:ascii="Arial" w:hAnsi="Arial" w:cs="Arial"/>
        </w:rPr>
        <w:t>Additionally, as required by the Law on Legislation, the draft was made publicly available on the Ministry of Finance’s website for 60 days, receiving 342 proposals from the public.</w:t>
      </w:r>
    </w:p>
    <w:p w:rsidR="00340C32" w:rsidRP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Based on the discussions and feedback, the draft law includes the following provisions:</w:t>
      </w: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All taxpayers become VAT payers.</w:t>
      </w:r>
      <w:r>
        <w:rPr>
          <w:rFonts w:ascii="Arial" w:hAnsi="Arial" w:cs="Arial"/>
        </w:rPr>
        <w:t xml:space="preserve"> </w:t>
      </w:r>
      <w:r w:rsidRPr="00340C32">
        <w:rPr>
          <w:rFonts w:ascii="Arial" w:hAnsi="Arial" w:cs="Arial"/>
        </w:rPr>
        <w:t>Taxpayers with annual sales revenue of up to 400 million MNT may opt for a simplified regime, filing quarterly and paying 1 percent of sales.</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To protect the tax base, VAT will apply to digital services provided by non-resident entities to Mongolian residents, requiring such entities to register as VAT payers.</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The definition of goods and services was expanded to include “cash, electronic money, and virtual assets.”</w:t>
      </w:r>
    </w:p>
    <w:p w:rsidR="00340C32" w:rsidRDefault="00340C32" w:rsidP="00340C32">
      <w:pPr>
        <w:spacing w:after="0" w:line="240" w:lineRule="auto"/>
        <w:ind w:firstLine="720"/>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Simplified registration requirements for VAT payers by removing the minimum 50 million MNT annual revenue condition previously applied.</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Legal and consulting services were removed from VAT taxation.  </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Rules linking VAT liability strictly to issuance of invoices and customs declarations were repealed.</w:t>
      </w: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VAT on imported and domestically produced fuel was reduced (0–10 percent), removing government-set variable rates, thereby supporting enterprises.</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VAT exemption changes were introduced, removing exemptions for certain goods and services, including civil aircraft parts and small-scale services below 50 million MNT annual revenue.</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Refund provisions: VAT refunds will be 100 percent for purchases up to 500,000 MNT, 50 percent for purchases of 500,001–800,000 MNT, and 20 percent for purchases exceeding 800,000 MNT.</w:t>
      </w:r>
    </w:p>
    <w:p w:rsidR="00340C32" w:rsidRDefault="00340C32" w:rsidP="00340C32">
      <w:pPr>
        <w:spacing w:after="0" w:line="240" w:lineRule="auto"/>
        <w:ind w:firstLine="720"/>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Simplified regime registration: Taxpayers not registering within one month of receiving a certificate, or with no VAT-liable sales in 2025 below 400 million MNT, will automatically be registered in the simplified regime by tax authorities.</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lastRenderedPageBreak/>
        <w:t>- Exclusions: The simplified regime will not apply to entities engaged in mining, petroleum, alcohol, tobacco, fuel wholesale/retail, or related activities.</w:t>
      </w: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Transitional provisions: VAT paid on capital assets purchased under the 2015 VAT Law will continue to be deductible proportionally, and transitional rules cover tax assessments, refunds, and deferrals.</w:t>
      </w:r>
    </w:p>
    <w:p w:rsidR="00340C32" w:rsidRDefault="00340C32" w:rsidP="00340C32">
      <w:pPr>
        <w:spacing w:after="0" w:line="240" w:lineRule="auto"/>
        <w:ind w:firstLine="720"/>
        <w:jc w:val="both"/>
        <w:rPr>
          <w:rFonts w:ascii="Arial" w:hAnsi="Arial" w:cs="Arial"/>
        </w:rPr>
      </w:pPr>
    </w:p>
    <w:p w:rsidR="00340C32" w:rsidRPr="00340C32" w:rsidRDefault="00340C32" w:rsidP="00340C32">
      <w:pPr>
        <w:spacing w:after="0" w:line="240" w:lineRule="auto"/>
        <w:ind w:firstLine="720"/>
        <w:jc w:val="both"/>
        <w:rPr>
          <w:rFonts w:ascii="Arial" w:hAnsi="Arial" w:cs="Arial"/>
        </w:rPr>
      </w:pPr>
      <w:r w:rsidRPr="00340C32">
        <w:rPr>
          <w:rFonts w:ascii="Arial" w:hAnsi="Arial" w:cs="Arial"/>
        </w:rPr>
        <w:t>- VAT on cross-border digital services will apply from January 1, 2027.</w:t>
      </w:r>
    </w:p>
    <w:p w:rsidR="00340C32" w:rsidRPr="00340C32" w:rsidRDefault="00340C32" w:rsidP="00340C32">
      <w:pPr>
        <w:spacing w:after="0" w:line="240" w:lineRule="auto"/>
        <w:jc w:val="both"/>
        <w:rPr>
          <w:rFonts w:ascii="Arial" w:hAnsi="Arial" w:cs="Arial"/>
        </w:rPr>
      </w:pPr>
    </w:p>
    <w:p w:rsidR="00F547E5" w:rsidRDefault="00340C32" w:rsidP="00340C32">
      <w:pPr>
        <w:spacing w:after="0" w:line="240" w:lineRule="auto"/>
        <w:ind w:firstLine="720"/>
        <w:jc w:val="both"/>
        <w:rPr>
          <w:rFonts w:ascii="Arial" w:hAnsi="Arial" w:cs="Arial"/>
        </w:rPr>
      </w:pPr>
      <w:r w:rsidRPr="00340C32">
        <w:rPr>
          <w:rFonts w:ascii="Arial" w:hAnsi="Arial" w:cs="Arial"/>
        </w:rPr>
        <w:t>Once enacted, the revised law will reduce household tax burdens, protect real incomes, support businesses and employment, and bring VAT practices in line with international standards. By introducing AI and big data systems, taxpayers will access timely information, resolve compliance issues in advance, and improve the investment and business environment in Mongolia.</w:t>
      </w:r>
    </w:p>
    <w:p w:rsidR="00340C32" w:rsidRDefault="00340C32" w:rsidP="00340C32">
      <w:pPr>
        <w:spacing w:after="0" w:line="240" w:lineRule="auto"/>
        <w:jc w:val="both"/>
        <w:rPr>
          <w:rFonts w:ascii="Arial" w:hAnsi="Arial" w:cs="Arial"/>
        </w:rPr>
      </w:pPr>
    </w:p>
    <w:p w:rsidR="00340C32" w:rsidRDefault="00340C32" w:rsidP="00340C32">
      <w:pPr>
        <w:spacing w:after="0" w:line="240" w:lineRule="auto"/>
        <w:jc w:val="both"/>
        <w:rPr>
          <w:rFonts w:ascii="Arial" w:hAnsi="Arial" w:cs="Arial"/>
        </w:rPr>
      </w:pPr>
    </w:p>
    <w:p w:rsidR="00340C32" w:rsidRPr="00340C32" w:rsidRDefault="00340C32" w:rsidP="00340C32">
      <w:pPr>
        <w:spacing w:after="0" w:line="240" w:lineRule="auto"/>
        <w:jc w:val="center"/>
        <w:rPr>
          <w:rFonts w:ascii="Arial" w:hAnsi="Arial" w:cs="Arial"/>
          <w:lang w:val="en-US"/>
        </w:rPr>
      </w:pPr>
      <w:r>
        <w:rPr>
          <w:rFonts w:ascii="Arial" w:hAnsi="Arial" w:cs="Arial"/>
          <w:lang w:val="en-US"/>
        </w:rPr>
        <w:t>---</w:t>
      </w:r>
      <w:proofErr w:type="spellStart"/>
      <w:r>
        <w:rPr>
          <w:rFonts w:ascii="Arial" w:hAnsi="Arial" w:cs="Arial"/>
          <w:lang w:val="en-US"/>
        </w:rPr>
        <w:t>oOo</w:t>
      </w:r>
      <w:proofErr w:type="spellEnd"/>
      <w:r>
        <w:rPr>
          <w:rFonts w:ascii="Arial" w:hAnsi="Arial" w:cs="Arial"/>
          <w:lang w:val="en-US"/>
        </w:rPr>
        <w:t>---</w:t>
      </w:r>
    </w:p>
    <w:sectPr w:rsidR="00340C32" w:rsidRPr="00340C32" w:rsidSect="00EB391A">
      <w:pgSz w:w="12240" w:h="15840"/>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32"/>
    <w:rsid w:val="0006043F"/>
    <w:rsid w:val="000B6D4E"/>
    <w:rsid w:val="000C283F"/>
    <w:rsid w:val="001A361E"/>
    <w:rsid w:val="00340C32"/>
    <w:rsid w:val="004A1B4A"/>
    <w:rsid w:val="0056671A"/>
    <w:rsid w:val="00646ECC"/>
    <w:rsid w:val="00700BE3"/>
    <w:rsid w:val="00A8099E"/>
    <w:rsid w:val="00E65756"/>
    <w:rsid w:val="00EB391A"/>
    <w:rsid w:val="00F547E5"/>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354119D5"/>
  <w15:chartTrackingRefBased/>
  <w15:docId w15:val="{B331054A-3CC5-0D4C-BC1A-7ECD7116B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M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0C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0C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0C3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0C3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0C3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0C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C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C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C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C3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0C3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0C3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0C3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0C3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0C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0C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0C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0C32"/>
    <w:rPr>
      <w:rFonts w:eastAsiaTheme="majorEastAsia" w:cstheme="majorBidi"/>
      <w:color w:val="272727" w:themeColor="text1" w:themeTint="D8"/>
    </w:rPr>
  </w:style>
  <w:style w:type="paragraph" w:styleId="Title">
    <w:name w:val="Title"/>
    <w:basedOn w:val="Normal"/>
    <w:next w:val="Normal"/>
    <w:link w:val="TitleChar"/>
    <w:uiPriority w:val="10"/>
    <w:qFormat/>
    <w:rsid w:val="00340C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C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C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0C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C32"/>
    <w:pPr>
      <w:spacing w:before="160"/>
      <w:jc w:val="center"/>
    </w:pPr>
    <w:rPr>
      <w:i/>
      <w:iCs/>
      <w:color w:val="404040" w:themeColor="text1" w:themeTint="BF"/>
    </w:rPr>
  </w:style>
  <w:style w:type="character" w:customStyle="1" w:styleId="QuoteChar">
    <w:name w:val="Quote Char"/>
    <w:basedOn w:val="DefaultParagraphFont"/>
    <w:link w:val="Quote"/>
    <w:uiPriority w:val="29"/>
    <w:rsid w:val="00340C32"/>
    <w:rPr>
      <w:i/>
      <w:iCs/>
      <w:color w:val="404040" w:themeColor="text1" w:themeTint="BF"/>
    </w:rPr>
  </w:style>
  <w:style w:type="paragraph" w:styleId="ListParagraph">
    <w:name w:val="List Paragraph"/>
    <w:basedOn w:val="Normal"/>
    <w:uiPriority w:val="34"/>
    <w:qFormat/>
    <w:rsid w:val="00340C32"/>
    <w:pPr>
      <w:ind w:left="720"/>
      <w:contextualSpacing/>
    </w:pPr>
  </w:style>
  <w:style w:type="character" w:styleId="IntenseEmphasis">
    <w:name w:val="Intense Emphasis"/>
    <w:basedOn w:val="DefaultParagraphFont"/>
    <w:uiPriority w:val="21"/>
    <w:qFormat/>
    <w:rsid w:val="00340C32"/>
    <w:rPr>
      <w:i/>
      <w:iCs/>
      <w:color w:val="2F5496" w:themeColor="accent1" w:themeShade="BF"/>
    </w:rPr>
  </w:style>
  <w:style w:type="paragraph" w:styleId="IntenseQuote">
    <w:name w:val="Intense Quote"/>
    <w:basedOn w:val="Normal"/>
    <w:next w:val="Normal"/>
    <w:link w:val="IntenseQuoteChar"/>
    <w:uiPriority w:val="30"/>
    <w:qFormat/>
    <w:rsid w:val="00340C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0C32"/>
    <w:rPr>
      <w:i/>
      <w:iCs/>
      <w:color w:val="2F5496" w:themeColor="accent1" w:themeShade="BF"/>
    </w:rPr>
  </w:style>
  <w:style w:type="character" w:styleId="IntenseReference">
    <w:name w:val="Intense Reference"/>
    <w:basedOn w:val="DefaultParagraphFont"/>
    <w:uiPriority w:val="32"/>
    <w:qFormat/>
    <w:rsid w:val="00340C3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954</Words>
  <Characters>5443</Characters>
  <Application>Microsoft Office Word</Application>
  <DocSecurity>0</DocSecurity>
  <Lines>45</Lines>
  <Paragraphs>12</Paragraphs>
  <ScaleCrop>false</ScaleCrop>
  <Company/>
  <LinksUpToDate>false</LinksUpToDate>
  <CharactersWithSpaces>6385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Bayarmaa</dc:creator>
  <cp:keywords/>
  <dc:description/>
  <cp:lastModifiedBy>Bayarmaa</cp:lastModifiedBy>
  <cp:revision>1</cp:revision>
  <dcterms:created xsi:type="dcterms:W3CDTF">2025-08-21T07:21:00Z</dcterms:created>
  <dcterms:modified xsi:type="dcterms:W3CDTF">2025-08-21T07:24:00Z</dcterms:modified>
</cp:coreProperties>
</file>