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B116" w14:textId="77777777" w:rsidR="00846A69" w:rsidRPr="00D57481" w:rsidRDefault="00846A69" w:rsidP="00846A69">
      <w:pPr>
        <w:rPr>
          <w:b/>
          <w:bCs/>
        </w:rPr>
      </w:pPr>
      <w:r w:rsidRPr="00D57481">
        <w:rPr>
          <w:b/>
          <w:bCs/>
        </w:rPr>
        <w:t>БАТЛАВ.</w:t>
      </w:r>
    </w:p>
    <w:p w14:paraId="18997AED" w14:textId="1CAE6E3B" w:rsidR="00846A69" w:rsidRPr="00D57481" w:rsidRDefault="00846A69" w:rsidP="00846A69">
      <w:pPr>
        <w:rPr>
          <w:b/>
          <w:bCs/>
        </w:rPr>
      </w:pPr>
      <w:r w:rsidRPr="00D57481">
        <w:rPr>
          <w:b/>
          <w:bCs/>
        </w:rPr>
        <w:t>МОНГОЛ УЛСЫН ИХ ХУРЛЫН ГИШҮҮН</w:t>
      </w:r>
      <w:r w:rsidRPr="00D57481">
        <w:rPr>
          <w:b/>
          <w:bCs/>
        </w:rPr>
        <w:tab/>
      </w:r>
      <w:r w:rsidRPr="00D57481">
        <w:rPr>
          <w:b/>
          <w:bCs/>
        </w:rPr>
        <w:tab/>
      </w:r>
      <w:r w:rsidRPr="00D57481">
        <w:rPr>
          <w:b/>
          <w:bCs/>
        </w:rPr>
        <w:tab/>
      </w:r>
      <w:r w:rsidRPr="00D57481">
        <w:rPr>
          <w:b/>
          <w:bCs/>
        </w:rPr>
        <w:tab/>
      </w:r>
      <w:r>
        <w:rPr>
          <w:b/>
          <w:bCs/>
        </w:rPr>
        <w:tab/>
      </w:r>
      <w:r>
        <w:rPr>
          <w:b/>
          <w:bCs/>
        </w:rPr>
        <w:tab/>
      </w:r>
      <w:r>
        <w:rPr>
          <w:b/>
          <w:bCs/>
        </w:rPr>
        <w:tab/>
      </w:r>
      <w:r>
        <w:rPr>
          <w:b/>
          <w:bCs/>
        </w:rPr>
        <w:tab/>
      </w:r>
      <w:r w:rsidR="00AD52F4">
        <w:rPr>
          <w:b/>
          <w:bCs/>
        </w:rPr>
        <w:t xml:space="preserve">           </w:t>
      </w:r>
      <w:r>
        <w:rPr>
          <w:b/>
          <w:bCs/>
        </w:rPr>
        <w:tab/>
        <w:t>О</w:t>
      </w:r>
      <w:r w:rsidRPr="00D57481">
        <w:rPr>
          <w:b/>
          <w:bCs/>
        </w:rPr>
        <w:t>.</w:t>
      </w:r>
      <w:r>
        <w:rPr>
          <w:b/>
          <w:bCs/>
        </w:rPr>
        <w:t xml:space="preserve">АМГАЛАНБААТАР </w:t>
      </w:r>
    </w:p>
    <w:p w14:paraId="3491BFE5" w14:textId="77777777" w:rsidR="00846A69" w:rsidRDefault="00846A69" w:rsidP="00E979A8">
      <w:pPr>
        <w:ind w:firstLine="0"/>
        <w:jc w:val="center"/>
        <w:rPr>
          <w:b/>
          <w:bCs/>
          <w:sz w:val="24"/>
          <w:szCs w:val="24"/>
          <w:lang w:val="mn-MN"/>
        </w:rPr>
      </w:pPr>
    </w:p>
    <w:p w14:paraId="5645ADD2" w14:textId="7C3912C3" w:rsidR="00333EC9" w:rsidRPr="006B3D1F" w:rsidRDefault="00E979A8" w:rsidP="00E979A8">
      <w:pPr>
        <w:ind w:firstLine="0"/>
        <w:jc w:val="center"/>
        <w:rPr>
          <w:b/>
          <w:bCs/>
          <w:sz w:val="24"/>
          <w:szCs w:val="24"/>
          <w:lang w:val="mn-MN"/>
        </w:rPr>
      </w:pPr>
      <w:r w:rsidRPr="006B3D1F">
        <w:rPr>
          <w:b/>
          <w:bCs/>
          <w:sz w:val="24"/>
          <w:szCs w:val="24"/>
          <w:lang w:val="mn-MN"/>
        </w:rPr>
        <w:t>МАНСУУРУУЛАХ ЭМ, СЭТГЭЦЭД НӨЛӨӨТ БОДИСЫН</w:t>
      </w:r>
      <w:r w:rsidR="00333EC9" w:rsidRPr="006B3D1F">
        <w:rPr>
          <w:b/>
          <w:bCs/>
          <w:sz w:val="24"/>
          <w:szCs w:val="24"/>
          <w:lang w:val="mn-MN"/>
        </w:rPr>
        <w:t xml:space="preserve"> </w:t>
      </w:r>
      <w:r w:rsidRPr="006B3D1F">
        <w:rPr>
          <w:b/>
          <w:bCs/>
          <w:sz w:val="24"/>
          <w:szCs w:val="24"/>
          <w:lang w:val="mn-MN"/>
        </w:rPr>
        <w:t xml:space="preserve">ТУХАЙ </w:t>
      </w:r>
    </w:p>
    <w:p w14:paraId="5C503C65" w14:textId="064D15B0" w:rsidR="00556D01" w:rsidRPr="006B3D1F" w:rsidRDefault="00E979A8" w:rsidP="00E979A8">
      <w:pPr>
        <w:ind w:firstLine="0"/>
        <w:jc w:val="center"/>
        <w:rPr>
          <w:b/>
          <w:bCs/>
          <w:sz w:val="24"/>
          <w:szCs w:val="24"/>
          <w:lang w:val="mn-MN"/>
        </w:rPr>
      </w:pPr>
      <w:r w:rsidRPr="006B3D1F">
        <w:rPr>
          <w:b/>
          <w:bCs/>
          <w:sz w:val="24"/>
          <w:szCs w:val="24"/>
          <w:lang w:val="mn-MN"/>
        </w:rPr>
        <w:t xml:space="preserve">ХУУЛИЙН ШИНЭЧИЛСЭН НАЙРУУЛГЫН </w:t>
      </w:r>
      <w:r w:rsidR="009425A5" w:rsidRPr="006B3D1F">
        <w:rPr>
          <w:b/>
          <w:bCs/>
          <w:sz w:val="24"/>
          <w:szCs w:val="24"/>
          <w:lang w:val="mn-MN"/>
        </w:rPr>
        <w:t xml:space="preserve">ТӨСЛИЙН </w:t>
      </w:r>
      <w:r w:rsidR="006D6D2D" w:rsidRPr="006B3D1F">
        <w:rPr>
          <w:b/>
          <w:bCs/>
          <w:sz w:val="24"/>
          <w:szCs w:val="24"/>
          <w:lang w:val="mn-MN"/>
        </w:rPr>
        <w:t>ҮЗЭЛ БАРИМТЛАЛ</w:t>
      </w:r>
    </w:p>
    <w:p w14:paraId="33D256D1" w14:textId="77777777" w:rsidR="003C3B85" w:rsidRPr="006B3D1F" w:rsidRDefault="003C3B85">
      <w:pPr>
        <w:rPr>
          <w:sz w:val="24"/>
          <w:szCs w:val="24"/>
          <w:lang w:val="mn-MN"/>
        </w:rPr>
      </w:pPr>
    </w:p>
    <w:p w14:paraId="1C6E518F" w14:textId="23F5758B" w:rsidR="00905F52" w:rsidRPr="006B3D1F" w:rsidRDefault="00556D01">
      <w:pPr>
        <w:rPr>
          <w:b/>
          <w:bCs/>
          <w:sz w:val="24"/>
          <w:szCs w:val="24"/>
          <w:lang w:val="mn-MN"/>
        </w:rPr>
      </w:pPr>
      <w:r w:rsidRPr="006B3D1F">
        <w:rPr>
          <w:b/>
          <w:bCs/>
          <w:sz w:val="24"/>
          <w:szCs w:val="24"/>
          <w:lang w:val="mn-MN"/>
        </w:rPr>
        <w:t xml:space="preserve">Нэг. </w:t>
      </w:r>
      <w:r w:rsidR="001A031A" w:rsidRPr="006B3D1F">
        <w:rPr>
          <w:b/>
          <w:bCs/>
          <w:sz w:val="24"/>
          <w:szCs w:val="24"/>
          <w:lang w:val="mn-MN"/>
        </w:rPr>
        <w:t>Хуул</w:t>
      </w:r>
      <w:r w:rsidR="00CC0309" w:rsidRPr="006B3D1F">
        <w:rPr>
          <w:b/>
          <w:bCs/>
          <w:sz w:val="24"/>
          <w:szCs w:val="24"/>
          <w:lang w:val="mn-MN"/>
        </w:rPr>
        <w:t xml:space="preserve">ийн төсөл боловсруулах үндэслэл, </w:t>
      </w:r>
      <w:r w:rsidR="001A031A" w:rsidRPr="006B3D1F">
        <w:rPr>
          <w:b/>
          <w:bCs/>
          <w:sz w:val="24"/>
          <w:szCs w:val="24"/>
          <w:lang w:val="mn-MN"/>
        </w:rPr>
        <w:t>шаардлага</w:t>
      </w:r>
      <w:r w:rsidR="00EB0254" w:rsidRPr="006B3D1F">
        <w:rPr>
          <w:b/>
          <w:bCs/>
          <w:sz w:val="24"/>
          <w:szCs w:val="24"/>
          <w:lang w:val="mn-MN"/>
        </w:rPr>
        <w:t>:</w:t>
      </w:r>
    </w:p>
    <w:p w14:paraId="73444251" w14:textId="0AC34F04" w:rsidR="00304545" w:rsidRPr="006B3D1F" w:rsidRDefault="00304545" w:rsidP="001A031A">
      <w:pPr>
        <w:rPr>
          <w:b/>
          <w:bCs/>
          <w:sz w:val="24"/>
          <w:szCs w:val="24"/>
          <w:lang w:val="mn-MN"/>
        </w:rPr>
      </w:pPr>
      <w:r w:rsidRPr="006B3D1F">
        <w:rPr>
          <w:b/>
          <w:bCs/>
          <w:sz w:val="24"/>
          <w:szCs w:val="24"/>
          <w:lang w:val="mn-MN"/>
        </w:rPr>
        <w:t>1.1.Хууль зүйн зохицуулалтын үндэслэл, хэрэгцээ</w:t>
      </w:r>
    </w:p>
    <w:p w14:paraId="508EEF09" w14:textId="1817F3B2" w:rsidR="00745309" w:rsidRPr="006B3D1F" w:rsidRDefault="001A031A" w:rsidP="00846A69">
      <w:pPr>
        <w:rPr>
          <w:sz w:val="24"/>
          <w:szCs w:val="24"/>
          <w:lang w:val="mn-MN"/>
        </w:rPr>
      </w:pPr>
      <w:r w:rsidRPr="006B3D1F">
        <w:rPr>
          <w:sz w:val="24"/>
          <w:szCs w:val="24"/>
          <w:lang w:val="mn-MN"/>
        </w:rPr>
        <w:t>Монгол улсын Үндсэн хуулийн 11 дүгээр зүйлд “Эх орныхоо тусгаар тогтнолыг батлан хамгаалж, үндэсний аюулгүй байдал, нийгмийн дэг журмыг хангах нь төрийн үүрэг мөн.”</w:t>
      </w:r>
      <w:r w:rsidR="00110B77" w:rsidRPr="006B3D1F">
        <w:rPr>
          <w:sz w:val="24"/>
          <w:szCs w:val="24"/>
          <w:lang w:val="mn-MN"/>
        </w:rPr>
        <w:t xml:space="preserve">, </w:t>
      </w:r>
      <w:r w:rsidR="00CA341F" w:rsidRPr="006B3D1F">
        <w:rPr>
          <w:sz w:val="24"/>
          <w:szCs w:val="24"/>
          <w:lang w:val="mn-MN"/>
        </w:rPr>
        <w:t>16 дугаар зүйлийн 2 дахь хэсэгт “эрүүл, аюулгүй орчинд амьдрах</w:t>
      </w:r>
      <w:r w:rsidR="009A2E19" w:rsidRPr="006B3D1F">
        <w:rPr>
          <w:sz w:val="24"/>
          <w:szCs w:val="24"/>
          <w:lang w:val="mn-MN"/>
        </w:rPr>
        <w:t xml:space="preserve"> ...</w:t>
      </w:r>
      <w:r w:rsidR="00CA341F" w:rsidRPr="006B3D1F">
        <w:rPr>
          <w:sz w:val="24"/>
          <w:szCs w:val="24"/>
          <w:lang w:val="mn-MN"/>
        </w:rPr>
        <w:t xml:space="preserve"> эрхтэй;” </w:t>
      </w:r>
      <w:r w:rsidRPr="006B3D1F">
        <w:rPr>
          <w:sz w:val="24"/>
          <w:szCs w:val="24"/>
          <w:lang w:val="mn-MN"/>
        </w:rPr>
        <w:t xml:space="preserve">гэж </w:t>
      </w:r>
      <w:r w:rsidR="00570B80" w:rsidRPr="006B3D1F">
        <w:rPr>
          <w:sz w:val="24"/>
          <w:szCs w:val="24"/>
          <w:lang w:val="mn-MN"/>
        </w:rPr>
        <w:t xml:space="preserve">тус тус </w:t>
      </w:r>
      <w:r w:rsidRPr="006B3D1F">
        <w:rPr>
          <w:sz w:val="24"/>
          <w:szCs w:val="24"/>
          <w:lang w:val="mn-MN"/>
        </w:rPr>
        <w:t xml:space="preserve">тунхагласан. 1992 онд </w:t>
      </w:r>
      <w:r w:rsidR="009E643F" w:rsidRPr="006B3D1F">
        <w:rPr>
          <w:sz w:val="24"/>
          <w:szCs w:val="24"/>
          <w:lang w:val="mn-MN"/>
        </w:rPr>
        <w:t xml:space="preserve">Монгол улсын Үндсэн хууль </w:t>
      </w:r>
      <w:r w:rsidRPr="006B3D1F">
        <w:rPr>
          <w:sz w:val="24"/>
          <w:szCs w:val="24"/>
          <w:lang w:val="mn-MN"/>
        </w:rPr>
        <w:t xml:space="preserve">батлагдсанаас хойш </w:t>
      </w:r>
      <w:r w:rsidR="00E05FBD" w:rsidRPr="006B3D1F">
        <w:rPr>
          <w:sz w:val="24"/>
          <w:szCs w:val="24"/>
          <w:lang w:val="mn-MN"/>
        </w:rPr>
        <w:t xml:space="preserve">Монгол улсын төрөөс хүний эрхийг хамгаалах </w:t>
      </w:r>
      <w:r w:rsidR="003A0882" w:rsidRPr="006B3D1F">
        <w:rPr>
          <w:sz w:val="24"/>
          <w:szCs w:val="24"/>
          <w:lang w:val="mn-MN"/>
        </w:rPr>
        <w:t xml:space="preserve">бодлогыг үе шаттайгаар хэрэгжүүлж, </w:t>
      </w:r>
      <w:r w:rsidR="00305147" w:rsidRPr="006B3D1F">
        <w:rPr>
          <w:sz w:val="24"/>
          <w:szCs w:val="24"/>
          <w:lang w:val="mn-MN"/>
        </w:rPr>
        <w:t>Мансууруулах эм, сэтгэцэд нөлөөт бодисын эргэлтэд хяналт тавих тухай</w:t>
      </w:r>
      <w:r w:rsidR="008771C6" w:rsidRPr="006B3D1F">
        <w:rPr>
          <w:rStyle w:val="FootnoteReference"/>
          <w:sz w:val="24"/>
          <w:szCs w:val="24"/>
          <w:lang w:val="mn-MN"/>
        </w:rPr>
        <w:footnoteReference w:id="1"/>
      </w:r>
      <w:r w:rsidR="00305147" w:rsidRPr="006B3D1F">
        <w:rPr>
          <w:sz w:val="24"/>
          <w:szCs w:val="24"/>
          <w:lang w:val="mn-MN"/>
        </w:rPr>
        <w:t xml:space="preserve">, </w:t>
      </w:r>
      <w:r w:rsidR="009805B5" w:rsidRPr="006B3D1F">
        <w:rPr>
          <w:sz w:val="24"/>
          <w:szCs w:val="24"/>
          <w:lang w:val="mn-MN"/>
        </w:rPr>
        <w:t>Э</w:t>
      </w:r>
      <w:r w:rsidR="00E05FBD" w:rsidRPr="006B3D1F">
        <w:rPr>
          <w:sz w:val="24"/>
          <w:szCs w:val="24"/>
          <w:lang w:val="mn-MN"/>
        </w:rPr>
        <w:t>рүүл мэнд</w:t>
      </w:r>
      <w:r w:rsidR="009805B5" w:rsidRPr="006B3D1F">
        <w:rPr>
          <w:sz w:val="24"/>
          <w:szCs w:val="24"/>
          <w:lang w:val="mn-MN"/>
        </w:rPr>
        <w:t>ийн тухай хууль</w:t>
      </w:r>
      <w:r w:rsidR="008771C6" w:rsidRPr="006B3D1F">
        <w:rPr>
          <w:rStyle w:val="FootnoteReference"/>
          <w:sz w:val="24"/>
          <w:szCs w:val="24"/>
          <w:lang w:val="mn-MN"/>
        </w:rPr>
        <w:footnoteReference w:id="2"/>
      </w:r>
      <w:r w:rsidR="009805B5" w:rsidRPr="006B3D1F">
        <w:rPr>
          <w:sz w:val="24"/>
          <w:szCs w:val="24"/>
          <w:lang w:val="mn-MN"/>
        </w:rPr>
        <w:t>,</w:t>
      </w:r>
      <w:r w:rsidR="002D06B6" w:rsidRPr="006B3D1F">
        <w:rPr>
          <w:sz w:val="24"/>
          <w:szCs w:val="24"/>
          <w:lang w:val="mn-MN"/>
        </w:rPr>
        <w:t xml:space="preserve"> Монгол улсын Үндэсний аюулгүй байдлын тухай хууль</w:t>
      </w:r>
      <w:r w:rsidR="008F65C6" w:rsidRPr="006B3D1F">
        <w:rPr>
          <w:rStyle w:val="FootnoteReference"/>
          <w:sz w:val="24"/>
          <w:szCs w:val="24"/>
          <w:lang w:val="mn-MN"/>
        </w:rPr>
        <w:footnoteReference w:id="3"/>
      </w:r>
      <w:r w:rsidR="001F3D50" w:rsidRPr="006B3D1F">
        <w:rPr>
          <w:sz w:val="24"/>
          <w:szCs w:val="24"/>
          <w:lang w:val="mn-MN"/>
        </w:rPr>
        <w:t>,</w:t>
      </w:r>
      <w:r w:rsidR="009805B5" w:rsidRPr="006B3D1F">
        <w:rPr>
          <w:sz w:val="24"/>
          <w:szCs w:val="24"/>
          <w:lang w:val="mn-MN"/>
        </w:rPr>
        <w:t xml:space="preserve"> </w:t>
      </w:r>
      <w:r w:rsidR="00881DA6" w:rsidRPr="006B3D1F">
        <w:rPr>
          <w:sz w:val="24"/>
          <w:szCs w:val="24"/>
          <w:lang w:val="mn-MN"/>
        </w:rPr>
        <w:t>Монгол улсын үндэсний аюулгүй байдлын үзэл баримтлал</w:t>
      </w:r>
      <w:r w:rsidR="002A3B05" w:rsidRPr="006B3D1F">
        <w:rPr>
          <w:rStyle w:val="FootnoteReference"/>
          <w:sz w:val="24"/>
          <w:szCs w:val="24"/>
          <w:lang w:val="mn-MN"/>
        </w:rPr>
        <w:footnoteReference w:id="4"/>
      </w:r>
      <w:r w:rsidR="00881DA6" w:rsidRPr="006B3D1F">
        <w:rPr>
          <w:sz w:val="24"/>
          <w:szCs w:val="24"/>
          <w:lang w:val="mn-MN"/>
        </w:rPr>
        <w:t xml:space="preserve"> </w:t>
      </w:r>
      <w:r w:rsidR="00ED29EE" w:rsidRPr="006B3D1F">
        <w:rPr>
          <w:sz w:val="24"/>
          <w:szCs w:val="24"/>
          <w:lang w:val="mn-MN"/>
        </w:rPr>
        <w:t xml:space="preserve">зэрэг </w:t>
      </w:r>
      <w:r w:rsidR="000F6695" w:rsidRPr="006B3D1F">
        <w:rPr>
          <w:sz w:val="24"/>
          <w:szCs w:val="24"/>
          <w:lang w:val="mn-MN"/>
        </w:rPr>
        <w:t>эрх зүйн бодлогын баримт бичгүүд</w:t>
      </w:r>
      <w:r w:rsidR="00ED29EE" w:rsidRPr="006B3D1F">
        <w:rPr>
          <w:sz w:val="24"/>
          <w:szCs w:val="24"/>
          <w:lang w:val="mn-MN"/>
        </w:rPr>
        <w:t xml:space="preserve">ийг баталсан </w:t>
      </w:r>
      <w:r w:rsidRPr="006B3D1F">
        <w:rPr>
          <w:sz w:val="24"/>
          <w:szCs w:val="24"/>
          <w:lang w:val="mn-MN"/>
        </w:rPr>
        <w:t xml:space="preserve">байна. </w:t>
      </w:r>
    </w:p>
    <w:p w14:paraId="1D974329" w14:textId="350881A7" w:rsidR="007A0CE1" w:rsidRPr="006B3D1F" w:rsidRDefault="00FC2C42" w:rsidP="00FC2C42">
      <w:pPr>
        <w:rPr>
          <w:sz w:val="24"/>
          <w:szCs w:val="24"/>
          <w:lang w:val="mn-MN"/>
        </w:rPr>
      </w:pPr>
      <w:r w:rsidRPr="006B3D1F">
        <w:rPr>
          <w:sz w:val="24"/>
          <w:szCs w:val="24"/>
          <w:lang w:val="mn-MN"/>
        </w:rPr>
        <w:t xml:space="preserve">Мансууруулах эм, сэтгэцэд нөлөөт бодисын эргэлтэд хяналт тавих тухай хуулийг 2002 оны 11 дүгээр сарын 28-ны өдөр баталж, хэрэгжүүлсэн боловч </w:t>
      </w:r>
    </w:p>
    <w:p w14:paraId="6D6144C3" w14:textId="49788E56" w:rsidR="00625ABB" w:rsidRPr="006B3D1F" w:rsidRDefault="007A0CE1" w:rsidP="00625ABB">
      <w:pPr>
        <w:rPr>
          <w:sz w:val="24"/>
          <w:szCs w:val="24"/>
          <w:lang w:val="mn-MN"/>
        </w:rPr>
      </w:pPr>
      <w:r w:rsidRPr="006B3D1F">
        <w:rPr>
          <w:sz w:val="24"/>
          <w:szCs w:val="24"/>
          <w:lang w:val="mn-MN"/>
        </w:rPr>
        <w:t>-</w:t>
      </w:r>
      <w:r w:rsidR="003252DA" w:rsidRPr="006B3D1F">
        <w:rPr>
          <w:sz w:val="24"/>
          <w:szCs w:val="24"/>
          <w:lang w:val="mn-MN"/>
        </w:rPr>
        <w:t xml:space="preserve"> </w:t>
      </w:r>
      <w:r w:rsidR="00E07A76" w:rsidRPr="006B3D1F">
        <w:rPr>
          <w:sz w:val="24"/>
          <w:szCs w:val="24"/>
          <w:lang w:val="mn-MN"/>
        </w:rPr>
        <w:t xml:space="preserve">“мансууруулах эм, сэтгэцэд нөлөөт бодис”-ын хууль бус эргэлт, </w:t>
      </w:r>
      <w:r w:rsidR="000E26E8" w:rsidRPr="006B3D1F">
        <w:rPr>
          <w:sz w:val="24"/>
          <w:szCs w:val="24"/>
          <w:lang w:val="mn-MN"/>
        </w:rPr>
        <w:t>Шүүхээр шийдвэрлэгдэж буй хэргийн тоо</w:t>
      </w:r>
      <w:r w:rsidR="002D06B6" w:rsidRPr="006B3D1F">
        <w:rPr>
          <w:sz w:val="24"/>
          <w:szCs w:val="24"/>
          <w:lang w:val="mn-MN"/>
        </w:rPr>
        <w:t xml:space="preserve"> эрс</w:t>
      </w:r>
      <w:r w:rsidR="000E26E8" w:rsidRPr="006B3D1F">
        <w:rPr>
          <w:sz w:val="24"/>
          <w:szCs w:val="24"/>
          <w:lang w:val="mn-MN"/>
        </w:rPr>
        <w:t xml:space="preserve"> нэмэгдэж, шүүхээс гэм буруутайд тооцогдсон хүний нас</w:t>
      </w:r>
      <w:r w:rsidR="002D06B6" w:rsidRPr="006B3D1F">
        <w:rPr>
          <w:sz w:val="24"/>
          <w:szCs w:val="24"/>
          <w:lang w:val="mn-MN"/>
        </w:rPr>
        <w:t xml:space="preserve"> залуужиж буй нь</w:t>
      </w:r>
      <w:r w:rsidR="005212F7" w:rsidRPr="006B3D1F">
        <w:rPr>
          <w:sz w:val="24"/>
          <w:szCs w:val="24"/>
          <w:lang w:val="mn-MN"/>
        </w:rPr>
        <w:t xml:space="preserve"> Монгол улсын Үндэсний аюулгүй байдлын тухай хуулийн 3 дугаар зүйлийн 3.6 дэх хэсгийн 3.4.8-д заасан “хүн ам, удмын сангийн аюулгүй байдал”-д сөрөг нөлөө үзүүлэхэд хүрч</w:t>
      </w:r>
      <w:r w:rsidR="00625ABB" w:rsidRPr="006B3D1F">
        <w:rPr>
          <w:sz w:val="24"/>
          <w:szCs w:val="24"/>
          <w:lang w:val="mn-MN"/>
        </w:rPr>
        <w:t xml:space="preserve"> байгаа</w:t>
      </w:r>
      <w:r w:rsidR="00B96B33" w:rsidRPr="006B3D1F">
        <w:rPr>
          <w:sz w:val="24"/>
          <w:szCs w:val="24"/>
          <w:lang w:val="mn-MN"/>
        </w:rPr>
        <w:t xml:space="preserve"> </w:t>
      </w:r>
      <w:r w:rsidR="00400CA9" w:rsidRPr="006B3D1F">
        <w:rPr>
          <w:sz w:val="24"/>
          <w:szCs w:val="24"/>
          <w:lang w:val="mn-MN"/>
        </w:rPr>
        <w:t xml:space="preserve">тул </w:t>
      </w:r>
      <w:r w:rsidR="00B96B33" w:rsidRPr="006B3D1F">
        <w:rPr>
          <w:sz w:val="24"/>
          <w:szCs w:val="24"/>
          <w:lang w:val="mn-MN"/>
        </w:rPr>
        <w:t xml:space="preserve">хуулийн зохицуулалтын хувьд </w:t>
      </w:r>
      <w:r w:rsidR="00400CA9" w:rsidRPr="006B3D1F">
        <w:rPr>
          <w:sz w:val="24"/>
          <w:szCs w:val="24"/>
          <w:lang w:val="mn-MN"/>
        </w:rPr>
        <w:t>шинэчлэх</w:t>
      </w:r>
      <w:r w:rsidR="00625ABB" w:rsidRPr="006B3D1F">
        <w:rPr>
          <w:sz w:val="24"/>
          <w:szCs w:val="24"/>
          <w:lang w:val="mn-MN"/>
        </w:rPr>
        <w:t>;</w:t>
      </w:r>
    </w:p>
    <w:p w14:paraId="323E8AA4" w14:textId="7A9764AC" w:rsidR="00461F7F" w:rsidRPr="006B3D1F" w:rsidRDefault="00B139D5" w:rsidP="00FC2C42">
      <w:pPr>
        <w:rPr>
          <w:sz w:val="24"/>
          <w:szCs w:val="24"/>
          <w:lang w:val="mn-MN"/>
        </w:rPr>
      </w:pPr>
      <w:r w:rsidRPr="006B3D1F">
        <w:rPr>
          <w:sz w:val="24"/>
          <w:szCs w:val="24"/>
          <w:lang w:val="mn-MN"/>
        </w:rPr>
        <w:t xml:space="preserve">-хуулийн агуулгын хувьд </w:t>
      </w:r>
      <w:r w:rsidR="003252DA" w:rsidRPr="006B3D1F">
        <w:rPr>
          <w:sz w:val="24"/>
          <w:szCs w:val="24"/>
          <w:lang w:val="mn-MN"/>
        </w:rPr>
        <w:t xml:space="preserve">мөн хуулийн 1 дүгээр зүйлд </w:t>
      </w:r>
      <w:r w:rsidR="00387EA1" w:rsidRPr="006B3D1F">
        <w:rPr>
          <w:sz w:val="24"/>
          <w:szCs w:val="24"/>
          <w:lang w:val="mn-MN"/>
        </w:rPr>
        <w:t xml:space="preserve">хуулийн </w:t>
      </w:r>
      <w:r w:rsidR="003252DA" w:rsidRPr="006B3D1F">
        <w:rPr>
          <w:sz w:val="24"/>
          <w:szCs w:val="24"/>
          <w:lang w:val="mn-MN"/>
        </w:rPr>
        <w:t>зорилт</w:t>
      </w:r>
      <w:r w:rsidR="00EC1835" w:rsidRPr="006B3D1F">
        <w:rPr>
          <w:sz w:val="24"/>
          <w:szCs w:val="24"/>
          <w:lang w:val="mn-MN"/>
        </w:rPr>
        <w:t>ы</w:t>
      </w:r>
      <w:r w:rsidR="003252DA" w:rsidRPr="006B3D1F">
        <w:rPr>
          <w:sz w:val="24"/>
          <w:szCs w:val="24"/>
          <w:lang w:val="mn-MN"/>
        </w:rPr>
        <w:t xml:space="preserve">г “мансууруулах эм, сэтгэцэд нөлөөт бодисын эргэлтэд хяналт тавих, энэ төрлийн бодисын хор хөнөөлөөс хүн амын эрүүл мэнд, удмын санг хамгаалах, урьдчилан сэргийлэх үйл ажиллагаатай холбогдсон харилцааг зохицуулахад оршино.” </w:t>
      </w:r>
      <w:r w:rsidR="009D1D4D" w:rsidRPr="006B3D1F">
        <w:rPr>
          <w:sz w:val="24"/>
          <w:szCs w:val="24"/>
          <w:lang w:val="mn-MN"/>
        </w:rPr>
        <w:t>г</w:t>
      </w:r>
      <w:r w:rsidR="003252DA" w:rsidRPr="006B3D1F">
        <w:rPr>
          <w:sz w:val="24"/>
          <w:szCs w:val="24"/>
          <w:lang w:val="mn-MN"/>
        </w:rPr>
        <w:t>э</w:t>
      </w:r>
      <w:r w:rsidR="000B2745" w:rsidRPr="006B3D1F">
        <w:rPr>
          <w:sz w:val="24"/>
          <w:szCs w:val="24"/>
          <w:lang w:val="mn-MN"/>
        </w:rPr>
        <w:t>с</w:t>
      </w:r>
      <w:r w:rsidR="009D1D4D" w:rsidRPr="006B3D1F">
        <w:rPr>
          <w:sz w:val="24"/>
          <w:szCs w:val="24"/>
          <w:lang w:val="mn-MN"/>
        </w:rPr>
        <w:t>эн нь</w:t>
      </w:r>
      <w:r w:rsidR="000B2745" w:rsidRPr="006B3D1F">
        <w:rPr>
          <w:sz w:val="24"/>
          <w:szCs w:val="24"/>
          <w:lang w:val="mn-MN"/>
        </w:rPr>
        <w:t>:</w:t>
      </w:r>
      <w:r w:rsidR="003252DA" w:rsidRPr="006B3D1F">
        <w:rPr>
          <w:sz w:val="24"/>
          <w:szCs w:val="24"/>
          <w:lang w:val="mn-MN"/>
        </w:rPr>
        <w:t xml:space="preserve"> </w:t>
      </w:r>
    </w:p>
    <w:p w14:paraId="70A293B8" w14:textId="65D4BB17" w:rsidR="007A0CE1" w:rsidRPr="006B3D1F" w:rsidRDefault="00E07A76" w:rsidP="00FC2C42">
      <w:pPr>
        <w:rPr>
          <w:sz w:val="24"/>
          <w:szCs w:val="24"/>
          <w:lang w:val="mn-MN"/>
        </w:rPr>
      </w:pPr>
      <w:r w:rsidRPr="006B3D1F">
        <w:rPr>
          <w:sz w:val="24"/>
          <w:szCs w:val="24"/>
          <w:lang w:val="mn-MN"/>
        </w:rPr>
        <w:t>-</w:t>
      </w:r>
      <w:r w:rsidR="00E239D6" w:rsidRPr="006B3D1F">
        <w:rPr>
          <w:sz w:val="24"/>
          <w:szCs w:val="24"/>
          <w:lang w:val="mn-MN"/>
        </w:rPr>
        <w:t>“мансууруулах эм, сэтгэцэд нөлөөт бодис”</w:t>
      </w:r>
      <w:r w:rsidR="00BF3AE8" w:rsidRPr="006B3D1F">
        <w:rPr>
          <w:sz w:val="24"/>
          <w:szCs w:val="24"/>
          <w:lang w:val="mn-MN"/>
        </w:rPr>
        <w:t>-</w:t>
      </w:r>
      <w:r w:rsidR="00E239D6" w:rsidRPr="006B3D1F">
        <w:rPr>
          <w:sz w:val="24"/>
          <w:szCs w:val="24"/>
          <w:lang w:val="mn-MN"/>
        </w:rPr>
        <w:t xml:space="preserve">ыг ижил </w:t>
      </w:r>
      <w:r w:rsidR="004752E4" w:rsidRPr="006B3D1F">
        <w:rPr>
          <w:sz w:val="24"/>
          <w:szCs w:val="24"/>
          <w:lang w:val="mn-MN"/>
        </w:rPr>
        <w:t>эд зүйл</w:t>
      </w:r>
      <w:r w:rsidR="00E239D6" w:rsidRPr="006B3D1F">
        <w:rPr>
          <w:sz w:val="24"/>
          <w:szCs w:val="24"/>
          <w:lang w:val="mn-MN"/>
        </w:rPr>
        <w:t xml:space="preserve"> мэтээр</w:t>
      </w:r>
      <w:r w:rsidR="00B90DCA" w:rsidRPr="006B3D1F">
        <w:rPr>
          <w:sz w:val="24"/>
          <w:szCs w:val="24"/>
          <w:lang w:val="mn-MN"/>
        </w:rPr>
        <w:t xml:space="preserve"> мөн хуулийн 3 дугаар зүйлийн 3.1 дэх хэсгийн 3.1.2-т том</w:t>
      </w:r>
      <w:r w:rsidR="003649BE">
        <w:rPr>
          <w:sz w:val="24"/>
          <w:szCs w:val="24"/>
          <w:lang w:val="mn-MN"/>
        </w:rPr>
        <w:t>ь</w:t>
      </w:r>
      <w:r w:rsidR="00B90DCA" w:rsidRPr="006B3D1F">
        <w:rPr>
          <w:sz w:val="24"/>
          <w:szCs w:val="24"/>
          <w:lang w:val="mn-MN"/>
        </w:rPr>
        <w:t>ёолсон</w:t>
      </w:r>
      <w:r w:rsidR="0098723F" w:rsidRPr="006B3D1F">
        <w:rPr>
          <w:sz w:val="24"/>
          <w:szCs w:val="24"/>
          <w:lang w:val="mn-MN"/>
        </w:rPr>
        <w:t>;</w:t>
      </w:r>
    </w:p>
    <w:p w14:paraId="1A696BD2" w14:textId="6779A3FE" w:rsidR="00804F7F" w:rsidRPr="006B3D1F" w:rsidRDefault="007A0CE1" w:rsidP="00FC2C42">
      <w:pPr>
        <w:rPr>
          <w:sz w:val="24"/>
          <w:szCs w:val="24"/>
          <w:lang w:val="mn-MN"/>
        </w:rPr>
      </w:pPr>
      <w:r w:rsidRPr="006B3D1F">
        <w:rPr>
          <w:sz w:val="24"/>
          <w:szCs w:val="24"/>
          <w:lang w:val="mn-MN"/>
        </w:rPr>
        <w:t>-</w:t>
      </w:r>
      <w:r w:rsidR="004A5D1D" w:rsidRPr="006B3D1F">
        <w:rPr>
          <w:sz w:val="24"/>
          <w:szCs w:val="24"/>
          <w:lang w:val="mn-MN"/>
        </w:rPr>
        <w:t>“</w:t>
      </w:r>
      <w:r w:rsidR="00157377" w:rsidRPr="006B3D1F">
        <w:rPr>
          <w:sz w:val="24"/>
          <w:szCs w:val="24"/>
          <w:lang w:val="mn-MN"/>
        </w:rPr>
        <w:t xml:space="preserve">мансууруулах эм, сэтгэцэд нөлөөт бодисын </w:t>
      </w:r>
      <w:r w:rsidR="004A5D1D" w:rsidRPr="006B3D1F">
        <w:rPr>
          <w:sz w:val="24"/>
          <w:szCs w:val="24"/>
          <w:lang w:val="mn-MN"/>
        </w:rPr>
        <w:t xml:space="preserve">хууль ёсны эргэлт, хуулиар хориглосон эргэлт” гэдгийг тус тусд нь ялгамжтайгаар </w:t>
      </w:r>
      <w:r w:rsidR="004032D2" w:rsidRPr="006B3D1F">
        <w:rPr>
          <w:sz w:val="24"/>
          <w:szCs w:val="24"/>
          <w:lang w:val="mn-MN"/>
        </w:rPr>
        <w:t>тус тус том</w:t>
      </w:r>
      <w:r w:rsidR="003649BE">
        <w:rPr>
          <w:sz w:val="24"/>
          <w:szCs w:val="24"/>
          <w:lang w:val="mn-MN"/>
        </w:rPr>
        <w:t>ь</w:t>
      </w:r>
      <w:r w:rsidR="004032D2" w:rsidRPr="006B3D1F">
        <w:rPr>
          <w:sz w:val="24"/>
          <w:szCs w:val="24"/>
          <w:lang w:val="mn-MN"/>
        </w:rPr>
        <w:t>ёолоо</w:t>
      </w:r>
      <w:r w:rsidR="004A5D1D" w:rsidRPr="006B3D1F">
        <w:rPr>
          <w:sz w:val="24"/>
          <w:szCs w:val="24"/>
          <w:lang w:val="mn-MN"/>
        </w:rPr>
        <w:t xml:space="preserve">гүй </w:t>
      </w:r>
      <w:r w:rsidR="00144B75" w:rsidRPr="006B3D1F">
        <w:rPr>
          <w:sz w:val="24"/>
          <w:szCs w:val="24"/>
          <w:lang w:val="mn-MN"/>
        </w:rPr>
        <w:t xml:space="preserve">нь </w:t>
      </w:r>
      <w:r w:rsidR="008430C0" w:rsidRPr="006B3D1F">
        <w:rPr>
          <w:sz w:val="24"/>
          <w:szCs w:val="24"/>
          <w:lang w:val="mn-MN"/>
        </w:rPr>
        <w:t xml:space="preserve">нийгмийн хөгжлийн өнөөгийн харилцаанд бүрнээ нийцэхгүй буюу </w:t>
      </w:r>
      <w:r w:rsidR="002A370B" w:rsidRPr="006B3D1F">
        <w:rPr>
          <w:sz w:val="24"/>
          <w:szCs w:val="24"/>
          <w:lang w:val="mn-MN"/>
        </w:rPr>
        <w:t>Хууль тогтоомжийн тухай хуулийн 25 дугаар зүйлийн 25.1 дэх хэсгийн 25.1.</w:t>
      </w:r>
      <w:r w:rsidR="00C276E9" w:rsidRPr="006B3D1F">
        <w:rPr>
          <w:sz w:val="24"/>
          <w:szCs w:val="24"/>
          <w:lang w:val="mn-MN"/>
        </w:rPr>
        <w:t>4-</w:t>
      </w:r>
      <w:r w:rsidR="008430C0" w:rsidRPr="006B3D1F">
        <w:rPr>
          <w:sz w:val="24"/>
          <w:szCs w:val="24"/>
          <w:lang w:val="mn-MN"/>
        </w:rPr>
        <w:t xml:space="preserve">д </w:t>
      </w:r>
      <w:r w:rsidR="002A370B" w:rsidRPr="006B3D1F">
        <w:rPr>
          <w:sz w:val="24"/>
          <w:szCs w:val="24"/>
          <w:lang w:val="mn-MN"/>
        </w:rPr>
        <w:t xml:space="preserve">заасан </w:t>
      </w:r>
      <w:r w:rsidR="008430C0" w:rsidRPr="006B3D1F">
        <w:rPr>
          <w:sz w:val="24"/>
          <w:szCs w:val="24"/>
          <w:lang w:val="mn-MN"/>
        </w:rPr>
        <w:t>“</w:t>
      </w:r>
      <w:r w:rsidR="00C276E9" w:rsidRPr="006B3D1F">
        <w:rPr>
          <w:sz w:val="24"/>
          <w:szCs w:val="24"/>
          <w:lang w:val="mn-MN"/>
        </w:rPr>
        <w:t xml:space="preserve">тухайн хуулиар зохицуулж байгаа нийгмийн харилцааны төлөв байдал, агуулгад </w:t>
      </w:r>
      <w:r w:rsidR="00C276E9" w:rsidRPr="006B3D1F">
        <w:rPr>
          <w:sz w:val="24"/>
          <w:szCs w:val="24"/>
          <w:lang w:val="mn-MN"/>
        </w:rPr>
        <w:lastRenderedPageBreak/>
        <w:t>ихээхэн өөрчлөлт гарч, түүнтэй уялдуулан хуулийг шинэчлэн батлах шаардлагатай болсон.</w:t>
      </w:r>
      <w:r w:rsidR="008430C0" w:rsidRPr="006B3D1F">
        <w:rPr>
          <w:sz w:val="24"/>
          <w:szCs w:val="24"/>
          <w:lang w:val="mn-MN"/>
        </w:rPr>
        <w:t>”</w:t>
      </w:r>
      <w:r w:rsidR="00155DF6" w:rsidRPr="006B3D1F">
        <w:rPr>
          <w:sz w:val="24"/>
          <w:szCs w:val="24"/>
          <w:lang w:val="mn-MN"/>
        </w:rPr>
        <w:t xml:space="preserve"> </w:t>
      </w:r>
      <w:r w:rsidR="003A5C41" w:rsidRPr="006B3D1F">
        <w:rPr>
          <w:sz w:val="24"/>
          <w:szCs w:val="24"/>
          <w:lang w:val="mn-MN"/>
        </w:rPr>
        <w:t xml:space="preserve">Хууль зүйн үндэслэл, хэрэгцээтэй </w:t>
      </w:r>
      <w:r w:rsidR="005E6FD0" w:rsidRPr="006B3D1F">
        <w:rPr>
          <w:sz w:val="24"/>
          <w:szCs w:val="24"/>
          <w:lang w:val="mn-MN"/>
        </w:rPr>
        <w:t>гэж үз</w:t>
      </w:r>
      <w:r w:rsidR="00487446" w:rsidRPr="006B3D1F">
        <w:rPr>
          <w:sz w:val="24"/>
          <w:szCs w:val="24"/>
          <w:lang w:val="mn-MN"/>
        </w:rPr>
        <w:t xml:space="preserve">сэн болно. </w:t>
      </w:r>
    </w:p>
    <w:p w14:paraId="2A0A4DB7" w14:textId="6D1B2F66" w:rsidR="00D6089C" w:rsidRPr="006B3D1F" w:rsidRDefault="00804F7F" w:rsidP="00FC2C42">
      <w:pPr>
        <w:rPr>
          <w:sz w:val="24"/>
          <w:szCs w:val="24"/>
          <w:lang w:val="mn-MN"/>
        </w:rPr>
      </w:pPr>
      <w:r w:rsidRPr="006B3D1F">
        <w:rPr>
          <w:sz w:val="24"/>
          <w:szCs w:val="24"/>
          <w:lang w:val="mn-MN"/>
        </w:rPr>
        <w:t>Мөн м</w:t>
      </w:r>
      <w:r w:rsidR="00D6089C" w:rsidRPr="006B3D1F">
        <w:rPr>
          <w:sz w:val="24"/>
          <w:szCs w:val="24"/>
          <w:lang w:val="mn-MN"/>
        </w:rPr>
        <w:t>ансууруулах эм, сэтгэцэд нөлөөт бодис нь</w:t>
      </w:r>
      <w:r w:rsidR="00254161" w:rsidRPr="006B3D1F">
        <w:rPr>
          <w:sz w:val="24"/>
          <w:szCs w:val="24"/>
          <w:lang w:val="mn-MN"/>
        </w:rPr>
        <w:t>:</w:t>
      </w:r>
      <w:r w:rsidR="00D6089C" w:rsidRPr="006B3D1F">
        <w:rPr>
          <w:sz w:val="24"/>
          <w:szCs w:val="24"/>
          <w:lang w:val="mn-MN"/>
        </w:rPr>
        <w:t xml:space="preserve"> </w:t>
      </w:r>
    </w:p>
    <w:p w14:paraId="500CBB48" w14:textId="3793E109" w:rsidR="00D6089C" w:rsidRPr="006B3D1F" w:rsidRDefault="00D6089C" w:rsidP="00FC2C42">
      <w:pPr>
        <w:rPr>
          <w:sz w:val="24"/>
          <w:szCs w:val="24"/>
          <w:lang w:val="mn-MN"/>
        </w:rPr>
      </w:pPr>
      <w:r w:rsidRPr="006B3D1F">
        <w:rPr>
          <w:sz w:val="24"/>
          <w:szCs w:val="24"/>
          <w:lang w:val="mn-MN"/>
        </w:rPr>
        <w:t>-</w:t>
      </w:r>
      <w:r w:rsidR="00D6174F" w:rsidRPr="006B3D1F">
        <w:rPr>
          <w:sz w:val="24"/>
          <w:szCs w:val="24"/>
          <w:lang w:val="mn-MN"/>
        </w:rPr>
        <w:t xml:space="preserve">Монгол улсын </w:t>
      </w:r>
      <w:r w:rsidRPr="006B3D1F">
        <w:rPr>
          <w:sz w:val="24"/>
          <w:szCs w:val="24"/>
          <w:lang w:val="mn-MN"/>
        </w:rPr>
        <w:t>хууль, олон улсын гэрээгээр хүлээн зөвшөөрсөн</w:t>
      </w:r>
      <w:r w:rsidR="00611D91" w:rsidRPr="006B3D1F">
        <w:rPr>
          <w:sz w:val="24"/>
          <w:szCs w:val="24"/>
          <w:lang w:val="mn-MN"/>
        </w:rPr>
        <w:t xml:space="preserve"> буюу хууль ёсны,</w:t>
      </w:r>
    </w:p>
    <w:p w14:paraId="181BC146" w14:textId="4052C36B" w:rsidR="00FC2C42" w:rsidRPr="006B3D1F" w:rsidRDefault="00D6089C" w:rsidP="00FC2C42">
      <w:pPr>
        <w:rPr>
          <w:sz w:val="24"/>
          <w:szCs w:val="24"/>
          <w:lang w:val="mn-MN"/>
        </w:rPr>
      </w:pPr>
      <w:r w:rsidRPr="006B3D1F">
        <w:rPr>
          <w:sz w:val="24"/>
          <w:szCs w:val="24"/>
          <w:lang w:val="mn-MN"/>
        </w:rPr>
        <w:t>-</w:t>
      </w:r>
      <w:r w:rsidR="00D6174F" w:rsidRPr="006B3D1F">
        <w:rPr>
          <w:sz w:val="24"/>
          <w:szCs w:val="24"/>
          <w:lang w:val="mn-MN"/>
        </w:rPr>
        <w:t xml:space="preserve">Монгол улсын </w:t>
      </w:r>
      <w:r w:rsidRPr="006B3D1F">
        <w:rPr>
          <w:sz w:val="24"/>
          <w:szCs w:val="24"/>
          <w:lang w:val="mn-MN"/>
        </w:rPr>
        <w:t xml:space="preserve">хууль, олон улсын гэрээгээр хориглосон </w:t>
      </w:r>
      <w:r w:rsidR="00611D91" w:rsidRPr="006B3D1F">
        <w:rPr>
          <w:sz w:val="24"/>
          <w:szCs w:val="24"/>
          <w:lang w:val="mn-MN"/>
        </w:rPr>
        <w:t xml:space="preserve">буюу “хууль бус” </w:t>
      </w:r>
      <w:r w:rsidRPr="006B3D1F">
        <w:rPr>
          <w:sz w:val="24"/>
          <w:szCs w:val="24"/>
          <w:lang w:val="mn-MN"/>
        </w:rPr>
        <w:t xml:space="preserve">2 төрлийн эргэлттэй байгаа тул </w:t>
      </w:r>
      <w:r w:rsidR="00860B8E" w:rsidRPr="006B3D1F">
        <w:rPr>
          <w:sz w:val="24"/>
          <w:szCs w:val="24"/>
          <w:lang w:val="mn-MN"/>
        </w:rPr>
        <w:t xml:space="preserve">хуулийн зохицуулах зүйл, агуулгад </w:t>
      </w:r>
      <w:r w:rsidR="00CC1FC8" w:rsidRPr="006B3D1F">
        <w:rPr>
          <w:sz w:val="24"/>
          <w:szCs w:val="24"/>
          <w:lang w:val="mn-MN"/>
        </w:rPr>
        <w:t xml:space="preserve">зарчмын </w:t>
      </w:r>
      <w:r w:rsidR="00860B8E" w:rsidRPr="006B3D1F">
        <w:rPr>
          <w:sz w:val="24"/>
          <w:szCs w:val="24"/>
          <w:lang w:val="mn-MN"/>
        </w:rPr>
        <w:t>өөрчлөлт</w:t>
      </w:r>
      <w:r w:rsidR="00CC1FC8" w:rsidRPr="006B3D1F">
        <w:rPr>
          <w:sz w:val="24"/>
          <w:szCs w:val="24"/>
          <w:lang w:val="mn-MN"/>
        </w:rPr>
        <w:t xml:space="preserve">үүдийг тусгаж, </w:t>
      </w:r>
      <w:r w:rsidR="00860B8E" w:rsidRPr="006B3D1F">
        <w:rPr>
          <w:sz w:val="24"/>
          <w:szCs w:val="24"/>
          <w:lang w:val="mn-MN"/>
        </w:rPr>
        <w:t xml:space="preserve">Хууль тогтоомжийн тухай хуулийн </w:t>
      </w:r>
      <w:r w:rsidR="00C22769" w:rsidRPr="006B3D1F">
        <w:rPr>
          <w:sz w:val="24"/>
          <w:szCs w:val="24"/>
          <w:lang w:val="mn-MN"/>
        </w:rPr>
        <w:t>22 дугаар зүйлийн 22.</w:t>
      </w:r>
      <w:r w:rsidR="00B72B28" w:rsidRPr="006B3D1F">
        <w:rPr>
          <w:sz w:val="24"/>
          <w:szCs w:val="24"/>
          <w:lang w:val="mn-MN"/>
        </w:rPr>
        <w:t>1</w:t>
      </w:r>
      <w:r w:rsidR="00C22769" w:rsidRPr="006B3D1F">
        <w:rPr>
          <w:sz w:val="24"/>
          <w:szCs w:val="24"/>
          <w:lang w:val="mn-MN"/>
        </w:rPr>
        <w:t xml:space="preserve"> д</w:t>
      </w:r>
      <w:r w:rsidR="00B72B28" w:rsidRPr="006B3D1F">
        <w:rPr>
          <w:sz w:val="24"/>
          <w:szCs w:val="24"/>
          <w:lang w:val="mn-MN"/>
        </w:rPr>
        <w:t>э</w:t>
      </w:r>
      <w:r w:rsidR="00C22769" w:rsidRPr="006B3D1F">
        <w:rPr>
          <w:sz w:val="24"/>
          <w:szCs w:val="24"/>
          <w:lang w:val="mn-MN"/>
        </w:rPr>
        <w:t>х</w:t>
      </w:r>
      <w:r w:rsidR="00B72B28" w:rsidRPr="006B3D1F">
        <w:rPr>
          <w:sz w:val="24"/>
          <w:szCs w:val="24"/>
          <w:lang w:val="mn-MN"/>
        </w:rPr>
        <w:t xml:space="preserve"> хэсгийн 22.1.3-т </w:t>
      </w:r>
      <w:r w:rsidR="00C22769" w:rsidRPr="006B3D1F">
        <w:rPr>
          <w:sz w:val="24"/>
          <w:szCs w:val="24"/>
          <w:lang w:val="mn-MN"/>
        </w:rPr>
        <w:t xml:space="preserve">заасан </w:t>
      </w:r>
      <w:r w:rsidR="00AC1E29" w:rsidRPr="006B3D1F">
        <w:rPr>
          <w:sz w:val="24"/>
          <w:szCs w:val="24"/>
          <w:lang w:val="mn-MN"/>
        </w:rPr>
        <w:t>“</w:t>
      </w:r>
      <w:r w:rsidR="00487446" w:rsidRPr="006B3D1F">
        <w:rPr>
          <w:sz w:val="24"/>
          <w:szCs w:val="24"/>
          <w:lang w:val="mn-MN"/>
        </w:rPr>
        <w:t>хуулийн шинэчилсэн найруулга</w:t>
      </w:r>
      <w:r w:rsidR="00AC1E29" w:rsidRPr="006B3D1F">
        <w:rPr>
          <w:sz w:val="24"/>
          <w:szCs w:val="24"/>
          <w:lang w:val="mn-MN"/>
        </w:rPr>
        <w:t>”</w:t>
      </w:r>
      <w:r w:rsidR="00487446" w:rsidRPr="006B3D1F">
        <w:rPr>
          <w:sz w:val="24"/>
          <w:szCs w:val="24"/>
          <w:lang w:val="mn-MN"/>
        </w:rPr>
        <w:t xml:space="preserve"> хэлбэрээр төслийг боловсруул</w:t>
      </w:r>
      <w:r w:rsidR="005E739E" w:rsidRPr="006B3D1F">
        <w:rPr>
          <w:sz w:val="24"/>
          <w:szCs w:val="24"/>
          <w:lang w:val="mn-MN"/>
        </w:rPr>
        <w:t>лаа</w:t>
      </w:r>
      <w:r w:rsidR="00487446" w:rsidRPr="006B3D1F">
        <w:rPr>
          <w:sz w:val="24"/>
          <w:szCs w:val="24"/>
          <w:lang w:val="mn-MN"/>
        </w:rPr>
        <w:t>.</w:t>
      </w:r>
    </w:p>
    <w:p w14:paraId="714F23A3" w14:textId="77777777" w:rsidR="001420E3" w:rsidRPr="006B3D1F" w:rsidRDefault="001420E3" w:rsidP="00FC2C42">
      <w:pPr>
        <w:rPr>
          <w:sz w:val="24"/>
          <w:szCs w:val="24"/>
          <w:lang w:val="mn-MN"/>
        </w:rPr>
      </w:pPr>
    </w:p>
    <w:p w14:paraId="2ED83246" w14:textId="01BAFAD6" w:rsidR="00FC4C6A" w:rsidRPr="006B3D1F" w:rsidRDefault="00FC4C6A" w:rsidP="001A031A">
      <w:pPr>
        <w:rPr>
          <w:b/>
          <w:bCs/>
          <w:sz w:val="24"/>
          <w:szCs w:val="24"/>
          <w:lang w:val="mn-MN"/>
        </w:rPr>
      </w:pPr>
      <w:r w:rsidRPr="006B3D1F">
        <w:rPr>
          <w:b/>
          <w:bCs/>
          <w:sz w:val="24"/>
          <w:szCs w:val="24"/>
          <w:lang w:val="mn-MN"/>
        </w:rPr>
        <w:t>1.2.Практик хэрэгцээ</w:t>
      </w:r>
    </w:p>
    <w:p w14:paraId="6B126192" w14:textId="77777777" w:rsidR="00FC4C6A" w:rsidRPr="006B3D1F" w:rsidRDefault="00FC4C6A" w:rsidP="00FC4C6A">
      <w:pPr>
        <w:rPr>
          <w:sz w:val="24"/>
          <w:szCs w:val="24"/>
          <w:lang w:val="mn-MN"/>
        </w:rPr>
      </w:pPr>
      <w:r w:rsidRPr="006B3D1F">
        <w:rPr>
          <w:sz w:val="24"/>
          <w:szCs w:val="24"/>
          <w:lang w:val="mn-MN"/>
        </w:rPr>
        <w:t xml:space="preserve">Хүний эрхийг хамгаалах нь дэлхий нийтийн анхаарлын төвд байх нийтлэг асуудал мөн боловч аливаа улсын тусгаар тогтнол, аюулгүй байдал нь иргэдийн удмын сан, үндэсний соёл, өв уламжлалын дархлааг хадгалах, өвлүүлэх явдлаар баталгааждаг тул тусгаар тогтносон улс бүрийн төрийн бодлогын нэн тэргүүнд байсаар ирсэн онцгой ач холбогдол бүхий асуудал юм. </w:t>
      </w:r>
    </w:p>
    <w:p w14:paraId="377C9A17" w14:textId="22A0CA40" w:rsidR="00BB3D32" w:rsidRPr="006B3D1F" w:rsidRDefault="00A7525E" w:rsidP="00E47412">
      <w:pPr>
        <w:rPr>
          <w:sz w:val="24"/>
          <w:szCs w:val="24"/>
          <w:lang w:val="mn-MN"/>
        </w:rPr>
      </w:pPr>
      <w:r w:rsidRPr="006B3D1F">
        <w:rPr>
          <w:sz w:val="24"/>
          <w:szCs w:val="24"/>
          <w:lang w:val="mn-MN"/>
        </w:rPr>
        <w:t>Монголын Хуульчдын Холбооноос 2024 онд хийж гүйцэтгэсэн</w:t>
      </w:r>
      <w:r w:rsidR="00FC4C6A" w:rsidRPr="006B3D1F">
        <w:rPr>
          <w:sz w:val="24"/>
          <w:szCs w:val="24"/>
          <w:lang w:val="mn-MN"/>
        </w:rPr>
        <w:t xml:space="preserve"> “Мансууруулах эм, сэтгэцэд нөлөөт бодистой холбоотой гэмт хэргийн гаралт, шийдвэрлэлтийн талаар</w:t>
      </w:r>
      <w:r w:rsidR="00C64465" w:rsidRPr="006B3D1F">
        <w:rPr>
          <w:sz w:val="24"/>
          <w:szCs w:val="24"/>
          <w:lang w:val="mn-MN"/>
        </w:rPr>
        <w:t>х судалгаа”-г сүүлийн 10 жилийн байдлаар судалж</w:t>
      </w:r>
      <w:r w:rsidR="003A4BDF" w:rsidRPr="006B3D1F">
        <w:rPr>
          <w:sz w:val="24"/>
          <w:szCs w:val="24"/>
          <w:lang w:val="mn-MN"/>
        </w:rPr>
        <w:t>, ман</w:t>
      </w:r>
      <w:r w:rsidR="00FB70B9" w:rsidRPr="006B3D1F">
        <w:rPr>
          <w:sz w:val="24"/>
          <w:szCs w:val="24"/>
          <w:lang w:val="mn-MN"/>
        </w:rPr>
        <w:t>сууруулах</w:t>
      </w:r>
      <w:r w:rsidR="00C64465" w:rsidRPr="006B3D1F">
        <w:rPr>
          <w:sz w:val="24"/>
          <w:szCs w:val="24"/>
          <w:lang w:val="mn-MN"/>
        </w:rPr>
        <w:t xml:space="preserve"> </w:t>
      </w:r>
      <w:r w:rsidR="00FB70B9" w:rsidRPr="006B3D1F">
        <w:rPr>
          <w:sz w:val="24"/>
          <w:szCs w:val="24"/>
          <w:lang w:val="mn-MN"/>
        </w:rPr>
        <w:t>эм, сэтгэцэд нөлөөт бодисын хууль бус эргэлттэй холбоотой</w:t>
      </w:r>
      <w:r w:rsidR="00D905DB" w:rsidRPr="006B3D1F">
        <w:rPr>
          <w:sz w:val="24"/>
          <w:szCs w:val="24"/>
          <w:lang w:val="mn-MN"/>
        </w:rPr>
        <w:t xml:space="preserve"> асуудал Монгол хүний удмын сан, эрүүл мэндэд сөргөөр нөлөөлөхүйц хэмжээнд </w:t>
      </w:r>
      <w:r w:rsidR="009C09EB" w:rsidRPr="006B3D1F">
        <w:rPr>
          <w:sz w:val="24"/>
          <w:szCs w:val="24"/>
          <w:lang w:val="mn-MN"/>
        </w:rPr>
        <w:t>х</w:t>
      </w:r>
      <w:r w:rsidR="00D905DB" w:rsidRPr="006B3D1F">
        <w:rPr>
          <w:sz w:val="24"/>
          <w:szCs w:val="24"/>
          <w:lang w:val="mn-MN"/>
        </w:rPr>
        <w:t>үрсн</w:t>
      </w:r>
      <w:r w:rsidR="00B63537" w:rsidRPr="006B3D1F">
        <w:rPr>
          <w:sz w:val="24"/>
          <w:szCs w:val="24"/>
          <w:lang w:val="mn-MN"/>
        </w:rPr>
        <w:t xml:space="preserve">ийг онцлон тэмдэглэж дараах дүгнэлтийг хийсэн </w:t>
      </w:r>
      <w:r w:rsidR="00D905DB" w:rsidRPr="006B3D1F">
        <w:rPr>
          <w:sz w:val="24"/>
          <w:szCs w:val="24"/>
          <w:lang w:val="mn-MN"/>
        </w:rPr>
        <w:t xml:space="preserve">байна. </w:t>
      </w:r>
      <w:r w:rsidR="00BB3D32" w:rsidRPr="006B3D1F">
        <w:rPr>
          <w:sz w:val="24"/>
          <w:szCs w:val="24"/>
          <w:lang w:val="mn-MN"/>
        </w:rPr>
        <w:t xml:space="preserve">Үүнд: </w:t>
      </w:r>
    </w:p>
    <w:p w14:paraId="423039B3" w14:textId="5DE5DE7F" w:rsidR="00BB3D32" w:rsidRPr="006B3D1F" w:rsidRDefault="00BB3D32" w:rsidP="00BB3D32">
      <w:pPr>
        <w:rPr>
          <w:sz w:val="24"/>
          <w:szCs w:val="24"/>
          <w:lang w:val="mn-MN"/>
        </w:rPr>
      </w:pPr>
      <w:r w:rsidRPr="006B3D1F">
        <w:rPr>
          <w:sz w:val="24"/>
          <w:szCs w:val="24"/>
          <w:lang w:val="mn-MN"/>
        </w:rPr>
        <w:t>1.2002 оны Эрүүгийн хуулийн үйлчлэлийн үед буюу 2012 оноос 2017 оны хагас жил хүрт</w:t>
      </w:r>
      <w:r w:rsidR="003649BE">
        <w:rPr>
          <w:sz w:val="24"/>
          <w:szCs w:val="24"/>
          <w:lang w:val="mn-MN"/>
        </w:rPr>
        <w:t>э</w:t>
      </w:r>
      <w:r w:rsidRPr="006B3D1F">
        <w:rPr>
          <w:sz w:val="24"/>
          <w:szCs w:val="24"/>
          <w:lang w:val="mn-MN"/>
        </w:rPr>
        <w:t xml:space="preserve">лх 5 жил 6 сарын хугацаанд 254 хэргийг шийдвэрлэж байсан бол 2017 оны 07 дугаар сарын 01-ний өдрөөс 2023 оны 12 дугаар сарын 31-ний өдрийн хугацаанд буюу 6 жил 6 сарын хугацаанд 1084 хэргийг шийдвэрлэж 4.2 дахин буюу эрс нэмэгдсэн. </w:t>
      </w:r>
    </w:p>
    <w:p w14:paraId="0DD7A347" w14:textId="45D2A259" w:rsidR="00A23C15" w:rsidRPr="006B3D1F" w:rsidRDefault="00BB3D32" w:rsidP="00A23C15">
      <w:pPr>
        <w:rPr>
          <w:sz w:val="24"/>
          <w:szCs w:val="24"/>
          <w:lang w:val="mn-MN"/>
        </w:rPr>
      </w:pPr>
      <w:r w:rsidRPr="006B3D1F">
        <w:rPr>
          <w:sz w:val="24"/>
          <w:szCs w:val="24"/>
          <w:lang w:val="mn-MN"/>
        </w:rPr>
        <w:t>2.</w:t>
      </w:r>
      <w:r w:rsidR="00A23C15" w:rsidRPr="006B3D1F">
        <w:rPr>
          <w:sz w:val="24"/>
          <w:szCs w:val="24"/>
          <w:lang w:val="mn-MN"/>
        </w:rPr>
        <w:t>Хэрэглэгч болон шүүгдэгчийн хүйсийн ялгааг харьцуул</w:t>
      </w:r>
      <w:r w:rsidR="00774733" w:rsidRPr="006B3D1F">
        <w:rPr>
          <w:sz w:val="24"/>
          <w:szCs w:val="24"/>
          <w:lang w:val="mn-MN"/>
        </w:rPr>
        <w:t>ахад</w:t>
      </w:r>
      <w:r w:rsidR="00A23C15" w:rsidRPr="006B3D1F">
        <w:rPr>
          <w:sz w:val="24"/>
          <w:szCs w:val="24"/>
          <w:lang w:val="mn-MN"/>
        </w:rPr>
        <w:t>, 2019 онд Донтолт судлалын клиникт хэвтэн эмчлүү</w:t>
      </w:r>
      <w:r w:rsidR="003649BE">
        <w:rPr>
          <w:sz w:val="24"/>
          <w:szCs w:val="24"/>
          <w:lang w:val="mn-MN"/>
        </w:rPr>
        <w:t>л</w:t>
      </w:r>
      <w:r w:rsidR="00A23C15" w:rsidRPr="006B3D1F">
        <w:rPr>
          <w:sz w:val="24"/>
          <w:szCs w:val="24"/>
          <w:lang w:val="mn-MN"/>
        </w:rPr>
        <w:t>сэн 69 өвчт</w:t>
      </w:r>
      <w:r w:rsidR="003649BE">
        <w:rPr>
          <w:sz w:val="24"/>
          <w:szCs w:val="24"/>
          <w:lang w:val="mn-MN"/>
        </w:rPr>
        <w:t>ө</w:t>
      </w:r>
      <w:r w:rsidR="00A23C15" w:rsidRPr="006B3D1F">
        <w:rPr>
          <w:sz w:val="24"/>
          <w:szCs w:val="24"/>
          <w:lang w:val="mn-MN"/>
        </w:rPr>
        <w:t>ний 77.5 хувь нь эрэгтэй байсан бол энэхүү судалгааны шүүхийн шийтгэх тогтоолд хийсэн дүн шинжилгээгээр 91.6 хувь нь эрэгтэй, 8.4 хувь нь эмэгтэй шүүгдэгч байсан бөгөөд эрэгтэйчүүдийн дунд хэрэглээ илүү.</w:t>
      </w:r>
    </w:p>
    <w:p w14:paraId="2B1824F4" w14:textId="3833DB62" w:rsidR="005672FC" w:rsidRPr="006B3D1F" w:rsidRDefault="00A23C15" w:rsidP="00A23C15">
      <w:pPr>
        <w:rPr>
          <w:sz w:val="24"/>
          <w:szCs w:val="24"/>
          <w:lang w:val="mn-MN"/>
        </w:rPr>
      </w:pPr>
      <w:r w:rsidRPr="006B3D1F">
        <w:rPr>
          <w:sz w:val="24"/>
          <w:szCs w:val="24"/>
          <w:lang w:val="mn-MN"/>
        </w:rPr>
        <w:t xml:space="preserve">Насны хувьд, 2019 онд 20-39 насныхан хамгийн их хувийг эзэлж байсан бол шүүхийн шийтгэх тогтоолд хийсэн дүн шинжилгээгээр 21-30 насныхан энэ төрлийн гэмт хэрэгт хамгийн их 227 шүүгдэгч буюу 63.9 хувийг эзэлж байгаа улам бүр залуужиж байгааг илэрхийлж байна. </w:t>
      </w:r>
      <w:r w:rsidR="005672FC" w:rsidRPr="006B3D1F">
        <w:rPr>
          <w:sz w:val="24"/>
          <w:szCs w:val="24"/>
          <w:lang w:val="mn-MN"/>
        </w:rPr>
        <w:t>Энэ төрлийн гэмт хэргийг 21-30 настай залуучууд хамгийн их үйлддэг бөгөөд урьд 1-5 удаа эрүүгийн хариуцлага хүлээж байсан</w:t>
      </w:r>
      <w:r w:rsidR="00954397" w:rsidRPr="006B3D1F">
        <w:rPr>
          <w:sz w:val="24"/>
          <w:szCs w:val="24"/>
          <w:lang w:val="mn-MN"/>
        </w:rPr>
        <w:t xml:space="preserve"> залуучууд</w:t>
      </w:r>
      <w:r w:rsidR="005672FC" w:rsidRPr="006B3D1F">
        <w:rPr>
          <w:sz w:val="24"/>
          <w:szCs w:val="24"/>
          <w:lang w:val="mn-MN"/>
        </w:rPr>
        <w:t xml:space="preserve">, тэр дундаа 21-25 насныхан байгаа нь онцгой анхаарал татаж байна. </w:t>
      </w:r>
    </w:p>
    <w:p w14:paraId="1B749876" w14:textId="726E2A1C" w:rsidR="00A23C15" w:rsidRPr="006B3D1F" w:rsidRDefault="00A23C15" w:rsidP="00A23C15">
      <w:pPr>
        <w:rPr>
          <w:sz w:val="24"/>
          <w:szCs w:val="24"/>
          <w:lang w:val="mn-MN"/>
        </w:rPr>
      </w:pPr>
      <w:r w:rsidRPr="006B3D1F">
        <w:rPr>
          <w:sz w:val="24"/>
          <w:szCs w:val="24"/>
          <w:lang w:val="mn-MN"/>
        </w:rPr>
        <w:lastRenderedPageBreak/>
        <w:t>Ерөнхий боловсролын сургуулийн сурагчдын дунд хийсэн 2017 оны судалгааны үр дүн өсвөр насныхан болон залуучууд найз нөхдийн нөлөөнд автах, шохоорхох, интерн</w:t>
      </w:r>
      <w:r w:rsidR="00233E0F">
        <w:rPr>
          <w:sz w:val="24"/>
          <w:szCs w:val="24"/>
          <w:lang w:val="mn-MN"/>
        </w:rPr>
        <w:t>э</w:t>
      </w:r>
      <w:r w:rsidRPr="006B3D1F">
        <w:rPr>
          <w:sz w:val="24"/>
          <w:szCs w:val="24"/>
          <w:lang w:val="mn-MN"/>
        </w:rPr>
        <w:t xml:space="preserve">т орчин, кинонд гардаг үйлдлийг дуурайх, дууны үг болон клипээс санаа авах, түүнийгээ туршиж үзэх, улмаар олон дахин хэрэглэж зуршил болгон донтох хэлбэрээр бий болдог нь тогтоогдсон нь шүүхийн шийтгэх тогтоолд хийсэн дүн шинжилгээний үр дүнтэй адилхан гарсан.   </w:t>
      </w:r>
    </w:p>
    <w:p w14:paraId="4F225D98" w14:textId="2FAAF477" w:rsidR="00BB3D32" w:rsidRPr="006B3D1F" w:rsidRDefault="00A23C15" w:rsidP="00BB3D32">
      <w:pPr>
        <w:rPr>
          <w:sz w:val="24"/>
          <w:szCs w:val="24"/>
          <w:lang w:val="mn-MN"/>
        </w:rPr>
      </w:pPr>
      <w:r w:rsidRPr="006B3D1F">
        <w:rPr>
          <w:sz w:val="24"/>
          <w:szCs w:val="24"/>
          <w:lang w:val="mn-MN"/>
        </w:rPr>
        <w:t>3.</w:t>
      </w:r>
      <w:r w:rsidR="00BB3D32" w:rsidRPr="006B3D1F">
        <w:rPr>
          <w:sz w:val="24"/>
          <w:szCs w:val="24"/>
          <w:lang w:val="mn-MN"/>
        </w:rPr>
        <w:t>Шүүхийн шийдвэрт хийсэн дүн шинжилгээнээс үзэхэд, гэмт хэргийн гаралт Улаанбаатар хотод хамгийн их буюу 337, орон нутагт 63 байна. Улаанбаатар хотын дүүргүүдээс Баянгол дүүрэгт хамгийн их буюу 22.8 хувь, орон нутгаас Орхон аймагт хамгийн их буюу 44.4, Дархан-Уул аймагт 23.8, Сэлэнгэ аймаг 15.8 хувийг тус тус эзэлж б</w:t>
      </w:r>
      <w:r w:rsidR="00A646BC" w:rsidRPr="006B3D1F">
        <w:rPr>
          <w:sz w:val="24"/>
          <w:szCs w:val="24"/>
          <w:lang w:val="mn-MN"/>
        </w:rPr>
        <w:t>уйгаас үзэхэд м</w:t>
      </w:r>
      <w:r w:rsidR="00BB3D32" w:rsidRPr="006B3D1F">
        <w:rPr>
          <w:sz w:val="24"/>
          <w:szCs w:val="24"/>
          <w:lang w:val="mn-MN"/>
        </w:rPr>
        <w:t>ансууруулах</w:t>
      </w:r>
      <w:r w:rsidR="00612941" w:rsidRPr="006B3D1F">
        <w:rPr>
          <w:sz w:val="24"/>
          <w:szCs w:val="24"/>
          <w:lang w:val="mn-MN"/>
        </w:rPr>
        <w:t xml:space="preserve"> эм</w:t>
      </w:r>
      <w:r w:rsidR="003C2971" w:rsidRPr="006B3D1F">
        <w:rPr>
          <w:sz w:val="24"/>
          <w:szCs w:val="24"/>
          <w:lang w:val="mn-MN"/>
        </w:rPr>
        <w:t xml:space="preserve">, </w:t>
      </w:r>
      <w:r w:rsidR="00BB3D32" w:rsidRPr="006B3D1F">
        <w:rPr>
          <w:sz w:val="24"/>
          <w:szCs w:val="24"/>
          <w:lang w:val="mn-MN"/>
        </w:rPr>
        <w:t xml:space="preserve">сэтгэцэд нөлөөт бодистой холбоотой гэмт хэрэг нь төв суурин газар, хүн ам олноор төвлөрсөн </w:t>
      </w:r>
      <w:r w:rsidR="00037359" w:rsidRPr="006B3D1F">
        <w:rPr>
          <w:sz w:val="24"/>
          <w:szCs w:val="24"/>
          <w:lang w:val="mn-MN"/>
        </w:rPr>
        <w:t>нутаг дэвсгэр</w:t>
      </w:r>
      <w:r w:rsidR="00DD5E58" w:rsidRPr="006B3D1F">
        <w:rPr>
          <w:sz w:val="24"/>
          <w:szCs w:val="24"/>
          <w:lang w:val="mn-MN"/>
        </w:rPr>
        <w:t>т түгээмэл га</w:t>
      </w:r>
      <w:r w:rsidR="00BB3D32" w:rsidRPr="006B3D1F">
        <w:rPr>
          <w:sz w:val="24"/>
          <w:szCs w:val="24"/>
          <w:lang w:val="mn-MN"/>
        </w:rPr>
        <w:t xml:space="preserve">рсан. </w:t>
      </w:r>
    </w:p>
    <w:p w14:paraId="7F125310" w14:textId="4C714535" w:rsidR="000B3CCC" w:rsidRPr="006B3D1F" w:rsidRDefault="00BB3D32" w:rsidP="00BB3D32">
      <w:pPr>
        <w:rPr>
          <w:sz w:val="24"/>
          <w:szCs w:val="24"/>
          <w:lang w:val="mn-MN"/>
        </w:rPr>
      </w:pPr>
      <w:r w:rsidRPr="006B3D1F">
        <w:rPr>
          <w:sz w:val="24"/>
          <w:szCs w:val="24"/>
          <w:lang w:val="mn-MN"/>
        </w:rPr>
        <w:t>4.Мансууруулах эм, сэтгэцэд нөлөөт бодисын төрлийн хувьд шүүгдэгч нарын 403 буюу 77.6 хувь нь “өвс”, “шавар” гэх нэршилтэй “Дельта-9 тетрагидроканнабинол</w:t>
      </w:r>
      <w:r w:rsidR="001A3CD5" w:rsidRPr="006B3D1F">
        <w:rPr>
          <w:sz w:val="24"/>
          <w:szCs w:val="24"/>
          <w:lang w:val="mn-MN"/>
        </w:rPr>
        <w:t xml:space="preserve"> </w:t>
      </w:r>
      <w:r w:rsidRPr="006B3D1F">
        <w:rPr>
          <w:sz w:val="24"/>
          <w:szCs w:val="24"/>
          <w:lang w:val="mn-MN"/>
        </w:rPr>
        <w:t>/delta 9 tethrahydrocannabinol/”-ын агууламжтай сэтгэцэд нөлөөт бодистой холбоотой, 88 буюу 16.9 хувийг “мөс” гэх нэршилтэй, метамфетамины агууламжтай сэтгэцэд нөлөөт бодистой холбоотой бол эм болон тарианы төрлүүдтэй  Морфин /Morphine/-ийг 10 буюу 1.9 хувь нь холбоотой.</w:t>
      </w:r>
    </w:p>
    <w:p w14:paraId="2E6A2E1F" w14:textId="3078E323" w:rsidR="00BB3D32" w:rsidRPr="006B3D1F" w:rsidRDefault="00BB3D32" w:rsidP="00967ADC">
      <w:pPr>
        <w:rPr>
          <w:sz w:val="24"/>
          <w:szCs w:val="24"/>
          <w:lang w:val="mn-MN"/>
        </w:rPr>
      </w:pPr>
      <w:r w:rsidRPr="006B3D1F">
        <w:rPr>
          <w:sz w:val="24"/>
          <w:szCs w:val="24"/>
          <w:lang w:val="mn-MN"/>
        </w:rPr>
        <w:t xml:space="preserve">5.Засгийн газраас 2017 онд хэрэгжүүлсэн “Мансууруулах эм, сэтгэцэд нөлөөт бодисын хууль бус эргэлттэй тэмцэх” үндэсний хөтөлбөрийн 3.3.9. дэх хэсэгт тусгасан “мансууруулах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гэсэн заалт өнөөдрийг хүртэл биелэгдээгүй байна. </w:t>
      </w:r>
    </w:p>
    <w:p w14:paraId="5D53D868" w14:textId="075263E5" w:rsidR="00FC4C6A" w:rsidRPr="006B3D1F" w:rsidRDefault="00BB3D32" w:rsidP="001A031A">
      <w:pPr>
        <w:rPr>
          <w:sz w:val="24"/>
          <w:szCs w:val="24"/>
          <w:lang w:val="mn-MN"/>
        </w:rPr>
      </w:pPr>
      <w:r w:rsidRPr="006B3D1F">
        <w:rPr>
          <w:sz w:val="24"/>
          <w:szCs w:val="24"/>
          <w:lang w:val="mn-MN"/>
        </w:rPr>
        <w:t>Мансууруулах, сэтгэцэд нөлөөлөх бодист донтсон, түүнээс бүрэн хараат болсон хүнд ял шийтгэл оногдуулснаар энэ төрлийн гэмт хэрэг буурахгүй бөгөөд олон улсын жишиг төвийг байгуулж, эмнэлгийн тусламж үйлчилгээг үзүүлснээр гэмт хэргийн гаралтыг бууруулахад шууд нөлөөлдөг талаар гадаад орны туршлагаас харагдаж байна. Тодруулбал, энэ төрлийн гэмт хэрэгтэй тэмцэх үр дүнтэй аргуудын нэг нь далд хэрэглэгчийг ил гаргаж эмнэлгийн тусламж үй</w:t>
      </w:r>
      <w:r w:rsidR="00233E0F">
        <w:rPr>
          <w:sz w:val="24"/>
          <w:szCs w:val="24"/>
          <w:lang w:val="mn-MN"/>
        </w:rPr>
        <w:t>л</w:t>
      </w:r>
      <w:r w:rsidRPr="006B3D1F">
        <w:rPr>
          <w:sz w:val="24"/>
          <w:szCs w:val="24"/>
          <w:lang w:val="mn-MN"/>
        </w:rPr>
        <w:t>чилгээг үзүүлснээр хар зах зээл дээрх хэрэглэгчийн тоог бууруулах улмаар борлуулагчийг ил болгоход чухал ач холбогдолтой тул дээрх хөтөлбөрийг шинэчлэн баталж хэрэгжүүлэх нь чухал байна</w:t>
      </w:r>
      <w:r w:rsidR="00C95A1F" w:rsidRPr="006B3D1F">
        <w:rPr>
          <w:sz w:val="24"/>
          <w:szCs w:val="24"/>
          <w:lang w:val="mn-MN"/>
        </w:rPr>
        <w:t xml:space="preserve"> гэжээ. </w:t>
      </w:r>
    </w:p>
    <w:p w14:paraId="0B1C0118" w14:textId="28AE8A3C" w:rsidR="00BC5A36" w:rsidRPr="006B3D1F" w:rsidRDefault="00BC5A36" w:rsidP="001A031A">
      <w:pPr>
        <w:rPr>
          <w:b/>
          <w:bCs/>
          <w:sz w:val="24"/>
          <w:szCs w:val="24"/>
          <w:lang w:val="mn-MN"/>
        </w:rPr>
      </w:pPr>
      <w:r w:rsidRPr="006B3D1F">
        <w:rPr>
          <w:b/>
          <w:bCs/>
          <w:sz w:val="24"/>
          <w:szCs w:val="24"/>
          <w:lang w:val="mn-MN"/>
        </w:rPr>
        <w:t xml:space="preserve">Хоёр.Хуулийн </w:t>
      </w:r>
      <w:r w:rsidR="00861B47" w:rsidRPr="006B3D1F">
        <w:rPr>
          <w:b/>
          <w:bCs/>
          <w:sz w:val="24"/>
          <w:szCs w:val="24"/>
          <w:lang w:val="mn-MN"/>
        </w:rPr>
        <w:t xml:space="preserve">зорилго, ерөнхий бүтэц, </w:t>
      </w:r>
      <w:r w:rsidRPr="006B3D1F">
        <w:rPr>
          <w:b/>
          <w:bCs/>
          <w:sz w:val="24"/>
          <w:szCs w:val="24"/>
          <w:lang w:val="mn-MN"/>
        </w:rPr>
        <w:t>зохицуулах асуудал, зохицуулагдах харилцаа</w:t>
      </w:r>
      <w:r w:rsidR="00861B47" w:rsidRPr="006B3D1F">
        <w:rPr>
          <w:b/>
          <w:bCs/>
          <w:sz w:val="24"/>
          <w:szCs w:val="24"/>
          <w:lang w:val="mn-MN"/>
        </w:rPr>
        <w:t xml:space="preserve">, хамрах хүрээний </w:t>
      </w:r>
      <w:r w:rsidRPr="006B3D1F">
        <w:rPr>
          <w:b/>
          <w:bCs/>
          <w:sz w:val="24"/>
          <w:szCs w:val="24"/>
          <w:lang w:val="mn-MN"/>
        </w:rPr>
        <w:t>талаар</w:t>
      </w:r>
      <w:r w:rsidR="00861B47" w:rsidRPr="006B3D1F">
        <w:rPr>
          <w:b/>
          <w:bCs/>
          <w:sz w:val="24"/>
          <w:szCs w:val="24"/>
          <w:lang w:val="mn-MN"/>
        </w:rPr>
        <w:t>;</w:t>
      </w:r>
    </w:p>
    <w:p w14:paraId="189278B1" w14:textId="4AF9F571" w:rsidR="0015349C" w:rsidRPr="006B3D1F" w:rsidRDefault="008508EB" w:rsidP="001A031A">
      <w:pPr>
        <w:rPr>
          <w:sz w:val="24"/>
          <w:szCs w:val="24"/>
          <w:lang w:val="mn-MN"/>
        </w:rPr>
      </w:pPr>
      <w:r w:rsidRPr="006B3D1F">
        <w:rPr>
          <w:sz w:val="24"/>
          <w:szCs w:val="24"/>
          <w:lang w:val="mn-MN"/>
        </w:rPr>
        <w:t>1.</w:t>
      </w:r>
      <w:r w:rsidR="00CA49A3" w:rsidRPr="006B3D1F">
        <w:rPr>
          <w:sz w:val="24"/>
          <w:szCs w:val="24"/>
          <w:lang w:val="mn-MN"/>
        </w:rPr>
        <w:t xml:space="preserve">Мансууруулах эм гэдгийг </w:t>
      </w:r>
      <w:r w:rsidR="00C31F75" w:rsidRPr="006B3D1F">
        <w:rPr>
          <w:sz w:val="24"/>
          <w:szCs w:val="24"/>
          <w:lang w:val="mn-MN"/>
        </w:rPr>
        <w:t xml:space="preserve">Монгол улс 1990 онд нэгдэн орсон </w:t>
      </w:r>
      <w:r w:rsidR="00CA49A3" w:rsidRPr="006B3D1F">
        <w:rPr>
          <w:sz w:val="24"/>
          <w:szCs w:val="24"/>
          <w:lang w:val="mn-MN"/>
        </w:rPr>
        <w:t>Мансууруулах эмийн тухай нэгдсэн конвенц (</w:t>
      </w:r>
      <w:r w:rsidR="00CE085F" w:rsidRPr="006B3D1F">
        <w:rPr>
          <w:sz w:val="24"/>
          <w:szCs w:val="24"/>
          <w:lang w:val="mn-MN"/>
        </w:rPr>
        <w:t>C</w:t>
      </w:r>
      <w:r w:rsidR="00CA49A3" w:rsidRPr="006B3D1F">
        <w:rPr>
          <w:sz w:val="24"/>
          <w:szCs w:val="24"/>
          <w:lang w:val="mn-MN"/>
        </w:rPr>
        <w:t xml:space="preserve">onvention on Narcotic drugs, </w:t>
      </w:r>
      <w:r w:rsidR="00C31F75" w:rsidRPr="006B3D1F">
        <w:rPr>
          <w:sz w:val="24"/>
          <w:szCs w:val="24"/>
          <w:lang w:val="mn-MN"/>
        </w:rPr>
        <w:t xml:space="preserve">UN </w:t>
      </w:r>
      <w:r w:rsidR="00CA49A3" w:rsidRPr="006B3D1F">
        <w:rPr>
          <w:sz w:val="24"/>
          <w:szCs w:val="24"/>
          <w:lang w:val="mn-MN"/>
        </w:rPr>
        <w:t>1961)</w:t>
      </w:r>
      <w:r w:rsidR="00CA49A3" w:rsidRPr="006B3D1F">
        <w:rPr>
          <w:rStyle w:val="FootnoteReference"/>
          <w:sz w:val="24"/>
          <w:szCs w:val="24"/>
          <w:lang w:val="mn-MN"/>
        </w:rPr>
        <w:footnoteReference w:id="5"/>
      </w:r>
      <w:r w:rsidR="00C31F75" w:rsidRPr="006B3D1F">
        <w:rPr>
          <w:sz w:val="24"/>
          <w:szCs w:val="24"/>
          <w:lang w:val="mn-MN"/>
        </w:rPr>
        <w:t xml:space="preserve">, </w:t>
      </w:r>
      <w:r w:rsidR="002C4001" w:rsidRPr="006B3D1F">
        <w:rPr>
          <w:sz w:val="24"/>
          <w:szCs w:val="24"/>
          <w:lang w:val="mn-MN"/>
        </w:rPr>
        <w:t>с</w:t>
      </w:r>
      <w:r w:rsidR="00CA49A3" w:rsidRPr="006B3D1F">
        <w:rPr>
          <w:sz w:val="24"/>
          <w:szCs w:val="24"/>
          <w:lang w:val="mn-MN"/>
        </w:rPr>
        <w:t xml:space="preserve">этгэцэд нөлөөт бодис гэдгийг </w:t>
      </w:r>
      <w:r w:rsidR="00C31F75" w:rsidRPr="006B3D1F">
        <w:rPr>
          <w:sz w:val="24"/>
          <w:szCs w:val="24"/>
          <w:lang w:val="mn-MN"/>
        </w:rPr>
        <w:t>Монгол улс 1999 онд нэгдэн орсон Сэтгэцэд нөлөөт бодисын тухай конвенц (Convention on psychotropic substances, UN 1971)</w:t>
      </w:r>
      <w:r w:rsidR="002A5A18" w:rsidRPr="006B3D1F">
        <w:rPr>
          <w:rStyle w:val="FootnoteReference"/>
          <w:sz w:val="24"/>
          <w:szCs w:val="24"/>
          <w:lang w:val="mn-MN"/>
        </w:rPr>
        <w:footnoteReference w:id="6"/>
      </w:r>
      <w:r w:rsidR="00C55ABA" w:rsidRPr="006B3D1F">
        <w:rPr>
          <w:sz w:val="24"/>
          <w:szCs w:val="24"/>
          <w:lang w:val="mn-MN"/>
        </w:rPr>
        <w:t xml:space="preserve">-д тус тус </w:t>
      </w:r>
      <w:r w:rsidR="00294A4A" w:rsidRPr="006B3D1F">
        <w:rPr>
          <w:sz w:val="24"/>
          <w:szCs w:val="24"/>
          <w:lang w:val="mn-MN"/>
        </w:rPr>
        <w:t xml:space="preserve">ялгамжтайгаар авч үзсэн. </w:t>
      </w:r>
    </w:p>
    <w:p w14:paraId="0D0414A3" w14:textId="7249BB20" w:rsidR="00C75509" w:rsidRPr="006B3D1F" w:rsidRDefault="008508EB" w:rsidP="001A031A">
      <w:pPr>
        <w:rPr>
          <w:sz w:val="24"/>
          <w:szCs w:val="24"/>
          <w:lang w:val="mn-MN"/>
        </w:rPr>
      </w:pPr>
      <w:r w:rsidRPr="006B3D1F">
        <w:rPr>
          <w:sz w:val="24"/>
          <w:szCs w:val="24"/>
          <w:lang w:val="mn-MN"/>
        </w:rPr>
        <w:lastRenderedPageBreak/>
        <w:t>2.</w:t>
      </w:r>
      <w:r w:rsidR="00731964" w:rsidRPr="006B3D1F">
        <w:rPr>
          <w:sz w:val="24"/>
          <w:szCs w:val="24"/>
          <w:lang w:val="mn-MN"/>
        </w:rPr>
        <w:t>Мансууруулах эм, сэтгэцэд нөлөөт бодисын хууль ёс</w:t>
      </w:r>
      <w:r w:rsidR="00203E1A" w:rsidRPr="006B3D1F">
        <w:rPr>
          <w:sz w:val="24"/>
          <w:szCs w:val="24"/>
          <w:lang w:val="mn-MN"/>
        </w:rPr>
        <w:t xml:space="preserve">ны эргэлтийг энэ хуульд зааснаар, </w:t>
      </w:r>
      <w:r w:rsidR="00731964" w:rsidRPr="006B3D1F">
        <w:rPr>
          <w:sz w:val="24"/>
          <w:szCs w:val="24"/>
          <w:lang w:val="mn-MN"/>
        </w:rPr>
        <w:t xml:space="preserve">хууль бус эргэлтийг </w:t>
      </w:r>
      <w:r w:rsidR="00C63577" w:rsidRPr="006B3D1F">
        <w:rPr>
          <w:sz w:val="24"/>
          <w:szCs w:val="24"/>
          <w:lang w:val="mn-MN"/>
        </w:rPr>
        <w:t xml:space="preserve">Монгол улс 2001 онд нэгдэн орсон Мансууруулах эм, сэтгэцэд нөлөөт бодисын хууль бус эргэлтийн тухай конвенц </w:t>
      </w:r>
      <w:r w:rsidR="00F65BC6" w:rsidRPr="006B3D1F">
        <w:rPr>
          <w:sz w:val="24"/>
          <w:szCs w:val="24"/>
          <w:lang w:val="mn-MN"/>
        </w:rPr>
        <w:t>(Convention against Illicit traffick in narcotic drugs and psychotropic substances</w:t>
      </w:r>
      <w:r w:rsidR="00C63577" w:rsidRPr="006B3D1F">
        <w:rPr>
          <w:sz w:val="24"/>
          <w:szCs w:val="24"/>
          <w:lang w:val="mn-MN"/>
        </w:rPr>
        <w:t>, UN 1988</w:t>
      </w:r>
      <w:r w:rsidR="00F65BC6" w:rsidRPr="006B3D1F">
        <w:rPr>
          <w:sz w:val="24"/>
          <w:szCs w:val="24"/>
          <w:lang w:val="mn-MN"/>
        </w:rPr>
        <w:t>)</w:t>
      </w:r>
      <w:r w:rsidR="00304545" w:rsidRPr="006B3D1F">
        <w:rPr>
          <w:sz w:val="24"/>
          <w:szCs w:val="24"/>
          <w:lang w:val="mn-MN"/>
        </w:rPr>
        <w:t xml:space="preserve">-ийн үзэлд баримтлал, агуулгад бүрнээ </w:t>
      </w:r>
      <w:r w:rsidR="00622500" w:rsidRPr="006B3D1F">
        <w:rPr>
          <w:sz w:val="24"/>
          <w:szCs w:val="24"/>
          <w:lang w:val="mn-MN"/>
        </w:rPr>
        <w:t>нийцүүл</w:t>
      </w:r>
      <w:r w:rsidR="00FC2B99" w:rsidRPr="006B3D1F">
        <w:rPr>
          <w:sz w:val="24"/>
          <w:szCs w:val="24"/>
          <w:lang w:val="mn-MN"/>
        </w:rPr>
        <w:t xml:space="preserve">сэн. </w:t>
      </w:r>
    </w:p>
    <w:p w14:paraId="41996373" w14:textId="119CBAFB" w:rsidR="003D4FCA" w:rsidRPr="006B3D1F" w:rsidRDefault="003D4FCA" w:rsidP="003D4FCA">
      <w:pPr>
        <w:spacing w:line="300" w:lineRule="atLeast"/>
        <w:rPr>
          <w:sz w:val="24"/>
          <w:szCs w:val="24"/>
          <w:lang w:val="mn-MN"/>
        </w:rPr>
      </w:pPr>
      <w:r w:rsidRPr="006B3D1F">
        <w:rPr>
          <w:sz w:val="24"/>
          <w:szCs w:val="24"/>
          <w:lang w:val="mn-MN"/>
        </w:rPr>
        <w:t xml:space="preserve">3.Мансууруулах эм, сэтгэцэд нөлөөт бодисын эргэлтэд хяналт тавих, хууль бус эргэлттэй тэмцэх үндэсний хорооны чиг үүргийг илүү тодорхой болгож, хороог хууль зүйн асуудал эрхэлсэн Засгийн газрын гишүүн удирдахаар, ажлын албаны чиг үүргийг Гэмт хэргээс урьдчилан сэргийлэх ажлыг зохицуулах зөвлөлийн ажлын алба хэрэгжүүлэхээр тусгасан. </w:t>
      </w:r>
    </w:p>
    <w:p w14:paraId="2E2F2E11" w14:textId="782A9E09" w:rsidR="003D4FCA" w:rsidRPr="006B3D1F" w:rsidRDefault="003D4FCA" w:rsidP="003D4FCA">
      <w:pPr>
        <w:spacing w:line="300" w:lineRule="atLeast"/>
        <w:rPr>
          <w:sz w:val="24"/>
          <w:szCs w:val="24"/>
          <w:lang w:val="mn-MN"/>
        </w:rPr>
      </w:pPr>
      <w:r w:rsidRPr="006B3D1F">
        <w:rPr>
          <w:sz w:val="24"/>
          <w:szCs w:val="24"/>
          <w:lang w:val="mn-MN"/>
        </w:rPr>
        <w:t xml:space="preserve">Энэ нь хуулийн шинэчилсэн найруулгатай холбоотой шинээр байгууллага бий болгохоос зайлсхийхийн зэрэгцээ </w:t>
      </w:r>
      <w:r w:rsidR="0013146B" w:rsidRPr="006B3D1F">
        <w:rPr>
          <w:sz w:val="24"/>
          <w:szCs w:val="24"/>
          <w:lang w:val="mn-MN"/>
        </w:rPr>
        <w:t>хууль зүйн асуудал эрхэлсэн төрийн захиргааны төв байгууллагын хар</w:t>
      </w:r>
      <w:r w:rsidR="00233E0F">
        <w:rPr>
          <w:sz w:val="24"/>
          <w:szCs w:val="24"/>
          <w:lang w:val="mn-MN"/>
        </w:rPr>
        <w:t>ь</w:t>
      </w:r>
      <w:r w:rsidR="0013146B" w:rsidRPr="006B3D1F">
        <w:rPr>
          <w:sz w:val="24"/>
          <w:szCs w:val="24"/>
          <w:lang w:val="mn-MN"/>
        </w:rPr>
        <w:t>яанд үйл ажиллагаа явуул</w:t>
      </w:r>
      <w:r w:rsidR="00AD3A5D" w:rsidRPr="006B3D1F">
        <w:rPr>
          <w:sz w:val="24"/>
          <w:szCs w:val="24"/>
          <w:lang w:val="mn-MN"/>
        </w:rPr>
        <w:t>ж буй</w:t>
      </w:r>
      <w:r w:rsidR="0013146B" w:rsidRPr="006B3D1F">
        <w:rPr>
          <w:sz w:val="24"/>
          <w:szCs w:val="24"/>
          <w:lang w:val="mn-MN"/>
        </w:rPr>
        <w:t xml:space="preserve"> </w:t>
      </w:r>
      <w:r w:rsidRPr="006B3D1F">
        <w:rPr>
          <w:sz w:val="24"/>
          <w:szCs w:val="24"/>
          <w:lang w:val="mn-MN"/>
        </w:rPr>
        <w:t>Гэмт хэргээс урьдчилан сэргийлэх ажлыг зохицуулах зөвлөл</w:t>
      </w:r>
      <w:r w:rsidR="00AD3A5D" w:rsidRPr="006B3D1F">
        <w:rPr>
          <w:sz w:val="24"/>
          <w:szCs w:val="24"/>
          <w:lang w:val="mn-MN"/>
        </w:rPr>
        <w:t xml:space="preserve">ийн </w:t>
      </w:r>
      <w:r w:rsidR="000D077C" w:rsidRPr="006B3D1F">
        <w:rPr>
          <w:sz w:val="24"/>
          <w:szCs w:val="24"/>
          <w:lang w:val="mn-MN"/>
        </w:rPr>
        <w:t xml:space="preserve">үндсэн </w:t>
      </w:r>
      <w:r w:rsidR="00AD3A5D" w:rsidRPr="006B3D1F">
        <w:rPr>
          <w:sz w:val="24"/>
          <w:szCs w:val="24"/>
          <w:lang w:val="mn-MN"/>
        </w:rPr>
        <w:t xml:space="preserve">чиг үүрэгт </w:t>
      </w:r>
      <w:r w:rsidR="005350B4" w:rsidRPr="006B3D1F">
        <w:rPr>
          <w:sz w:val="24"/>
          <w:szCs w:val="24"/>
          <w:lang w:val="mn-MN"/>
        </w:rPr>
        <w:t>м</w:t>
      </w:r>
      <w:r w:rsidR="00CE2BE6" w:rsidRPr="006B3D1F">
        <w:rPr>
          <w:sz w:val="24"/>
          <w:szCs w:val="24"/>
          <w:lang w:val="mn-MN"/>
        </w:rPr>
        <w:t>ансууруулах эм, сэтгэцэд нөлөөт бодисын эргэлт</w:t>
      </w:r>
      <w:r w:rsidR="00730C54" w:rsidRPr="006B3D1F">
        <w:rPr>
          <w:sz w:val="24"/>
          <w:szCs w:val="24"/>
          <w:lang w:val="mn-MN"/>
        </w:rPr>
        <w:t>ийг зохицуулах,</w:t>
      </w:r>
      <w:r w:rsidR="00CE2BE6" w:rsidRPr="006B3D1F">
        <w:rPr>
          <w:sz w:val="24"/>
          <w:szCs w:val="24"/>
          <w:lang w:val="mn-MN"/>
        </w:rPr>
        <w:t xml:space="preserve"> хяналт тавих</w:t>
      </w:r>
      <w:r w:rsidR="00730C54" w:rsidRPr="006B3D1F">
        <w:rPr>
          <w:sz w:val="24"/>
          <w:szCs w:val="24"/>
          <w:lang w:val="mn-MN"/>
        </w:rPr>
        <w:t>, тайлагнах</w:t>
      </w:r>
      <w:r w:rsidR="00CE2BE6" w:rsidRPr="006B3D1F">
        <w:rPr>
          <w:sz w:val="24"/>
          <w:szCs w:val="24"/>
          <w:lang w:val="mn-MN"/>
        </w:rPr>
        <w:t xml:space="preserve"> чиг үүргийг нэгтгэснээр </w:t>
      </w:r>
      <w:r w:rsidR="00AD3A5D" w:rsidRPr="006B3D1F">
        <w:rPr>
          <w:sz w:val="24"/>
          <w:szCs w:val="24"/>
          <w:lang w:val="mn-MN"/>
        </w:rPr>
        <w:t>Төсвийн хэмнэлтийн тухай хуулийн зорилт, агуулгад нийц</w:t>
      </w:r>
      <w:r w:rsidR="00CE2067" w:rsidRPr="006B3D1F">
        <w:rPr>
          <w:sz w:val="24"/>
          <w:szCs w:val="24"/>
          <w:lang w:val="mn-MN"/>
        </w:rPr>
        <w:t>сэн</w:t>
      </w:r>
      <w:r w:rsidR="00AD3A5D" w:rsidRPr="006B3D1F">
        <w:rPr>
          <w:sz w:val="24"/>
          <w:szCs w:val="24"/>
          <w:lang w:val="mn-MN"/>
        </w:rPr>
        <w:t xml:space="preserve">. </w:t>
      </w:r>
    </w:p>
    <w:p w14:paraId="1D5D94ED" w14:textId="793403F2" w:rsidR="003D4FCA" w:rsidRPr="006B3D1F" w:rsidRDefault="003D4FCA" w:rsidP="003D4FCA">
      <w:pPr>
        <w:spacing w:line="300" w:lineRule="atLeast"/>
        <w:rPr>
          <w:rFonts w:eastAsia="Times New Roman" w:cs="Arial"/>
          <w:color w:val="333333"/>
          <w:sz w:val="24"/>
          <w:szCs w:val="24"/>
          <w:lang w:val="mn-MN"/>
        </w:rPr>
      </w:pPr>
      <w:r w:rsidRPr="006B3D1F">
        <w:rPr>
          <w:sz w:val="24"/>
          <w:szCs w:val="24"/>
          <w:lang w:val="mn-MN"/>
        </w:rPr>
        <w:t>Үндэсний хороо мансууруулах эм, сэтгэцэд нөлөөт бодисын хууль ёсны болон хууль бус эргэлтийн төлөв байдлын тайланг, цаашид авч хэрэгжүүлэх арга хэмжээний талаарх саналын хамт Засгийн газарт жил бүрийн 10 дугаар сард багтаан тайлагнаж, Үндэсний аюулгүй байдлын зөвлөлд мэдээл</w:t>
      </w:r>
      <w:r w:rsidR="0058513D" w:rsidRPr="006B3D1F">
        <w:rPr>
          <w:sz w:val="24"/>
          <w:szCs w:val="24"/>
          <w:lang w:val="mn-MN"/>
        </w:rPr>
        <w:t xml:space="preserve">ж байхаар </w:t>
      </w:r>
      <w:r w:rsidR="00F125D7" w:rsidRPr="006B3D1F">
        <w:rPr>
          <w:sz w:val="24"/>
          <w:szCs w:val="24"/>
          <w:lang w:val="mn-MN"/>
        </w:rPr>
        <w:t>зохицууллаа</w:t>
      </w:r>
      <w:r w:rsidR="00B40F95" w:rsidRPr="006B3D1F">
        <w:rPr>
          <w:sz w:val="24"/>
          <w:szCs w:val="24"/>
          <w:lang w:val="mn-MN"/>
        </w:rPr>
        <w:t xml:space="preserve">. </w:t>
      </w:r>
    </w:p>
    <w:p w14:paraId="0932CA7A" w14:textId="44BDE881" w:rsidR="0000751F" w:rsidRPr="006B3D1F" w:rsidRDefault="0000751F" w:rsidP="0000751F">
      <w:pPr>
        <w:spacing w:line="300" w:lineRule="atLeast"/>
        <w:rPr>
          <w:sz w:val="24"/>
          <w:szCs w:val="24"/>
          <w:lang w:val="mn-MN"/>
        </w:rPr>
      </w:pPr>
      <w:r w:rsidRPr="006B3D1F">
        <w:rPr>
          <w:sz w:val="24"/>
          <w:szCs w:val="24"/>
          <w:lang w:val="mn-MN"/>
        </w:rPr>
        <w:t xml:space="preserve">4.Эрүүгийн хуульд заасан мансууруулах эм, сэтгэцэд нөлөөт бодистой холбоотой хууль бус эргэлттэй тэмцэх, гэмт хэрэгт оногдуулах ялын бодлогод шинэлэг өөрчлөлт тусгасан. Тухайлбал: </w:t>
      </w:r>
    </w:p>
    <w:p w14:paraId="7C8E67D5" w14:textId="77777777" w:rsidR="0000751F" w:rsidRPr="006B3D1F" w:rsidRDefault="0000751F" w:rsidP="0000751F">
      <w:pPr>
        <w:spacing w:line="300" w:lineRule="atLeast"/>
        <w:rPr>
          <w:sz w:val="24"/>
          <w:szCs w:val="24"/>
          <w:lang w:val="mn-MN"/>
        </w:rPr>
      </w:pPr>
      <w:r w:rsidRPr="006B3D1F">
        <w:rPr>
          <w:sz w:val="24"/>
          <w:szCs w:val="24"/>
          <w:lang w:val="mn-MN"/>
        </w:rPr>
        <w:t xml:space="preserve">Мансууруулах эм, сэтгэцэд нөлөөт бодисын хууль бус эргэлт болох гэмт хэрэгтэй тэмцэх, мөрдөн шалгах, шийдвэрлэх, урьдчилан сэргийлэх чиг үүрэг бүхий цагдаа, тагнуул, авлигатай тэмцэх газар, шүүхийн шийдвэр гүйцэтгэх, хил хамгаалах, гааль болон төрийн хяналтын чиг үүргийг хэрэгжүүлэх бусад байгууллагын ажилтан, алба хаагч, мөрдөгч, прокурор, шүүгч энэ төрлийн гэмт хэргийг үйлдсэн, хамтран оролцсон тохиолдолд тэдэнд оногдуулах ялыг 2 дахин нэмэгдүүлэхээр тусгасан. </w:t>
      </w:r>
    </w:p>
    <w:p w14:paraId="27087746" w14:textId="77777777" w:rsidR="00CA49A3" w:rsidRPr="006B3D1F" w:rsidRDefault="00CA49A3" w:rsidP="001A031A">
      <w:pPr>
        <w:rPr>
          <w:sz w:val="24"/>
          <w:szCs w:val="24"/>
          <w:lang w:val="mn-MN"/>
        </w:rPr>
      </w:pPr>
    </w:p>
    <w:p w14:paraId="16D560E3" w14:textId="01CD8C0B" w:rsidR="001A031A" w:rsidRPr="006B3D1F" w:rsidRDefault="00F54BD8" w:rsidP="00F54BD8">
      <w:pPr>
        <w:rPr>
          <w:b/>
          <w:bCs/>
          <w:sz w:val="24"/>
          <w:szCs w:val="24"/>
          <w:lang w:val="mn-MN"/>
        </w:rPr>
      </w:pPr>
      <w:r w:rsidRPr="006B3D1F">
        <w:rPr>
          <w:b/>
          <w:bCs/>
          <w:sz w:val="24"/>
          <w:szCs w:val="24"/>
          <w:lang w:val="mn-MN"/>
        </w:rPr>
        <w:t>Гурав.Х</w:t>
      </w:r>
      <w:r w:rsidR="00D27A50" w:rsidRPr="006B3D1F">
        <w:rPr>
          <w:b/>
          <w:bCs/>
          <w:sz w:val="24"/>
          <w:szCs w:val="24"/>
          <w:lang w:val="mn-MN"/>
        </w:rPr>
        <w:t xml:space="preserve">ууль батлагдсаны дараа үүсэж болох эдийн засаг, нийгэм, хууль зүйн үр дагавар, тэдгээрийг шийдвэрлэх талаар авч хэрэгжүүлэх арга хэмжээний </w:t>
      </w:r>
      <w:r w:rsidR="00FA59AF" w:rsidRPr="006B3D1F">
        <w:rPr>
          <w:b/>
          <w:bCs/>
          <w:sz w:val="24"/>
          <w:szCs w:val="24"/>
          <w:lang w:val="mn-MN"/>
        </w:rPr>
        <w:t>талаар:</w:t>
      </w:r>
    </w:p>
    <w:p w14:paraId="34CC4804" w14:textId="77777777" w:rsidR="00F54BD8" w:rsidRPr="006B3D1F" w:rsidRDefault="00F54BD8" w:rsidP="00F54BD8">
      <w:pPr>
        <w:rPr>
          <w:sz w:val="24"/>
          <w:szCs w:val="24"/>
          <w:lang w:val="mn-MN"/>
        </w:rPr>
      </w:pPr>
    </w:p>
    <w:p w14:paraId="2E975C9A" w14:textId="347D6EA7" w:rsidR="00155881" w:rsidRPr="006B3D1F" w:rsidRDefault="00C62D98" w:rsidP="00155881">
      <w:pPr>
        <w:spacing w:line="300" w:lineRule="atLeast"/>
        <w:rPr>
          <w:rFonts w:eastAsia="Times New Roman" w:cs="Arial"/>
          <w:color w:val="333333"/>
          <w:sz w:val="24"/>
          <w:szCs w:val="24"/>
          <w:lang w:val="mn-MN"/>
        </w:rPr>
      </w:pPr>
      <w:r w:rsidRPr="006B3D1F">
        <w:rPr>
          <w:sz w:val="24"/>
          <w:szCs w:val="24"/>
          <w:lang w:val="mn-MN"/>
        </w:rPr>
        <w:t>1.</w:t>
      </w:r>
      <w:r w:rsidR="00155881" w:rsidRPr="006B3D1F">
        <w:rPr>
          <w:sz w:val="24"/>
          <w:szCs w:val="24"/>
          <w:lang w:val="mn-MN"/>
        </w:rPr>
        <w:t xml:space="preserve">Судалгаагаар </w:t>
      </w:r>
      <w:r w:rsidR="00155881" w:rsidRPr="006B3D1F">
        <w:rPr>
          <w:rFonts w:eastAsia="Times New Roman" w:cs="Arial"/>
          <w:color w:val="333333"/>
          <w:sz w:val="24"/>
          <w:szCs w:val="24"/>
          <w:lang w:val="mn-MN"/>
        </w:rPr>
        <w:t xml:space="preserve">мансууруулах эм, сэтгэцэд нөлөөт бодисын хор хөнөөлийн талаарх аливаа сурталчилгаа нь мансууруулах бодисын хэрэглээний талаарх танилцуулга болдог сөрөг үр дагавартай болох нь батлагдсан тул Мансууруулах эм, сэтгэцэд нөлөөт бодисын эргэлтэд хяналт тавих хуулийн 11 дүгээр зүйлд заасан “төрийн захиргааны төв болон орон нутгийн байгууллага, түүнчлэн эрүүл мэнд, хэвлэл мэдээлэл, соёл урлаг, шинжлэх ухаан, боловсролын байгууллага болон мансууруулах эм, сэтгэцэд нөлөөт бодисын хор хөнөөлөөс урьдчилан сэргийлэх чиглэлийн үйл ажиллагаа эрхэлдэг төрийн бус байгууллага сурталчилгаа явуулах үүрэгтэй” гэж заасан зохицуулалтаас үүрэгжүүлсэн заалтыг хасахаар; </w:t>
      </w:r>
    </w:p>
    <w:p w14:paraId="61E5B880" w14:textId="458220B7" w:rsidR="005F11D0" w:rsidRPr="006B3D1F" w:rsidRDefault="00155881" w:rsidP="00F54BD8">
      <w:pPr>
        <w:rPr>
          <w:sz w:val="24"/>
          <w:szCs w:val="24"/>
          <w:lang w:val="mn-MN"/>
        </w:rPr>
      </w:pPr>
      <w:r w:rsidRPr="006B3D1F">
        <w:rPr>
          <w:sz w:val="24"/>
          <w:szCs w:val="24"/>
          <w:lang w:val="mn-MN"/>
        </w:rPr>
        <w:lastRenderedPageBreak/>
        <w:t>2</w:t>
      </w:r>
      <w:r w:rsidR="00955C95" w:rsidRPr="006B3D1F">
        <w:rPr>
          <w:sz w:val="24"/>
          <w:szCs w:val="24"/>
          <w:lang w:val="mn-MN"/>
        </w:rPr>
        <w:t>.</w:t>
      </w:r>
      <w:r w:rsidR="00513D84" w:rsidRPr="006B3D1F">
        <w:rPr>
          <w:sz w:val="24"/>
          <w:szCs w:val="24"/>
          <w:lang w:val="mn-MN"/>
        </w:rPr>
        <w:t xml:space="preserve">Эрүүгийн хуулийн тусгай ангид заасан </w:t>
      </w:r>
      <w:r w:rsidR="005F11D0" w:rsidRPr="006B3D1F">
        <w:rPr>
          <w:sz w:val="24"/>
          <w:szCs w:val="24"/>
          <w:lang w:val="mn-MN"/>
        </w:rPr>
        <w:t xml:space="preserve">9 төрлийн гэмт хэрэгт мансууруулах эм, сэтгэцэд нөлөөт бодисын хууль бус эргэлттэй холбоотой гэмт хэргийг үйлдсэн, хамтран оролцсон төрийн албан хаагчдад оногдуулах ялыг 2 дахин нэмэгдүүлж оногдуулахаар тусгасан. </w:t>
      </w:r>
    </w:p>
    <w:p w14:paraId="6A154F60" w14:textId="3AAD53D7" w:rsidR="00F54BD8" w:rsidRPr="006B3D1F" w:rsidRDefault="005F11D0" w:rsidP="00F54BD8">
      <w:pPr>
        <w:rPr>
          <w:sz w:val="24"/>
          <w:szCs w:val="24"/>
          <w:lang w:val="mn-MN"/>
        </w:rPr>
      </w:pPr>
      <w:r w:rsidRPr="006B3D1F">
        <w:rPr>
          <w:sz w:val="24"/>
          <w:szCs w:val="24"/>
          <w:lang w:val="mn-MN"/>
        </w:rPr>
        <w:t xml:space="preserve">Энэ нь Эрүүгийн хуулийн ерөнхий ангийн 5 дугаар бүлэгт заасан ерөнхий зохицуулалт, ялын төрөл, хэмжээний дээд хязгаараас хэтрэхгүй юм.  </w:t>
      </w:r>
    </w:p>
    <w:p w14:paraId="35D7B22D" w14:textId="2C2DF875" w:rsidR="007F3C9C" w:rsidRPr="006B3D1F" w:rsidRDefault="00955C95" w:rsidP="005E33C7">
      <w:pPr>
        <w:rPr>
          <w:sz w:val="24"/>
          <w:szCs w:val="24"/>
          <w:lang w:val="mn-MN"/>
        </w:rPr>
      </w:pPr>
      <w:r w:rsidRPr="006B3D1F">
        <w:rPr>
          <w:sz w:val="24"/>
          <w:szCs w:val="24"/>
          <w:lang w:val="mn-MN"/>
        </w:rPr>
        <w:t>3</w:t>
      </w:r>
      <w:r w:rsidR="00C62D98" w:rsidRPr="006B3D1F">
        <w:rPr>
          <w:sz w:val="24"/>
          <w:szCs w:val="24"/>
          <w:lang w:val="mn-MN"/>
        </w:rPr>
        <w:t>.</w:t>
      </w:r>
      <w:r w:rsidR="007F3C9C" w:rsidRPr="006B3D1F">
        <w:rPr>
          <w:sz w:val="24"/>
          <w:szCs w:val="24"/>
          <w:lang w:val="mn-MN"/>
        </w:rPr>
        <w:t xml:space="preserve">Засгийн газраас 2017 онд баталсан “Мансууруулах эм, сэтгэцэд нөлөөт бодисын хууль бус эргэлттэй тэмцэх” үндэсний хөтөлбөрийн 3.3.9 дэх хэсэгт тусгасан “мансууруулах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w:t>
      </w:r>
      <w:r w:rsidR="001C1B52" w:rsidRPr="006B3D1F">
        <w:rPr>
          <w:sz w:val="24"/>
          <w:szCs w:val="24"/>
          <w:lang w:val="mn-MN"/>
        </w:rPr>
        <w:t xml:space="preserve">зорилтыг хуульд хэрэгжүүлэхээр тусгаж, Засгийн газар нь мансуурах донтой этгээдэд эмнэлгийн болон сэтгэл зүйн тусламж, үйлчилгээ үзүүлэх, нийгэмшүүлэх үйлчилгээний журмыг боловсруулахаар, мөн мансуурах донтой хүн сайн дурын үндсэн дээр эмнэлгийн болон сэтгэл зүйн тусламж авах, эмчилгээнд хамрагдах, нийгэмших талаар гаргасан аливаа санал санаачлагыг төрийн болон төрийн бус байгууллага, олон нийтийн сайн дурын бүлэг, иргэд бүхий л талаар дэмжихээр тусгасан. Олон нийтийн сайн дурын бүлэг гэдэгт шашны болон олон нийтийн мэдээллийн хэрэгсэл дэх иргэдийн нэгдэл, сайн дурын бүлгүүдийг авч үзсэн болно. </w:t>
      </w:r>
    </w:p>
    <w:p w14:paraId="724CAAF4" w14:textId="6A02C27D" w:rsidR="00B84E00" w:rsidRPr="006B3D1F" w:rsidRDefault="007F3C9C" w:rsidP="005E33C7">
      <w:pPr>
        <w:rPr>
          <w:rFonts w:cs="Arial"/>
          <w:color w:val="000000"/>
          <w:sz w:val="24"/>
          <w:szCs w:val="24"/>
          <w:lang w:val="mn-MN"/>
        </w:rPr>
      </w:pPr>
      <w:r w:rsidRPr="006B3D1F">
        <w:rPr>
          <w:sz w:val="24"/>
          <w:szCs w:val="24"/>
          <w:lang w:val="mn-MN"/>
        </w:rPr>
        <w:t>4.</w:t>
      </w:r>
      <w:r w:rsidR="00C63E01" w:rsidRPr="006B3D1F">
        <w:rPr>
          <w:sz w:val="24"/>
          <w:szCs w:val="24"/>
          <w:lang w:val="mn-MN"/>
        </w:rPr>
        <w:t xml:space="preserve">Мансууруулах эм, сэтгэцэд нөлөөт бодисыг хэрэглэж, </w:t>
      </w:r>
      <w:r w:rsidR="00B84E00" w:rsidRPr="006B3D1F">
        <w:rPr>
          <w:rFonts w:cs="Arial"/>
          <w:color w:val="000000"/>
          <w:sz w:val="24"/>
          <w:szCs w:val="24"/>
          <w:lang w:val="mn-MN"/>
        </w:rPr>
        <w:t>Согтуурах, мансуурах донтой хүнийг захиргааны журмаар албадан эмчлэх тухай хуул</w:t>
      </w:r>
      <w:r w:rsidR="00611388" w:rsidRPr="006B3D1F">
        <w:rPr>
          <w:rFonts w:cs="Arial"/>
          <w:color w:val="000000"/>
          <w:sz w:val="24"/>
          <w:szCs w:val="24"/>
          <w:lang w:val="mn-MN"/>
        </w:rPr>
        <w:t xml:space="preserve">ийн </w:t>
      </w:r>
      <w:r w:rsidR="005E33C7" w:rsidRPr="006B3D1F">
        <w:rPr>
          <w:rFonts w:cs="Arial"/>
          <w:color w:val="000000"/>
          <w:sz w:val="24"/>
          <w:szCs w:val="24"/>
          <w:lang w:val="mn-MN"/>
        </w:rPr>
        <w:t>33 дугаар зүйлийн 3.1-д заасан “албадан эмчилгээ”-</w:t>
      </w:r>
      <w:r w:rsidR="00874073" w:rsidRPr="006B3D1F">
        <w:rPr>
          <w:rFonts w:cs="Arial"/>
          <w:color w:val="000000"/>
          <w:sz w:val="24"/>
          <w:szCs w:val="24"/>
          <w:lang w:val="mn-MN"/>
        </w:rPr>
        <w:t>г</w:t>
      </w:r>
      <w:r w:rsidR="005E33C7" w:rsidRPr="006B3D1F">
        <w:rPr>
          <w:rFonts w:cs="Arial"/>
          <w:color w:val="000000"/>
          <w:sz w:val="24"/>
          <w:szCs w:val="24"/>
          <w:lang w:val="mn-MN"/>
        </w:rPr>
        <w:t>, мөн хуулийн 17 дугаар зүйлд заасн</w:t>
      </w:r>
      <w:r w:rsidR="00874073" w:rsidRPr="006B3D1F">
        <w:rPr>
          <w:rFonts w:cs="Arial"/>
          <w:color w:val="000000"/>
          <w:sz w:val="24"/>
          <w:szCs w:val="24"/>
          <w:lang w:val="mn-MN"/>
        </w:rPr>
        <w:t>аар</w:t>
      </w:r>
      <w:r w:rsidR="005E33C7" w:rsidRPr="006B3D1F">
        <w:rPr>
          <w:rFonts w:cs="Arial"/>
          <w:color w:val="000000"/>
          <w:sz w:val="24"/>
          <w:szCs w:val="24"/>
          <w:lang w:val="mn-MN"/>
        </w:rPr>
        <w:t xml:space="preserve"> “давтан” эмч</w:t>
      </w:r>
      <w:r w:rsidR="00874073" w:rsidRPr="006B3D1F">
        <w:rPr>
          <w:rFonts w:cs="Arial"/>
          <w:color w:val="000000"/>
          <w:sz w:val="24"/>
          <w:szCs w:val="24"/>
          <w:lang w:val="mn-MN"/>
        </w:rPr>
        <w:t xml:space="preserve">лүүлснээс </w:t>
      </w:r>
      <w:r w:rsidR="005E33C7" w:rsidRPr="006B3D1F">
        <w:rPr>
          <w:rFonts w:cs="Arial"/>
          <w:color w:val="000000"/>
          <w:sz w:val="24"/>
          <w:szCs w:val="24"/>
          <w:lang w:val="mn-MN"/>
        </w:rPr>
        <w:t>хойш</w:t>
      </w:r>
      <w:r w:rsidR="00611388" w:rsidRPr="006B3D1F">
        <w:rPr>
          <w:rFonts w:cs="Arial"/>
          <w:color w:val="000000"/>
          <w:sz w:val="24"/>
          <w:szCs w:val="24"/>
          <w:lang w:val="mn-MN"/>
        </w:rPr>
        <w:t xml:space="preserve"> </w:t>
      </w:r>
      <w:r w:rsidR="00EE27BC" w:rsidRPr="006B3D1F">
        <w:rPr>
          <w:rFonts w:cs="Arial"/>
          <w:color w:val="000000"/>
          <w:sz w:val="24"/>
          <w:szCs w:val="24"/>
          <w:lang w:val="mn-MN"/>
        </w:rPr>
        <w:t xml:space="preserve">нэг жилийн дотор </w:t>
      </w:r>
      <w:r w:rsidR="00D7683E" w:rsidRPr="006B3D1F">
        <w:rPr>
          <w:rFonts w:cs="Arial"/>
          <w:color w:val="000000"/>
          <w:sz w:val="24"/>
          <w:szCs w:val="24"/>
          <w:lang w:val="mn-MN"/>
        </w:rPr>
        <w:t xml:space="preserve">дахин </w:t>
      </w:r>
      <w:r w:rsidR="00EE27BC" w:rsidRPr="006B3D1F">
        <w:rPr>
          <w:rFonts w:cs="Arial"/>
          <w:color w:val="000000"/>
          <w:sz w:val="24"/>
          <w:szCs w:val="24"/>
          <w:lang w:val="mn-MN"/>
        </w:rPr>
        <w:t>м</w:t>
      </w:r>
      <w:r w:rsidR="00EE27BC" w:rsidRPr="006B3D1F">
        <w:rPr>
          <w:sz w:val="24"/>
          <w:szCs w:val="24"/>
          <w:lang w:val="mn-MN"/>
        </w:rPr>
        <w:t xml:space="preserve">ансууруулах эм, сэтгэцэд нөлөөт бодисыг хэрэглэсэн болох нь батлагдсан </w:t>
      </w:r>
      <w:r w:rsidR="008107C8" w:rsidRPr="006B3D1F">
        <w:rPr>
          <w:sz w:val="24"/>
          <w:szCs w:val="24"/>
          <w:lang w:val="mn-MN"/>
        </w:rPr>
        <w:t xml:space="preserve">тохиолдлыг </w:t>
      </w:r>
      <w:r w:rsidR="00B44999" w:rsidRPr="006B3D1F">
        <w:rPr>
          <w:sz w:val="24"/>
          <w:szCs w:val="24"/>
          <w:lang w:val="mn-MN"/>
        </w:rPr>
        <w:t>“</w:t>
      </w:r>
      <w:r w:rsidR="00D7683E" w:rsidRPr="006B3D1F">
        <w:rPr>
          <w:rFonts w:cs="Arial"/>
          <w:color w:val="000000"/>
          <w:sz w:val="24"/>
          <w:szCs w:val="24"/>
          <w:lang w:val="mn-MN"/>
        </w:rPr>
        <w:t>гэмт хэрэг</w:t>
      </w:r>
      <w:r w:rsidR="00B44999" w:rsidRPr="006B3D1F">
        <w:rPr>
          <w:rFonts w:cs="Arial"/>
          <w:color w:val="000000"/>
          <w:sz w:val="24"/>
          <w:szCs w:val="24"/>
          <w:lang w:val="mn-MN"/>
        </w:rPr>
        <w:t>”</w:t>
      </w:r>
      <w:r w:rsidR="00D7683E" w:rsidRPr="006B3D1F">
        <w:rPr>
          <w:rFonts w:cs="Arial"/>
          <w:color w:val="000000"/>
          <w:sz w:val="24"/>
          <w:szCs w:val="24"/>
          <w:lang w:val="mn-MN"/>
        </w:rPr>
        <w:t xml:space="preserve"> гэж үзэх зохицуулалтыг Эрүүгийн хуулийн тусгай ангийн 20 дугаар бүлэгт том</w:t>
      </w:r>
      <w:r w:rsidR="00233E0F">
        <w:rPr>
          <w:rFonts w:cs="Arial"/>
          <w:color w:val="000000"/>
          <w:sz w:val="24"/>
          <w:szCs w:val="24"/>
          <w:lang w:val="mn-MN"/>
        </w:rPr>
        <w:t>ь</w:t>
      </w:r>
      <w:r w:rsidR="00D7683E" w:rsidRPr="006B3D1F">
        <w:rPr>
          <w:rFonts w:cs="Arial"/>
          <w:color w:val="000000"/>
          <w:sz w:val="24"/>
          <w:szCs w:val="24"/>
          <w:lang w:val="mn-MN"/>
        </w:rPr>
        <w:t>ёолж</w:t>
      </w:r>
      <w:r w:rsidR="00F55C45" w:rsidRPr="006B3D1F">
        <w:rPr>
          <w:rFonts w:cs="Arial"/>
          <w:color w:val="000000"/>
          <w:sz w:val="24"/>
          <w:szCs w:val="24"/>
          <w:lang w:val="mn-MN"/>
        </w:rPr>
        <w:t>, нэмэлт өөрчлөлт оруулахаар</w:t>
      </w:r>
      <w:r w:rsidR="00F55C45" w:rsidRPr="006B3D1F">
        <w:rPr>
          <w:sz w:val="24"/>
          <w:szCs w:val="24"/>
          <w:lang w:val="mn-MN"/>
        </w:rPr>
        <w:t>;</w:t>
      </w:r>
    </w:p>
    <w:p w14:paraId="64E69E4F" w14:textId="1D7BEC80" w:rsidR="00B84E00" w:rsidRPr="006B3D1F" w:rsidRDefault="007F3C9C" w:rsidP="00B84E00">
      <w:pPr>
        <w:rPr>
          <w:sz w:val="24"/>
          <w:szCs w:val="24"/>
          <w:lang w:val="mn-MN"/>
        </w:rPr>
      </w:pPr>
      <w:r w:rsidRPr="006B3D1F">
        <w:rPr>
          <w:rFonts w:cs="Arial"/>
          <w:color w:val="000000"/>
          <w:sz w:val="24"/>
          <w:szCs w:val="24"/>
          <w:lang w:val="mn-MN"/>
        </w:rPr>
        <w:t>5</w:t>
      </w:r>
      <w:r w:rsidR="00C62D98" w:rsidRPr="006B3D1F">
        <w:rPr>
          <w:rFonts w:cs="Arial"/>
          <w:color w:val="000000"/>
          <w:sz w:val="24"/>
          <w:szCs w:val="24"/>
          <w:lang w:val="mn-MN"/>
        </w:rPr>
        <w:t>.</w:t>
      </w:r>
      <w:r w:rsidR="00B84E00" w:rsidRPr="006B3D1F">
        <w:rPr>
          <w:sz w:val="24"/>
          <w:szCs w:val="24"/>
          <w:lang w:val="mn-MN"/>
        </w:rPr>
        <w:t>Зөрчлийн тухай хуулийн 6.4 дүгээр зүйлд “Мансууруулах эм, сэтгэцэд нөлөөт бодисын эргэлтэд хяналт тавих тухай хууль зөрчих” гэсэн зөрчлийг, “Мансууруулах эм, сэтгэцэд нөлөөт бодисын тухай хууль зөрчих” гэж өөрчлөн найруулах</w:t>
      </w:r>
      <w:r w:rsidR="0059496A" w:rsidRPr="006B3D1F">
        <w:rPr>
          <w:sz w:val="24"/>
          <w:szCs w:val="24"/>
          <w:lang w:val="mn-MN"/>
        </w:rPr>
        <w:t xml:space="preserve">аар </w:t>
      </w:r>
      <w:r w:rsidR="00F55C45" w:rsidRPr="006B3D1F">
        <w:rPr>
          <w:sz w:val="24"/>
          <w:szCs w:val="24"/>
          <w:lang w:val="mn-MN"/>
        </w:rPr>
        <w:t>тус тус том</w:t>
      </w:r>
      <w:r w:rsidR="00233E0F">
        <w:rPr>
          <w:sz w:val="24"/>
          <w:szCs w:val="24"/>
          <w:lang w:val="mn-MN"/>
        </w:rPr>
        <w:t>ь</w:t>
      </w:r>
      <w:r w:rsidR="00F55C45" w:rsidRPr="006B3D1F">
        <w:rPr>
          <w:sz w:val="24"/>
          <w:szCs w:val="24"/>
          <w:lang w:val="mn-MN"/>
        </w:rPr>
        <w:t>ёолсон болно.</w:t>
      </w:r>
    </w:p>
    <w:p w14:paraId="18D44E90" w14:textId="74790998" w:rsidR="00C62D98" w:rsidRPr="006B3D1F" w:rsidRDefault="00C62D98" w:rsidP="00191B5B">
      <w:pPr>
        <w:pStyle w:val="NormalWeb"/>
        <w:spacing w:line="330" w:lineRule="atLeast"/>
        <w:ind w:firstLine="567"/>
        <w:jc w:val="both"/>
        <w:rPr>
          <w:rFonts w:ascii="Arial" w:hAnsi="Arial" w:cs="Arial"/>
          <w:caps/>
          <w:color w:val="000000"/>
          <w:lang w:val="mn-MN"/>
        </w:rPr>
      </w:pPr>
    </w:p>
    <w:p w14:paraId="03BD353A" w14:textId="77777777" w:rsidR="00A85B55" w:rsidRPr="006B3D1F" w:rsidRDefault="00A85B55" w:rsidP="00191B5B">
      <w:pPr>
        <w:pStyle w:val="NormalWeb"/>
        <w:spacing w:line="330" w:lineRule="atLeast"/>
        <w:ind w:firstLine="567"/>
        <w:jc w:val="both"/>
        <w:rPr>
          <w:rFonts w:ascii="Arial" w:hAnsi="Arial" w:cs="Arial"/>
          <w:caps/>
          <w:color w:val="000000"/>
          <w:lang w:val="mn-MN"/>
        </w:rPr>
      </w:pPr>
    </w:p>
    <w:p w14:paraId="62274D7B" w14:textId="4E28B562" w:rsidR="00C62D98" w:rsidRPr="006B3D1F" w:rsidRDefault="00C62D98" w:rsidP="001363AE">
      <w:pPr>
        <w:ind w:firstLine="0"/>
        <w:jc w:val="center"/>
        <w:rPr>
          <w:rFonts w:cs="Arial"/>
          <w:sz w:val="24"/>
          <w:szCs w:val="24"/>
          <w:lang w:val="mn-MN"/>
        </w:rPr>
      </w:pPr>
    </w:p>
    <w:sectPr w:rsidR="00C62D98" w:rsidRPr="006B3D1F" w:rsidSect="006B3D1F">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5D05" w14:textId="77777777" w:rsidR="00E454DB" w:rsidRDefault="00E454DB" w:rsidP="000C3ABE">
      <w:pPr>
        <w:spacing w:before="0" w:after="0" w:line="240" w:lineRule="auto"/>
      </w:pPr>
      <w:r>
        <w:separator/>
      </w:r>
    </w:p>
  </w:endnote>
  <w:endnote w:type="continuationSeparator" w:id="0">
    <w:p w14:paraId="1CFD4F23" w14:textId="77777777" w:rsidR="00E454DB" w:rsidRDefault="00E454DB" w:rsidP="000C3A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DD45" w14:textId="77777777" w:rsidR="00E454DB" w:rsidRDefault="00E454DB" w:rsidP="000C3ABE">
      <w:pPr>
        <w:spacing w:before="0" w:after="0" w:line="240" w:lineRule="auto"/>
      </w:pPr>
      <w:r>
        <w:separator/>
      </w:r>
    </w:p>
  </w:footnote>
  <w:footnote w:type="continuationSeparator" w:id="0">
    <w:p w14:paraId="28B10841" w14:textId="77777777" w:rsidR="00E454DB" w:rsidRDefault="00E454DB" w:rsidP="000C3ABE">
      <w:pPr>
        <w:spacing w:before="0" w:after="0" w:line="240" w:lineRule="auto"/>
      </w:pPr>
      <w:r>
        <w:continuationSeparator/>
      </w:r>
    </w:p>
  </w:footnote>
  <w:footnote w:id="1">
    <w:p w14:paraId="29F962D1" w14:textId="25E25CF2" w:rsidR="008771C6" w:rsidRPr="008771C6" w:rsidRDefault="008771C6">
      <w:pPr>
        <w:pStyle w:val="FootnoteText"/>
        <w:rPr>
          <w:lang w:val="mn-MN"/>
        </w:rPr>
      </w:pPr>
      <w:r>
        <w:rPr>
          <w:rStyle w:val="FootnoteReference"/>
        </w:rPr>
        <w:footnoteRef/>
      </w:r>
      <w:r>
        <w:t xml:space="preserve"> </w:t>
      </w:r>
      <w:proofErr w:type="spellStart"/>
      <w:r w:rsidRPr="008771C6">
        <w:t>Төрийн</w:t>
      </w:r>
      <w:proofErr w:type="spellEnd"/>
      <w:r w:rsidRPr="008771C6">
        <w:t xml:space="preserve"> </w:t>
      </w:r>
      <w:proofErr w:type="spellStart"/>
      <w:r w:rsidRPr="008771C6">
        <w:t>мэдээлэл</w:t>
      </w:r>
      <w:proofErr w:type="spellEnd"/>
      <w:r w:rsidRPr="008771C6">
        <w:t xml:space="preserve"> </w:t>
      </w:r>
      <w:proofErr w:type="spellStart"/>
      <w:r w:rsidRPr="008771C6">
        <w:t>эмхэтгэл</w:t>
      </w:r>
      <w:proofErr w:type="spellEnd"/>
      <w:r w:rsidRPr="008771C6">
        <w:t xml:space="preserve">: 2002 </w:t>
      </w:r>
      <w:proofErr w:type="spellStart"/>
      <w:r w:rsidRPr="008771C6">
        <w:t>он</w:t>
      </w:r>
      <w:proofErr w:type="spellEnd"/>
      <w:r w:rsidRPr="008771C6">
        <w:t>, №46</w:t>
      </w:r>
    </w:p>
  </w:footnote>
  <w:footnote w:id="2">
    <w:p w14:paraId="442CA2DC" w14:textId="3797C3E9" w:rsidR="008771C6" w:rsidRPr="008771C6" w:rsidRDefault="008771C6">
      <w:pPr>
        <w:pStyle w:val="FootnoteText"/>
        <w:rPr>
          <w:lang w:val="mn-MN"/>
        </w:rPr>
      </w:pPr>
      <w:r>
        <w:rPr>
          <w:rStyle w:val="FootnoteReference"/>
        </w:rPr>
        <w:footnoteRef/>
      </w:r>
      <w:r w:rsidRPr="002A3B05">
        <w:rPr>
          <w:lang w:val="mn-MN"/>
        </w:rPr>
        <w:t xml:space="preserve"> Төрийн мэдээлэл эмхэтгэл: 2011 он, №21</w:t>
      </w:r>
    </w:p>
  </w:footnote>
  <w:footnote w:id="3">
    <w:p w14:paraId="13341AEC" w14:textId="6B8B7E03" w:rsidR="008F65C6" w:rsidRPr="008F65C6" w:rsidRDefault="008F65C6">
      <w:pPr>
        <w:pStyle w:val="FootnoteText"/>
        <w:rPr>
          <w:lang w:val="mn-MN"/>
        </w:rPr>
      </w:pPr>
      <w:r>
        <w:rPr>
          <w:rStyle w:val="FootnoteReference"/>
        </w:rPr>
        <w:footnoteRef/>
      </w:r>
      <w:r w:rsidRPr="008F65C6">
        <w:rPr>
          <w:lang w:val="mn-MN"/>
        </w:rPr>
        <w:t xml:space="preserve"> Төрийн мэдээлэл эмхэтгэл: 2002 он, №3</w:t>
      </w:r>
    </w:p>
  </w:footnote>
  <w:footnote w:id="4">
    <w:p w14:paraId="52ADECAD" w14:textId="08F7E06B" w:rsidR="002A3B05" w:rsidRPr="002A3B05" w:rsidRDefault="002A3B05">
      <w:pPr>
        <w:pStyle w:val="FootnoteText"/>
        <w:rPr>
          <w:lang w:val="mn-MN"/>
        </w:rPr>
      </w:pPr>
      <w:r>
        <w:rPr>
          <w:rStyle w:val="FootnoteReference"/>
        </w:rPr>
        <w:footnoteRef/>
      </w:r>
      <w:r w:rsidRPr="002A3B05">
        <w:rPr>
          <w:lang w:val="mn-MN"/>
        </w:rPr>
        <w:t xml:space="preserve"> Төрийн мэдээлэл эмхэтгэл: 201</w:t>
      </w:r>
      <w:r>
        <w:rPr>
          <w:lang w:val="mn-MN"/>
        </w:rPr>
        <w:t>0</w:t>
      </w:r>
      <w:r w:rsidRPr="002A3B05">
        <w:rPr>
          <w:lang w:val="mn-MN"/>
        </w:rPr>
        <w:t xml:space="preserve"> он,</w:t>
      </w:r>
      <w:r w:rsidR="00EE0ADA">
        <w:rPr>
          <w:lang w:val="mn-MN"/>
        </w:rPr>
        <w:t xml:space="preserve"> </w:t>
      </w:r>
      <w:r w:rsidR="00EE0ADA" w:rsidRPr="00EE0ADA">
        <w:rPr>
          <w:lang w:val="mn-MN"/>
        </w:rPr>
        <w:t>№36</w:t>
      </w:r>
    </w:p>
  </w:footnote>
  <w:footnote w:id="5">
    <w:p w14:paraId="7089E635" w14:textId="77777777" w:rsidR="00CA49A3" w:rsidRPr="002A3B05" w:rsidRDefault="00CA49A3" w:rsidP="00CA49A3">
      <w:pPr>
        <w:pStyle w:val="FootnoteText"/>
        <w:rPr>
          <w:lang w:val="mn-MN"/>
        </w:rPr>
      </w:pPr>
      <w:r>
        <w:rPr>
          <w:rStyle w:val="FootnoteReference"/>
        </w:rPr>
        <w:footnoteRef/>
      </w:r>
      <w:r w:rsidRPr="002A3B05">
        <w:rPr>
          <w:lang w:val="mn-MN"/>
        </w:rPr>
        <w:t xml:space="preserve"> https://www.unodc.org/unodc/en/treaties/single-convention.html?ref=menuside</w:t>
      </w:r>
    </w:p>
  </w:footnote>
  <w:footnote w:id="6">
    <w:p w14:paraId="0017E66D" w14:textId="3C2F64ED" w:rsidR="002A5A18" w:rsidRPr="002A5A18" w:rsidRDefault="002A5A18">
      <w:pPr>
        <w:pStyle w:val="FootnoteText"/>
        <w:rPr>
          <w:lang w:val="mn-MN"/>
        </w:rPr>
      </w:pPr>
      <w:r>
        <w:rPr>
          <w:rStyle w:val="FootnoteReference"/>
        </w:rPr>
        <w:footnoteRef/>
      </w:r>
      <w:r w:rsidRPr="002A5A18">
        <w:rPr>
          <w:lang w:val="mn-MN"/>
        </w:rPr>
        <w:t xml:space="preserve"> https://www.unodc.org/unodc/en/treaties/psychotropics.html?ref=menuside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20A8A"/>
    <w:multiLevelType w:val="hybridMultilevel"/>
    <w:tmpl w:val="B4F24A04"/>
    <w:lvl w:ilvl="0" w:tplc="9C0857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546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1A"/>
    <w:rsid w:val="0000751F"/>
    <w:rsid w:val="00037359"/>
    <w:rsid w:val="00047D99"/>
    <w:rsid w:val="00066A82"/>
    <w:rsid w:val="00085F3C"/>
    <w:rsid w:val="000A2E70"/>
    <w:rsid w:val="000A6238"/>
    <w:rsid w:val="000B2745"/>
    <w:rsid w:val="000B3CCC"/>
    <w:rsid w:val="000C3ABE"/>
    <w:rsid w:val="000D077C"/>
    <w:rsid w:val="000D7B03"/>
    <w:rsid w:val="000E26E8"/>
    <w:rsid w:val="000F6695"/>
    <w:rsid w:val="00110472"/>
    <w:rsid w:val="00110B77"/>
    <w:rsid w:val="00124FCD"/>
    <w:rsid w:val="0013146B"/>
    <w:rsid w:val="00132532"/>
    <w:rsid w:val="001363AE"/>
    <w:rsid w:val="001420E3"/>
    <w:rsid w:val="00144B75"/>
    <w:rsid w:val="00152B38"/>
    <w:rsid w:val="0015349C"/>
    <w:rsid w:val="00154D45"/>
    <w:rsid w:val="00155881"/>
    <w:rsid w:val="00155DF6"/>
    <w:rsid w:val="00157377"/>
    <w:rsid w:val="00183EDB"/>
    <w:rsid w:val="00186BBE"/>
    <w:rsid w:val="00191B5B"/>
    <w:rsid w:val="00193982"/>
    <w:rsid w:val="001A031A"/>
    <w:rsid w:val="001A3CD5"/>
    <w:rsid w:val="001B3FE6"/>
    <w:rsid w:val="001B5598"/>
    <w:rsid w:val="001C1B52"/>
    <w:rsid w:val="001E003C"/>
    <w:rsid w:val="001F3D50"/>
    <w:rsid w:val="00203E1A"/>
    <w:rsid w:val="00215E94"/>
    <w:rsid w:val="00224C09"/>
    <w:rsid w:val="00233E0F"/>
    <w:rsid w:val="00254161"/>
    <w:rsid w:val="00262C39"/>
    <w:rsid w:val="00265DAA"/>
    <w:rsid w:val="0027536C"/>
    <w:rsid w:val="00294A4A"/>
    <w:rsid w:val="002A370B"/>
    <w:rsid w:val="002A3B05"/>
    <w:rsid w:val="002A5A18"/>
    <w:rsid w:val="002C4001"/>
    <w:rsid w:val="002D06B6"/>
    <w:rsid w:val="002D4D83"/>
    <w:rsid w:val="002D7B0D"/>
    <w:rsid w:val="002F7AA4"/>
    <w:rsid w:val="00304545"/>
    <w:rsid w:val="00305147"/>
    <w:rsid w:val="003138E3"/>
    <w:rsid w:val="003252DA"/>
    <w:rsid w:val="00333EC9"/>
    <w:rsid w:val="00353F2C"/>
    <w:rsid w:val="00356181"/>
    <w:rsid w:val="003649BE"/>
    <w:rsid w:val="00373583"/>
    <w:rsid w:val="00380E27"/>
    <w:rsid w:val="00387EA1"/>
    <w:rsid w:val="00394DF4"/>
    <w:rsid w:val="003A0882"/>
    <w:rsid w:val="003A4BDF"/>
    <w:rsid w:val="003A5C41"/>
    <w:rsid w:val="003B3141"/>
    <w:rsid w:val="003C2971"/>
    <w:rsid w:val="003C3B85"/>
    <w:rsid w:val="003C6D39"/>
    <w:rsid w:val="003D4FCA"/>
    <w:rsid w:val="003E2B6D"/>
    <w:rsid w:val="003E516B"/>
    <w:rsid w:val="00400CA9"/>
    <w:rsid w:val="00402397"/>
    <w:rsid w:val="004032D2"/>
    <w:rsid w:val="00413126"/>
    <w:rsid w:val="00451270"/>
    <w:rsid w:val="004549DA"/>
    <w:rsid w:val="0046084A"/>
    <w:rsid w:val="00461F7F"/>
    <w:rsid w:val="004631C6"/>
    <w:rsid w:val="004752E4"/>
    <w:rsid w:val="00487446"/>
    <w:rsid w:val="00494541"/>
    <w:rsid w:val="004A3517"/>
    <w:rsid w:val="004A5D1D"/>
    <w:rsid w:val="004B00C7"/>
    <w:rsid w:val="004D3988"/>
    <w:rsid w:val="004D4C8D"/>
    <w:rsid w:val="004E1766"/>
    <w:rsid w:val="0050127D"/>
    <w:rsid w:val="00513D84"/>
    <w:rsid w:val="005212F7"/>
    <w:rsid w:val="005350B4"/>
    <w:rsid w:val="005506D2"/>
    <w:rsid w:val="00556D01"/>
    <w:rsid w:val="00563125"/>
    <w:rsid w:val="005672FC"/>
    <w:rsid w:val="00570B80"/>
    <w:rsid w:val="005714E0"/>
    <w:rsid w:val="00577686"/>
    <w:rsid w:val="0058513D"/>
    <w:rsid w:val="0059496A"/>
    <w:rsid w:val="005C061E"/>
    <w:rsid w:val="005E2DCE"/>
    <w:rsid w:val="005E33C7"/>
    <w:rsid w:val="005E6FD0"/>
    <w:rsid w:val="005E739E"/>
    <w:rsid w:val="005F11D0"/>
    <w:rsid w:val="00611388"/>
    <w:rsid w:val="00611D91"/>
    <w:rsid w:val="00612397"/>
    <w:rsid w:val="00612941"/>
    <w:rsid w:val="00621BBB"/>
    <w:rsid w:val="00622500"/>
    <w:rsid w:val="00625ABB"/>
    <w:rsid w:val="00625B2A"/>
    <w:rsid w:val="00640411"/>
    <w:rsid w:val="0064193F"/>
    <w:rsid w:val="0065006C"/>
    <w:rsid w:val="00667369"/>
    <w:rsid w:val="006816CA"/>
    <w:rsid w:val="006B3D1F"/>
    <w:rsid w:val="006B75BA"/>
    <w:rsid w:val="006C6968"/>
    <w:rsid w:val="006D6D2D"/>
    <w:rsid w:val="00706782"/>
    <w:rsid w:val="00724210"/>
    <w:rsid w:val="00730C54"/>
    <w:rsid w:val="00731964"/>
    <w:rsid w:val="00745309"/>
    <w:rsid w:val="0074697D"/>
    <w:rsid w:val="00757850"/>
    <w:rsid w:val="0076102D"/>
    <w:rsid w:val="00774733"/>
    <w:rsid w:val="00777FC3"/>
    <w:rsid w:val="007A0CE1"/>
    <w:rsid w:val="007A132F"/>
    <w:rsid w:val="007C2A69"/>
    <w:rsid w:val="007C369D"/>
    <w:rsid w:val="007F3C9C"/>
    <w:rsid w:val="00804F7F"/>
    <w:rsid w:val="008107C8"/>
    <w:rsid w:val="0083482E"/>
    <w:rsid w:val="0084098F"/>
    <w:rsid w:val="008409ED"/>
    <w:rsid w:val="00841264"/>
    <w:rsid w:val="008430C0"/>
    <w:rsid w:val="00846A69"/>
    <w:rsid w:val="008508EB"/>
    <w:rsid w:val="00854FE1"/>
    <w:rsid w:val="008569D7"/>
    <w:rsid w:val="008570C6"/>
    <w:rsid w:val="00860B8E"/>
    <w:rsid w:val="00861B47"/>
    <w:rsid w:val="00863011"/>
    <w:rsid w:val="00874073"/>
    <w:rsid w:val="008771C6"/>
    <w:rsid w:val="00881DA6"/>
    <w:rsid w:val="00892ED8"/>
    <w:rsid w:val="00893054"/>
    <w:rsid w:val="008A66A1"/>
    <w:rsid w:val="008B0380"/>
    <w:rsid w:val="008C0EDC"/>
    <w:rsid w:val="008C1207"/>
    <w:rsid w:val="008C42EC"/>
    <w:rsid w:val="008E5748"/>
    <w:rsid w:val="008E7936"/>
    <w:rsid w:val="008F38EA"/>
    <w:rsid w:val="008F65C6"/>
    <w:rsid w:val="00905F52"/>
    <w:rsid w:val="00930C53"/>
    <w:rsid w:val="009425A5"/>
    <w:rsid w:val="0094404E"/>
    <w:rsid w:val="00944111"/>
    <w:rsid w:val="00954397"/>
    <w:rsid w:val="00955C95"/>
    <w:rsid w:val="00967ADC"/>
    <w:rsid w:val="00975176"/>
    <w:rsid w:val="009805B5"/>
    <w:rsid w:val="0098723F"/>
    <w:rsid w:val="009A2E19"/>
    <w:rsid w:val="009B0A4D"/>
    <w:rsid w:val="009C09EB"/>
    <w:rsid w:val="009D1D4D"/>
    <w:rsid w:val="009E643F"/>
    <w:rsid w:val="009F10A5"/>
    <w:rsid w:val="009F49EF"/>
    <w:rsid w:val="009F6296"/>
    <w:rsid w:val="009F6E85"/>
    <w:rsid w:val="00A02EE1"/>
    <w:rsid w:val="00A13D1C"/>
    <w:rsid w:val="00A23C15"/>
    <w:rsid w:val="00A646BC"/>
    <w:rsid w:val="00A7525E"/>
    <w:rsid w:val="00A84496"/>
    <w:rsid w:val="00A85623"/>
    <w:rsid w:val="00A85B55"/>
    <w:rsid w:val="00AA1ADF"/>
    <w:rsid w:val="00AC1E29"/>
    <w:rsid w:val="00AD3A5D"/>
    <w:rsid w:val="00AD52F4"/>
    <w:rsid w:val="00AE0660"/>
    <w:rsid w:val="00B05372"/>
    <w:rsid w:val="00B139D5"/>
    <w:rsid w:val="00B14466"/>
    <w:rsid w:val="00B40F95"/>
    <w:rsid w:val="00B44999"/>
    <w:rsid w:val="00B63537"/>
    <w:rsid w:val="00B63554"/>
    <w:rsid w:val="00B72B28"/>
    <w:rsid w:val="00B84E00"/>
    <w:rsid w:val="00B90DCA"/>
    <w:rsid w:val="00B91FA3"/>
    <w:rsid w:val="00B96B33"/>
    <w:rsid w:val="00BA27D0"/>
    <w:rsid w:val="00BB1CA8"/>
    <w:rsid w:val="00BB3D32"/>
    <w:rsid w:val="00BC5A36"/>
    <w:rsid w:val="00BD2EDC"/>
    <w:rsid w:val="00BD413C"/>
    <w:rsid w:val="00BE503B"/>
    <w:rsid w:val="00BE520E"/>
    <w:rsid w:val="00BE7E7C"/>
    <w:rsid w:val="00BF3AE8"/>
    <w:rsid w:val="00C132D7"/>
    <w:rsid w:val="00C226A9"/>
    <w:rsid w:val="00C22769"/>
    <w:rsid w:val="00C276E9"/>
    <w:rsid w:val="00C31F75"/>
    <w:rsid w:val="00C55ABA"/>
    <w:rsid w:val="00C62D98"/>
    <w:rsid w:val="00C63577"/>
    <w:rsid w:val="00C63E01"/>
    <w:rsid w:val="00C64465"/>
    <w:rsid w:val="00C75509"/>
    <w:rsid w:val="00C77AF6"/>
    <w:rsid w:val="00C868C0"/>
    <w:rsid w:val="00C914EF"/>
    <w:rsid w:val="00C92184"/>
    <w:rsid w:val="00C95A1F"/>
    <w:rsid w:val="00CA2FB1"/>
    <w:rsid w:val="00CA341F"/>
    <w:rsid w:val="00CA49A3"/>
    <w:rsid w:val="00CA5254"/>
    <w:rsid w:val="00CB1FD5"/>
    <w:rsid w:val="00CB3221"/>
    <w:rsid w:val="00CB69E8"/>
    <w:rsid w:val="00CC0309"/>
    <w:rsid w:val="00CC1FC8"/>
    <w:rsid w:val="00CE085F"/>
    <w:rsid w:val="00CE2067"/>
    <w:rsid w:val="00CE2BE6"/>
    <w:rsid w:val="00CE49BB"/>
    <w:rsid w:val="00D17709"/>
    <w:rsid w:val="00D27A50"/>
    <w:rsid w:val="00D46772"/>
    <w:rsid w:val="00D51CDC"/>
    <w:rsid w:val="00D55EBA"/>
    <w:rsid w:val="00D560B2"/>
    <w:rsid w:val="00D6089C"/>
    <w:rsid w:val="00D6174F"/>
    <w:rsid w:val="00D675FD"/>
    <w:rsid w:val="00D7435D"/>
    <w:rsid w:val="00D7683E"/>
    <w:rsid w:val="00D82113"/>
    <w:rsid w:val="00D905DB"/>
    <w:rsid w:val="00DB72C1"/>
    <w:rsid w:val="00DB7BF4"/>
    <w:rsid w:val="00DD5E58"/>
    <w:rsid w:val="00DE4B42"/>
    <w:rsid w:val="00E02A59"/>
    <w:rsid w:val="00E0414B"/>
    <w:rsid w:val="00E05FBD"/>
    <w:rsid w:val="00E07A76"/>
    <w:rsid w:val="00E137AB"/>
    <w:rsid w:val="00E239D6"/>
    <w:rsid w:val="00E454DB"/>
    <w:rsid w:val="00E47412"/>
    <w:rsid w:val="00E55B20"/>
    <w:rsid w:val="00E72D0F"/>
    <w:rsid w:val="00E74477"/>
    <w:rsid w:val="00E75410"/>
    <w:rsid w:val="00E778EC"/>
    <w:rsid w:val="00E849AF"/>
    <w:rsid w:val="00E979A8"/>
    <w:rsid w:val="00EA7D3C"/>
    <w:rsid w:val="00EB0254"/>
    <w:rsid w:val="00EC1835"/>
    <w:rsid w:val="00EC488F"/>
    <w:rsid w:val="00ED29EE"/>
    <w:rsid w:val="00EE0ADA"/>
    <w:rsid w:val="00EE27BC"/>
    <w:rsid w:val="00F0381F"/>
    <w:rsid w:val="00F07F6C"/>
    <w:rsid w:val="00F125D7"/>
    <w:rsid w:val="00F169D8"/>
    <w:rsid w:val="00F340DA"/>
    <w:rsid w:val="00F37565"/>
    <w:rsid w:val="00F54BD8"/>
    <w:rsid w:val="00F55C45"/>
    <w:rsid w:val="00F63EBA"/>
    <w:rsid w:val="00F65BC6"/>
    <w:rsid w:val="00F74DBC"/>
    <w:rsid w:val="00F84A0D"/>
    <w:rsid w:val="00FA59AF"/>
    <w:rsid w:val="00FB70B9"/>
    <w:rsid w:val="00FC08AA"/>
    <w:rsid w:val="00FC2B99"/>
    <w:rsid w:val="00FC2C42"/>
    <w:rsid w:val="00FC4C6A"/>
    <w:rsid w:val="00FC71AA"/>
    <w:rsid w:val="00FE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CBDF"/>
  <w15:chartTrackingRefBased/>
  <w15:docId w15:val="{FD9D2ACA-E4DC-4174-A4A6-3F23351E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US" w:eastAsia="zh-CN"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B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C3ABE"/>
    <w:rPr>
      <w:sz w:val="20"/>
      <w:szCs w:val="20"/>
    </w:rPr>
  </w:style>
  <w:style w:type="character" w:styleId="FootnoteReference">
    <w:name w:val="footnote reference"/>
    <w:basedOn w:val="DefaultParagraphFont"/>
    <w:uiPriority w:val="99"/>
    <w:semiHidden/>
    <w:unhideWhenUsed/>
    <w:rsid w:val="000C3ABE"/>
    <w:rPr>
      <w:vertAlign w:val="superscript"/>
    </w:rPr>
  </w:style>
  <w:style w:type="paragraph" w:styleId="ListParagraph">
    <w:name w:val="List Paragraph"/>
    <w:basedOn w:val="Normal"/>
    <w:uiPriority w:val="34"/>
    <w:qFormat/>
    <w:rsid w:val="0050127D"/>
    <w:pPr>
      <w:ind w:left="720"/>
      <w:contextualSpacing/>
    </w:pPr>
  </w:style>
  <w:style w:type="paragraph" w:styleId="Date">
    <w:name w:val="Date"/>
    <w:basedOn w:val="Normal"/>
    <w:next w:val="Normal"/>
    <w:link w:val="DateChar"/>
    <w:uiPriority w:val="99"/>
    <w:semiHidden/>
    <w:unhideWhenUsed/>
    <w:rsid w:val="00047D99"/>
  </w:style>
  <w:style w:type="character" w:customStyle="1" w:styleId="DateChar">
    <w:name w:val="Date Char"/>
    <w:basedOn w:val="DefaultParagraphFont"/>
    <w:link w:val="Date"/>
    <w:uiPriority w:val="99"/>
    <w:semiHidden/>
    <w:rsid w:val="00047D99"/>
  </w:style>
  <w:style w:type="paragraph" w:styleId="NormalWeb">
    <w:name w:val="Normal (Web)"/>
    <w:basedOn w:val="Normal"/>
    <w:uiPriority w:val="99"/>
    <w:unhideWhenUsed/>
    <w:rsid w:val="00C62D98"/>
    <w:pPr>
      <w:spacing w:before="0" w:after="150" w:line="240" w:lineRule="auto"/>
      <w:ind w:firstLine="0"/>
      <w:jc w:val="left"/>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9137">
      <w:bodyDiv w:val="1"/>
      <w:marLeft w:val="0"/>
      <w:marRight w:val="0"/>
      <w:marTop w:val="0"/>
      <w:marBottom w:val="0"/>
      <w:divBdr>
        <w:top w:val="none" w:sz="0" w:space="0" w:color="auto"/>
        <w:left w:val="none" w:sz="0" w:space="0" w:color="auto"/>
        <w:bottom w:val="none" w:sz="0" w:space="0" w:color="auto"/>
        <w:right w:val="none" w:sz="0" w:space="0" w:color="auto"/>
      </w:divBdr>
    </w:div>
    <w:div w:id="1028143039">
      <w:bodyDiv w:val="1"/>
      <w:marLeft w:val="0"/>
      <w:marRight w:val="0"/>
      <w:marTop w:val="0"/>
      <w:marBottom w:val="0"/>
      <w:divBdr>
        <w:top w:val="none" w:sz="0" w:space="0" w:color="auto"/>
        <w:left w:val="none" w:sz="0" w:space="0" w:color="auto"/>
        <w:bottom w:val="none" w:sz="0" w:space="0" w:color="auto"/>
        <w:right w:val="none" w:sz="0" w:space="0" w:color="auto"/>
      </w:divBdr>
      <w:divsChild>
        <w:div w:id="578447635">
          <w:marLeft w:val="0"/>
          <w:marRight w:val="0"/>
          <w:marTop w:val="150"/>
          <w:marBottom w:val="0"/>
          <w:divBdr>
            <w:top w:val="none" w:sz="0" w:space="0" w:color="auto"/>
            <w:left w:val="none" w:sz="0" w:space="0" w:color="auto"/>
            <w:bottom w:val="none" w:sz="0" w:space="0" w:color="auto"/>
            <w:right w:val="none" w:sz="0" w:space="0" w:color="auto"/>
          </w:divBdr>
        </w:div>
        <w:div w:id="639768529">
          <w:marLeft w:val="0"/>
          <w:marRight w:val="0"/>
          <w:marTop w:val="150"/>
          <w:marBottom w:val="0"/>
          <w:divBdr>
            <w:top w:val="none" w:sz="0" w:space="0" w:color="auto"/>
            <w:left w:val="none" w:sz="0" w:space="0" w:color="auto"/>
            <w:bottom w:val="none" w:sz="0" w:space="0" w:color="auto"/>
            <w:right w:val="none" w:sz="0" w:space="0" w:color="auto"/>
          </w:divBdr>
        </w:div>
      </w:divsChild>
    </w:div>
    <w:div w:id="1258102591">
      <w:bodyDiv w:val="1"/>
      <w:marLeft w:val="0"/>
      <w:marRight w:val="0"/>
      <w:marTop w:val="0"/>
      <w:marBottom w:val="0"/>
      <w:divBdr>
        <w:top w:val="none" w:sz="0" w:space="0" w:color="auto"/>
        <w:left w:val="none" w:sz="0" w:space="0" w:color="auto"/>
        <w:bottom w:val="none" w:sz="0" w:space="0" w:color="auto"/>
        <w:right w:val="none" w:sz="0" w:space="0" w:color="auto"/>
      </w:divBdr>
      <w:divsChild>
        <w:div w:id="1026911718">
          <w:marLeft w:val="0"/>
          <w:marRight w:val="0"/>
          <w:marTop w:val="150"/>
          <w:marBottom w:val="0"/>
          <w:divBdr>
            <w:top w:val="none" w:sz="0" w:space="0" w:color="auto"/>
            <w:left w:val="none" w:sz="0" w:space="0" w:color="auto"/>
            <w:bottom w:val="none" w:sz="0" w:space="0" w:color="auto"/>
            <w:right w:val="none" w:sz="0" w:space="0" w:color="auto"/>
          </w:divBdr>
        </w:div>
        <w:div w:id="1256356905">
          <w:marLeft w:val="0"/>
          <w:marRight w:val="0"/>
          <w:marTop w:val="150"/>
          <w:marBottom w:val="0"/>
          <w:divBdr>
            <w:top w:val="none" w:sz="0" w:space="0" w:color="auto"/>
            <w:left w:val="none" w:sz="0" w:space="0" w:color="auto"/>
            <w:bottom w:val="none" w:sz="0" w:space="0" w:color="auto"/>
            <w:right w:val="none" w:sz="0" w:space="0" w:color="auto"/>
          </w:divBdr>
        </w:div>
        <w:div w:id="132790324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5</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Nasanbat</dc:creator>
  <cp:keywords/>
  <dc:description/>
  <cp:lastModifiedBy>Amgalanbaatar</cp:lastModifiedBy>
  <cp:revision>369</cp:revision>
  <cp:lastPrinted>2025-07-29T07:58:00Z</cp:lastPrinted>
  <dcterms:created xsi:type="dcterms:W3CDTF">2024-02-27T06:34:00Z</dcterms:created>
  <dcterms:modified xsi:type="dcterms:W3CDTF">2025-07-29T08:11:00Z</dcterms:modified>
</cp:coreProperties>
</file>