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6E5AD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41C244C3" w14:textId="77777777" w:rsidR="002C1980" w:rsidRDefault="002C1980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A310A9E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803E300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578AE0A6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73F818AE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64477764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61696812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3D282ED7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2A3110C1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729609FA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6E1D1CE3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4926B231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3D20102F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05DB9C0" w14:textId="020A908F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24B1E873" w14:textId="77777777" w:rsidR="007F3175" w:rsidRP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sz w:val="32"/>
          <w:szCs w:val="32"/>
          <w:lang w:val="mn-MN"/>
        </w:rPr>
      </w:pPr>
    </w:p>
    <w:p w14:paraId="7F3BEDD7" w14:textId="77777777" w:rsidR="007F3175" w:rsidRP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sz w:val="32"/>
          <w:szCs w:val="32"/>
          <w:lang w:val="mn-MN"/>
        </w:rPr>
      </w:pPr>
    </w:p>
    <w:p w14:paraId="27699881" w14:textId="77777777" w:rsidR="007F3175" w:rsidRP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sz w:val="32"/>
          <w:szCs w:val="32"/>
          <w:lang w:val="mn-MN"/>
        </w:rPr>
      </w:pPr>
    </w:p>
    <w:p w14:paraId="0688B5B8" w14:textId="45469390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sz w:val="32"/>
          <w:szCs w:val="32"/>
          <w:lang w:val="mn-MN"/>
        </w:rPr>
      </w:pPr>
      <w:r w:rsidRPr="007F3175">
        <w:rPr>
          <w:rFonts w:ascii="Arial" w:hAnsi="Arial" w:cs="Arial"/>
          <w:b/>
          <w:bCs/>
          <w:color w:val="auto"/>
          <w:sz w:val="32"/>
          <w:szCs w:val="32"/>
          <w:lang w:val="mn-MN"/>
        </w:rPr>
        <w:t>ХУУЛИЙН ТӨСЛИЙН ХЭРЭГЦЭЭ, ШААРДЛАГЫГ УРЬДЧИЛАН ТАНДАН СУДАЛСАН ТАЙЛАН</w:t>
      </w:r>
    </w:p>
    <w:p w14:paraId="47B4AB88" w14:textId="67C8C939" w:rsidR="007F3175" w:rsidRPr="007F3175" w:rsidRDefault="007F3175" w:rsidP="007F3175">
      <w:pPr>
        <w:pStyle w:val="NormalWeb"/>
        <w:spacing w:before="0" w:after="0" w:line="240" w:lineRule="auto"/>
        <w:ind w:left="720" w:right="142"/>
        <w:rPr>
          <w:rFonts w:ascii="Arial" w:hAnsi="Arial" w:cs="Arial"/>
          <w:b/>
          <w:bCs/>
          <w:color w:val="auto"/>
          <w:sz w:val="32"/>
          <w:szCs w:val="32"/>
          <w:lang w:val="mn-MN"/>
        </w:rPr>
      </w:pPr>
    </w:p>
    <w:p w14:paraId="0F34EE06" w14:textId="266AC5D9" w:rsidR="007F3175" w:rsidRDefault="007F3175" w:rsidP="007F3175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>/ХУВЬ ХҮНИЙ ОРЛОГЫН АЛБАН ТАТВАРЫН ТУХАЙ ХУУЛЬД НЭМЭЛТ ОРУУЛАХ ТУХАЙ ХУУЛИЙН ТӨСӨЛ/</w:t>
      </w:r>
    </w:p>
    <w:p w14:paraId="0842A687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65F1391B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1C820FCE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B229038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2AE9D27" w14:textId="3F97D59A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 xml:space="preserve"> </w:t>
      </w:r>
    </w:p>
    <w:p w14:paraId="57502016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6F331E75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6898CB73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54F71EA8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26FD8DF4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4DA614C9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5AD7B4B0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5AC35A3D" w14:textId="77777777" w:rsidR="007F3175" w:rsidRDefault="007F3175" w:rsidP="007F3175">
      <w:pPr>
        <w:pStyle w:val="NormalWeb"/>
        <w:spacing w:before="0" w:after="0" w:line="240" w:lineRule="auto"/>
        <w:ind w:right="142"/>
        <w:rPr>
          <w:rFonts w:ascii="Arial" w:hAnsi="Arial" w:cs="Arial"/>
          <w:b/>
          <w:bCs/>
          <w:color w:val="auto"/>
          <w:lang w:val="mn-MN"/>
        </w:rPr>
      </w:pPr>
    </w:p>
    <w:p w14:paraId="5A18B015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1948472E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9C77EA7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87D4B7C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1224782C" w14:textId="77777777" w:rsidR="007F3175" w:rsidRPr="002C1980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</w:rPr>
      </w:pPr>
    </w:p>
    <w:p w14:paraId="15FB212D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015A7B6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A8EB390" w14:textId="02CA069E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>УЛААНБААТАР ХОТ</w:t>
      </w:r>
    </w:p>
    <w:p w14:paraId="2F13B4A7" w14:textId="51D410B2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>2025 ОН</w:t>
      </w:r>
    </w:p>
    <w:p w14:paraId="70DED4B6" w14:textId="5836FDEA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lastRenderedPageBreak/>
        <w:t xml:space="preserve">АГУУЛГА </w:t>
      </w:r>
    </w:p>
    <w:p w14:paraId="4DD91BBD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2252D710" w14:textId="77777777" w:rsidR="007F3175" w:rsidRDefault="007F3175" w:rsidP="007F3175">
      <w:pPr>
        <w:pStyle w:val="NormalWeb"/>
        <w:spacing w:before="0" w:after="0" w:line="36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352C08BB" w14:textId="17DA4CE5" w:rsidR="007F3175" w:rsidRDefault="007F3175" w:rsidP="007F3175">
      <w:pPr>
        <w:pStyle w:val="NormalWeb"/>
        <w:spacing w:before="0" w:after="0" w:line="360" w:lineRule="auto"/>
        <w:ind w:left="720" w:right="142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 xml:space="preserve">Нэг . </w:t>
      </w:r>
      <w:r w:rsidRPr="007F3175">
        <w:rPr>
          <w:rFonts w:ascii="Arial" w:hAnsi="Arial" w:cs="Arial"/>
          <w:color w:val="auto"/>
          <w:lang w:val="mn-MN"/>
        </w:rPr>
        <w:t>Ерөнхий мэдээлэл</w:t>
      </w:r>
      <w:r>
        <w:rPr>
          <w:rFonts w:ascii="Arial" w:hAnsi="Arial" w:cs="Arial"/>
          <w:b/>
          <w:bCs/>
          <w:color w:val="auto"/>
          <w:lang w:val="mn-MN"/>
        </w:rPr>
        <w:t xml:space="preserve"> </w:t>
      </w:r>
    </w:p>
    <w:p w14:paraId="449C2F42" w14:textId="77777777" w:rsidR="007F3175" w:rsidRDefault="007F3175" w:rsidP="007F3175">
      <w:pPr>
        <w:spacing w:after="0" w:line="360" w:lineRule="auto"/>
        <w:ind w:right="142" w:firstLine="720"/>
        <w:contextualSpacing/>
        <w:rPr>
          <w:rFonts w:ascii="Arial" w:hAnsi="Arial" w:cs="Arial"/>
          <w:color w:val="auto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mn-MN"/>
        </w:rPr>
        <w:t xml:space="preserve">Хоёр. </w:t>
      </w:r>
      <w:r w:rsidRPr="007F3175">
        <w:rPr>
          <w:rFonts w:ascii="Arial" w:hAnsi="Arial" w:cs="Arial"/>
          <w:color w:val="auto"/>
          <w:sz w:val="24"/>
          <w:szCs w:val="24"/>
          <w:lang w:val="mn-MN"/>
        </w:rPr>
        <w:t>Урьдчилан тандан судлах үнэлгээний тайлан</w:t>
      </w:r>
    </w:p>
    <w:p w14:paraId="27202615" w14:textId="77777777" w:rsidR="007F3175" w:rsidRDefault="007F3175" w:rsidP="007F3175">
      <w:pPr>
        <w:spacing w:after="0" w:line="36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  <w:lang w:val="mn-MN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</w:rPr>
        <w:t>2.1</w:t>
      </w:r>
      <w:r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Асуудалд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дүн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шинжилгээ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хийсэн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байдал</w:t>
      </w:r>
      <w:proofErr w:type="spellEnd"/>
    </w:p>
    <w:p w14:paraId="7B77B946" w14:textId="77777777" w:rsidR="007F3175" w:rsidRDefault="007F3175" w:rsidP="007F3175">
      <w:pPr>
        <w:spacing w:after="0" w:line="36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</w:rPr>
        <w:t>2.2</w:t>
      </w:r>
      <w:r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Асуудлыг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шийдвэрлэх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зорилгыг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тодорхойлсон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байдал</w:t>
      </w:r>
      <w:proofErr w:type="spellEnd"/>
    </w:p>
    <w:p w14:paraId="79BEB405" w14:textId="0329430A" w:rsidR="007F3175" w:rsidRPr="007F3175" w:rsidRDefault="007F3175" w:rsidP="007F3175">
      <w:pPr>
        <w:spacing w:after="0" w:line="360" w:lineRule="auto"/>
        <w:ind w:left="720" w:right="142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ab/>
      </w:r>
      <w:r>
        <w:rPr>
          <w:rFonts w:ascii="Arial" w:hAnsi="Arial" w:cs="Arial"/>
          <w:b/>
          <w:bCs/>
          <w:color w:val="auto"/>
          <w:sz w:val="24"/>
          <w:szCs w:val="24"/>
        </w:rPr>
        <w:t>2.3</w:t>
      </w:r>
      <w:r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Асуудлыг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зохицуулах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хувилбарууд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эерэг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сөрөг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дагаварт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хийсэн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харьцуулалт</w:t>
      </w:r>
      <w:proofErr w:type="spellEnd"/>
    </w:p>
    <w:p w14:paraId="558A92DA" w14:textId="77777777" w:rsidR="007F3175" w:rsidRDefault="007F3175" w:rsidP="007F3175">
      <w:pPr>
        <w:spacing w:after="0" w:line="36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auto"/>
          <w:sz w:val="24"/>
          <w:szCs w:val="24"/>
        </w:rPr>
        <w:t>Гурав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proofErr w:type="gram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Сонгосон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тандан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судалсан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байдал</w:t>
      </w:r>
      <w:proofErr w:type="spellEnd"/>
    </w:p>
    <w:p w14:paraId="3507D15B" w14:textId="35F4B8C7" w:rsidR="007F3175" w:rsidRDefault="007F3175" w:rsidP="007F3175">
      <w:pPr>
        <w:spacing w:after="0" w:line="36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auto"/>
          <w:sz w:val="24"/>
          <w:szCs w:val="24"/>
        </w:rPr>
        <w:t>Дөрөв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890120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Зөвлөмж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дүгнэлт</w:t>
      </w:r>
      <w:proofErr w:type="spellEnd"/>
    </w:p>
    <w:p w14:paraId="6A623B51" w14:textId="77777777" w:rsidR="007F3175" w:rsidRPr="00732988" w:rsidRDefault="007F3175" w:rsidP="007F3175">
      <w:pPr>
        <w:spacing w:after="0" w:line="240" w:lineRule="auto"/>
        <w:ind w:right="142"/>
        <w:contextualSpacing/>
        <w:rPr>
          <w:rFonts w:ascii="Arial" w:hAnsi="Arial" w:cs="Arial"/>
          <w:b/>
          <w:bCs/>
          <w:color w:val="auto"/>
          <w:sz w:val="24"/>
          <w:szCs w:val="24"/>
          <w:lang w:val="mn-MN"/>
        </w:rPr>
      </w:pPr>
    </w:p>
    <w:p w14:paraId="4103AE68" w14:textId="77777777" w:rsidR="007F3175" w:rsidRDefault="007F3175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  <w:lang w:val="mn-MN"/>
        </w:rPr>
      </w:pPr>
    </w:p>
    <w:p w14:paraId="0E730935" w14:textId="1F8B608C" w:rsidR="004D3878" w:rsidRPr="000D5D06" w:rsidRDefault="00991C3F" w:rsidP="00732988">
      <w:pPr>
        <w:pStyle w:val="NormalWeb"/>
        <w:spacing w:before="0" w:after="0" w:line="240" w:lineRule="auto"/>
        <w:ind w:left="720" w:right="142"/>
        <w:jc w:val="center"/>
        <w:rPr>
          <w:rFonts w:ascii="Arial" w:hAnsi="Arial" w:cs="Arial"/>
          <w:b/>
          <w:bCs/>
          <w:color w:val="auto"/>
        </w:rPr>
      </w:pPr>
      <w:r w:rsidRPr="000D5D06">
        <w:rPr>
          <w:rFonts w:ascii="Arial" w:hAnsi="Arial" w:cs="Arial"/>
          <w:b/>
          <w:bCs/>
          <w:color w:val="auto"/>
          <w:lang w:val="mn-MN"/>
        </w:rPr>
        <w:t>ХУВЬ ХҮНИЙ ОРЛОГЫН АЛБАН ТАТВАРТ НЭМЭЛТ ОРУУЛАХ ТУХАЙ ХУУЛИЙН</w:t>
      </w:r>
      <w:r w:rsidR="00662CC6" w:rsidRPr="000D5D06">
        <w:rPr>
          <w:rFonts w:ascii="Arial" w:hAnsi="Arial" w:cs="Arial"/>
          <w:b/>
          <w:bCs/>
          <w:color w:val="auto"/>
          <w:lang w:val="mn-MN"/>
        </w:rPr>
        <w:t xml:space="preserve"> </w:t>
      </w:r>
      <w:r w:rsidR="000F75C8" w:rsidRPr="000D5D06">
        <w:rPr>
          <w:rFonts w:ascii="Arial" w:hAnsi="Arial" w:cs="Arial"/>
          <w:b/>
          <w:bCs/>
          <w:color w:val="auto"/>
          <w:lang w:val="mn-MN"/>
        </w:rPr>
        <w:t xml:space="preserve">ТӨСЛИЙН </w:t>
      </w:r>
      <w:r w:rsidR="00EF057E" w:rsidRPr="000D5D06">
        <w:rPr>
          <w:rFonts w:ascii="Arial" w:hAnsi="Arial" w:cs="Arial"/>
          <w:b/>
          <w:bCs/>
          <w:color w:val="auto"/>
          <w:lang w:val="mn-MN"/>
        </w:rPr>
        <w:t>ХЭРЭГЦЭЭ, ШААРДЛАГЫГ УРЬДЧИЛАН ТАНДАН СУДАЛСАН ТАЙЛАН</w:t>
      </w:r>
    </w:p>
    <w:p w14:paraId="6E34E96D" w14:textId="77777777" w:rsidR="004D3878" w:rsidRPr="00890120" w:rsidRDefault="004D3878" w:rsidP="00732988">
      <w:pPr>
        <w:pStyle w:val="NormalWeb"/>
        <w:spacing w:before="0" w:after="0" w:line="240" w:lineRule="auto"/>
        <w:ind w:right="142" w:firstLine="720"/>
        <w:jc w:val="center"/>
        <w:rPr>
          <w:rFonts w:ascii="Arial" w:hAnsi="Arial" w:cs="Arial"/>
          <w:color w:val="auto"/>
        </w:rPr>
      </w:pPr>
    </w:p>
    <w:p w14:paraId="1DD6DC73" w14:textId="1FAAF19D" w:rsidR="00A45613" w:rsidRPr="00732988" w:rsidRDefault="007F3175" w:rsidP="00732988">
      <w:pPr>
        <w:pStyle w:val="NormalWeb"/>
        <w:spacing w:before="0" w:after="0" w:line="240" w:lineRule="auto"/>
        <w:ind w:right="142" w:firstLine="720"/>
        <w:jc w:val="center"/>
        <w:rPr>
          <w:rFonts w:ascii="Arial" w:hAnsi="Arial" w:cs="Arial"/>
          <w:b/>
          <w:bCs/>
          <w:color w:val="auto"/>
          <w:lang w:val="mn-MN"/>
        </w:rPr>
      </w:pPr>
      <w:r>
        <w:rPr>
          <w:rFonts w:ascii="Arial" w:hAnsi="Arial" w:cs="Arial"/>
          <w:b/>
          <w:bCs/>
          <w:color w:val="auto"/>
          <w:lang w:val="mn-MN"/>
        </w:rPr>
        <w:t xml:space="preserve">Нэг. </w:t>
      </w:r>
      <w:r w:rsidR="00390301" w:rsidRPr="00732988">
        <w:rPr>
          <w:rFonts w:ascii="Arial" w:hAnsi="Arial" w:cs="Arial"/>
          <w:b/>
          <w:bCs/>
          <w:color w:val="auto"/>
          <w:lang w:val="mn-MN"/>
        </w:rPr>
        <w:t>Ерөнхий мэдээлэл</w:t>
      </w:r>
    </w:p>
    <w:p w14:paraId="62F0943A" w14:textId="77777777" w:rsidR="00732988" w:rsidRPr="00732988" w:rsidRDefault="00732988" w:rsidP="00732988">
      <w:pPr>
        <w:pStyle w:val="NormalWeb"/>
        <w:spacing w:before="0" w:after="0" w:line="240" w:lineRule="auto"/>
        <w:ind w:right="142" w:firstLine="720"/>
        <w:jc w:val="center"/>
        <w:rPr>
          <w:rFonts w:ascii="Arial" w:hAnsi="Arial" w:cs="Arial"/>
          <w:color w:val="auto"/>
          <w:lang w:val="mn-MN"/>
        </w:rPr>
      </w:pPr>
    </w:p>
    <w:p w14:paraId="56D3FA33" w14:textId="77777777" w:rsidR="00A45613" w:rsidRPr="00D92388" w:rsidRDefault="00A45613" w:rsidP="00732988">
      <w:pPr>
        <w:spacing w:after="0" w:line="240" w:lineRule="auto"/>
        <w:ind w:right="142" w:firstLine="360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bookmarkStart w:id="0" w:name="_Hlk210237767"/>
      <w:r>
        <w:rPr>
          <w:rFonts w:ascii="Arial" w:hAnsi="Arial" w:cs="Arial"/>
          <w:color w:val="auto"/>
          <w:sz w:val="24"/>
          <w:szCs w:val="24"/>
          <w:lang w:val="mn-MN"/>
        </w:rPr>
        <w:t>Хувь хүний орлогын албан татварын тухай</w:t>
      </w:r>
      <w:r w:rsidRPr="00D92388">
        <w:rPr>
          <w:rFonts w:ascii="Arial" w:hAnsi="Arial" w:cs="Arial"/>
          <w:color w:val="auto"/>
          <w:sz w:val="24"/>
          <w:szCs w:val="24"/>
          <w:lang w:val="mn-MN"/>
        </w:rPr>
        <w:t xml:space="preserve"> хуулийг 20</w:t>
      </w:r>
      <w:r>
        <w:rPr>
          <w:rFonts w:ascii="Arial" w:hAnsi="Arial" w:cs="Arial"/>
          <w:color w:val="auto"/>
          <w:sz w:val="24"/>
          <w:szCs w:val="24"/>
          <w:lang w:val="mn-MN"/>
        </w:rPr>
        <w:t>19</w:t>
      </w:r>
      <w:r w:rsidRPr="00D92388">
        <w:rPr>
          <w:rFonts w:ascii="Arial" w:hAnsi="Arial" w:cs="Arial"/>
          <w:color w:val="auto"/>
          <w:sz w:val="24"/>
          <w:szCs w:val="24"/>
          <w:lang w:val="mn-MN"/>
        </w:rPr>
        <w:t xml:space="preserve"> оны 0</w:t>
      </w:r>
      <w:r>
        <w:rPr>
          <w:rFonts w:ascii="Arial" w:hAnsi="Arial" w:cs="Arial"/>
          <w:color w:val="auto"/>
          <w:sz w:val="24"/>
          <w:szCs w:val="24"/>
          <w:lang w:val="mn-MN"/>
        </w:rPr>
        <w:t>3</w:t>
      </w:r>
      <w:r w:rsidRPr="00D92388">
        <w:rPr>
          <w:rFonts w:ascii="Arial" w:hAnsi="Arial" w:cs="Arial"/>
          <w:color w:val="auto"/>
          <w:sz w:val="24"/>
          <w:szCs w:val="24"/>
          <w:lang w:val="mn-MN"/>
        </w:rPr>
        <w:t xml:space="preserve"> дугаар сарын </w:t>
      </w:r>
      <w:r>
        <w:rPr>
          <w:rFonts w:ascii="Arial" w:hAnsi="Arial" w:cs="Arial"/>
          <w:color w:val="auto"/>
          <w:sz w:val="24"/>
          <w:szCs w:val="24"/>
          <w:lang w:val="mn-MN"/>
        </w:rPr>
        <w:t>22</w:t>
      </w:r>
      <w:r w:rsidRPr="00D92388">
        <w:rPr>
          <w:rFonts w:ascii="Arial" w:hAnsi="Arial" w:cs="Arial"/>
          <w:color w:val="auto"/>
          <w:sz w:val="24"/>
          <w:szCs w:val="24"/>
          <w:lang w:val="mn-MN"/>
        </w:rPr>
        <w:t>-ны өдөр баталсан бөгөөд энэхүү хууль нь 202</w:t>
      </w:r>
      <w:r>
        <w:rPr>
          <w:rFonts w:ascii="Arial" w:hAnsi="Arial" w:cs="Arial"/>
          <w:color w:val="auto"/>
          <w:sz w:val="24"/>
          <w:szCs w:val="24"/>
          <w:lang w:val="mn-MN"/>
        </w:rPr>
        <w:t>0</w:t>
      </w:r>
      <w:r w:rsidRPr="00D92388">
        <w:rPr>
          <w:rFonts w:ascii="Arial" w:hAnsi="Arial" w:cs="Arial"/>
          <w:color w:val="auto"/>
          <w:sz w:val="24"/>
          <w:szCs w:val="24"/>
          <w:lang w:val="mn-MN"/>
        </w:rPr>
        <w:t xml:space="preserve"> оны 01 дүгээр сарын 01-ний өдрөөс эхлэн хэрэгжсэн. 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</w:p>
    <w:p w14:paraId="1D3248E0" w14:textId="77777777" w:rsidR="00A45613" w:rsidRDefault="00A45613" w:rsidP="00732988">
      <w:pPr>
        <w:spacing w:after="0" w:line="240" w:lineRule="auto"/>
        <w:ind w:right="142" w:firstLine="36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F60457">
        <w:rPr>
          <w:rFonts w:ascii="Arial" w:hAnsi="Arial" w:cs="Arial"/>
          <w:color w:val="auto"/>
          <w:sz w:val="24"/>
          <w:szCs w:val="24"/>
          <w:lang w:val="mn-MN"/>
        </w:rPr>
        <w:t>Монгол Улсын Үндсэн хуулийн Арван зургаадугаар зүйлийн 4 дахь хэсэгт “Ажил мэргэжлээ чөлөөтэй сонгох,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хөдөлмөрийн аятай нөхцөлөөр хангуулах, цалин хөлс авах, амрах, хувийн аж ахуй эрхлэх эрхтэй. Хэнийг ч хууль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бусаар албадан хөдөлмөрлүүлж болохгүй” гэж заасан бөгөөд энэ үзэл баримтлал нь хөдөлмөр эрхлэлтийн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 xml:space="preserve">урамшуулал, бодит орлогын тэгш хүртээмжтэй байдал, шударга </w:t>
      </w:r>
      <w:r w:rsidRPr="006F7577">
        <w:rPr>
          <w:rFonts w:ascii="Arial" w:hAnsi="Arial" w:cs="Arial"/>
          <w:color w:val="auto"/>
          <w:sz w:val="24"/>
          <w:szCs w:val="24"/>
          <w:lang w:val="mn-MN"/>
        </w:rPr>
        <w:t>татварын тогтолцоог бүрдүүлэх хууль, бодлогын үндэс болдог.</w:t>
      </w:r>
    </w:p>
    <w:p w14:paraId="77C6FB4E" w14:textId="77777777" w:rsidR="008507A7" w:rsidRPr="006F7577" w:rsidRDefault="008507A7" w:rsidP="00732988">
      <w:pPr>
        <w:spacing w:after="0" w:line="240" w:lineRule="auto"/>
        <w:ind w:right="142" w:firstLine="36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2D2284C1" w14:textId="77777777" w:rsidR="00A45613" w:rsidRDefault="00A45613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6F7577">
        <w:rPr>
          <w:rFonts w:ascii="Arial" w:hAnsi="Arial" w:cs="Arial"/>
          <w:color w:val="auto"/>
          <w:sz w:val="24"/>
          <w:szCs w:val="24"/>
          <w:lang w:val="mn-MN"/>
        </w:rPr>
        <w:t xml:space="preserve">Хөдөлмөрийн тухай хуулиар илүү цагаар ажилласны цалин хөлсийг ажил олгогчоос олгохоор заасан. </w:t>
      </w:r>
      <w:r w:rsidRPr="006F7577">
        <w:rPr>
          <w:rFonts w:ascii="Arial" w:hAnsi="Arial" w:cs="Arial"/>
          <w:color w:val="auto"/>
          <w:sz w:val="24"/>
          <w:szCs w:val="24"/>
        </w:rPr>
        <w:t> 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Ажилтны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ердийн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ажлын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өдрийн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үргэлжлэл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8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хүртэл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долоо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хоногийн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ажлын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40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хүртэл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байхаар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хуульчилсан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бөгөөд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уг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хязгаарыг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баримтлан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байгууллага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дотоод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журмаараа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ажлын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өдрийн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үргэлжлэх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цагийг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тогтоо</w:t>
      </w:r>
      <w:r>
        <w:rPr>
          <w:rFonts w:ascii="Arial" w:hAnsi="Arial" w:cs="Arial"/>
          <w:color w:val="auto"/>
          <w:sz w:val="24"/>
          <w:szCs w:val="24"/>
        </w:rPr>
        <w:t>дог</w:t>
      </w:r>
      <w:proofErr w:type="spellEnd"/>
      <w:r>
        <w:rPr>
          <w:rFonts w:ascii="Arial" w:hAnsi="Arial" w:cs="Arial"/>
          <w:color w:val="auto"/>
          <w:sz w:val="24"/>
          <w:szCs w:val="24"/>
        </w:rPr>
        <w:t>.</w:t>
      </w:r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Ажил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олгогчийн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санаачилгаар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буюу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дотоод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журмын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тогтоосон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ажлын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хуваарийн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дагуу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ажилтныг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өдөрт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8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цагаас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хэтрүүлэн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ажиллуулсан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бол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цагаар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ажиллуулсан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гэж</w:t>
      </w:r>
      <w:proofErr w:type="spellEnd"/>
      <w:r w:rsidRPr="006F7577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6F7577">
        <w:rPr>
          <w:rFonts w:ascii="Arial" w:hAnsi="Arial" w:cs="Arial"/>
          <w:color w:val="auto"/>
          <w:sz w:val="24"/>
          <w:szCs w:val="24"/>
        </w:rPr>
        <w:t>үздэг</w:t>
      </w:r>
      <w:proofErr w:type="spellEnd"/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бөгөөд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тухайн орлогод хувь хүний орлогын албан татвар ногдуулж байгаа нь ажилтны бодит орлогыг бууруулж,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хөдөлмөрийн үнэлэмжийг багасгах, цаашлаад хөдөлмөр эрхлэлтийн идэвхийг сааруулах сөрөг үр дагавартай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байна. Ялангуяа төрийн үйлчилгээний (боловсрол, эрүүл мэнд гэх мэт) салбарт илүү цагаар ажиллах явдал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түгээмэл бөгөөд энэ нь ажилтан, байгууллагын ачааллыг нэмэгдүүлж, үйлчилгээний чанарт сөргөөр нөлөөлдөг.</w:t>
      </w:r>
    </w:p>
    <w:p w14:paraId="54AF63B6" w14:textId="77777777" w:rsidR="008507A7" w:rsidRPr="006F7577" w:rsidRDefault="008507A7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204BAF9D" w14:textId="77777777" w:rsidR="00A45613" w:rsidRDefault="00A45613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F60457">
        <w:rPr>
          <w:rFonts w:ascii="Arial" w:hAnsi="Arial" w:cs="Arial"/>
          <w:color w:val="auto"/>
          <w:sz w:val="24"/>
          <w:szCs w:val="24"/>
          <w:lang w:val="mn-MN"/>
        </w:rPr>
        <w:t>Иймд хөдөлмөрийн үнэлэмжийг бодитоор тогтоох, урамшууллын системийг бий болгох, ажлын бүтээмжийг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F60457">
        <w:rPr>
          <w:rFonts w:ascii="Arial" w:hAnsi="Arial" w:cs="Arial"/>
          <w:color w:val="auto"/>
          <w:sz w:val="24"/>
          <w:szCs w:val="24"/>
          <w:lang w:val="mn-MN"/>
        </w:rPr>
        <w:t>дээшлүүлэх, нийгмийн шударга байдлыг хангах чиглэлд томоохон алхам болно.</w:t>
      </w:r>
    </w:p>
    <w:p w14:paraId="42AC37E0" w14:textId="77777777" w:rsidR="008507A7" w:rsidRDefault="008507A7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75949C26" w14:textId="5C78FFC9" w:rsidR="008507A7" w:rsidRDefault="00424887" w:rsidP="007F3175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r w:rsidRPr="00424887">
        <w:rPr>
          <w:rFonts w:ascii="Arial" w:hAnsi="Arial" w:cs="Arial"/>
          <w:color w:val="auto"/>
          <w:sz w:val="24"/>
          <w:szCs w:val="24"/>
          <w:lang w:val="mn-MN"/>
        </w:rPr>
        <w:t>Хуулийн төсөл нь хөдөлмөрийн үнэлэмжийг нэмэгдүүлэх, ажилтанд очих цалинг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424887">
        <w:rPr>
          <w:rFonts w:ascii="Arial" w:hAnsi="Arial" w:cs="Arial"/>
          <w:color w:val="auto"/>
          <w:sz w:val="24"/>
          <w:szCs w:val="24"/>
          <w:lang w:val="mn-MN"/>
        </w:rPr>
        <w:t>бодитоор тогтоох, иргэдийн амьжиргааг дэмжих, татварын бодлогоор дамжуулан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424887">
        <w:rPr>
          <w:rFonts w:ascii="Arial" w:hAnsi="Arial" w:cs="Arial"/>
          <w:color w:val="auto"/>
          <w:sz w:val="24"/>
          <w:szCs w:val="24"/>
          <w:lang w:val="mn-MN"/>
        </w:rPr>
        <w:t>нийгмийн шударга байдлыг бэхжүүлэхэд оршино. Энэхүү зорилгыг хэрэгжүүлэхэд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424887">
        <w:rPr>
          <w:rFonts w:ascii="Arial" w:hAnsi="Arial" w:cs="Arial"/>
          <w:color w:val="auto"/>
          <w:sz w:val="24"/>
          <w:szCs w:val="24"/>
          <w:lang w:val="mn-MN"/>
        </w:rPr>
        <w:t>илүү цагийн цалин хөлсний тодорхой хэсгийг хувь хүний орлогын албан татвараас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 </w:t>
      </w:r>
      <w:r w:rsidRPr="00424887">
        <w:rPr>
          <w:rFonts w:ascii="Arial" w:hAnsi="Arial" w:cs="Arial"/>
          <w:color w:val="auto"/>
          <w:sz w:val="24"/>
          <w:szCs w:val="24"/>
          <w:lang w:val="mn-MN"/>
        </w:rPr>
        <w:t>чөлөөлөхөөр хуульчилсан болно.</w:t>
      </w:r>
      <w:bookmarkEnd w:id="0"/>
    </w:p>
    <w:p w14:paraId="23384ED2" w14:textId="77777777" w:rsidR="008507A7" w:rsidRPr="00890120" w:rsidRDefault="008507A7" w:rsidP="00732988">
      <w:pPr>
        <w:spacing w:after="0" w:line="240" w:lineRule="auto"/>
        <w:ind w:right="142" w:firstLine="360"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54F80FC1" w14:textId="2ED75CFD" w:rsidR="00573F2E" w:rsidRPr="00732988" w:rsidRDefault="007F3175" w:rsidP="00732988">
      <w:pPr>
        <w:spacing w:after="0" w:line="240" w:lineRule="auto"/>
        <w:ind w:right="142"/>
        <w:contextualSpacing/>
        <w:jc w:val="center"/>
        <w:rPr>
          <w:rFonts w:ascii="Arial" w:hAnsi="Arial" w:cs="Arial"/>
          <w:b/>
          <w:bCs/>
          <w:color w:val="auto"/>
          <w:sz w:val="24"/>
          <w:szCs w:val="24"/>
          <w:lang w:val="mn-MN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mn-MN"/>
        </w:rPr>
        <w:t xml:space="preserve">Хоёр. </w:t>
      </w:r>
      <w:r w:rsidR="00390301" w:rsidRPr="00732988">
        <w:rPr>
          <w:rFonts w:ascii="Arial" w:hAnsi="Arial" w:cs="Arial"/>
          <w:b/>
          <w:bCs/>
          <w:color w:val="auto"/>
          <w:sz w:val="24"/>
          <w:szCs w:val="24"/>
          <w:lang w:val="mn-MN"/>
        </w:rPr>
        <w:t>У</w:t>
      </w:r>
      <w:r w:rsidR="00732988" w:rsidRPr="00732988">
        <w:rPr>
          <w:rFonts w:ascii="Arial" w:hAnsi="Arial" w:cs="Arial"/>
          <w:b/>
          <w:bCs/>
          <w:color w:val="auto"/>
          <w:sz w:val="24"/>
          <w:szCs w:val="24"/>
          <w:lang w:val="mn-MN"/>
        </w:rPr>
        <w:t>рьдчилан тандан судлах үнэлгээний тайлан</w:t>
      </w:r>
    </w:p>
    <w:p w14:paraId="4B81404B" w14:textId="77777777" w:rsidR="00390301" w:rsidRPr="00890120" w:rsidRDefault="00390301" w:rsidP="00732988">
      <w:pPr>
        <w:spacing w:after="0" w:line="240" w:lineRule="auto"/>
        <w:ind w:right="142"/>
        <w:contextualSpacing/>
        <w:jc w:val="center"/>
        <w:rPr>
          <w:rFonts w:ascii="Arial" w:hAnsi="Arial" w:cs="Arial"/>
          <w:color w:val="auto"/>
          <w:sz w:val="24"/>
          <w:szCs w:val="24"/>
          <w:lang w:val="mn-MN"/>
        </w:rPr>
      </w:pPr>
    </w:p>
    <w:p w14:paraId="35BACB36" w14:textId="67AD7384" w:rsidR="00890120" w:rsidRDefault="007F3175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2.1</w:t>
      </w:r>
      <w:r w:rsidR="00890120"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Асуудалд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дүн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шинжилгээ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хийсэн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байдал</w:t>
      </w:r>
      <w:proofErr w:type="spellEnd"/>
    </w:p>
    <w:p w14:paraId="4576F0C9" w14:textId="26696E5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Монгол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Улсад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үнэлэмж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хангалтгүй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ажиллагсдын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амьжиргаа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өрхийн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сөргөөр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гол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хүчин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зүйлсийн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юм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ажилтны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чухал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бүрэлдэхүүн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хэсэг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боловч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хүний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албан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бүрэн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хамруулж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идэвх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сулрах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олгогчийн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хувьд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цалингийн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сангийн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зардлын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дарамт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сөрөг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дагаврыг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болгож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7F0025C8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43B676E5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Сангийн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яамны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2022–2024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статистикт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дурдсанаар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албан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хаагчдын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хөлсөнд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жил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бүр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дунджаар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250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тэрбум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төгрөг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зарцуулж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үүнээс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37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тэрбум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төгрөг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төвлөрүүлжээ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төсвийн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хувьд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үүсвэр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хэдий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ч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өрхийн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бууруулж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шударга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үнэлэмжийг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алдагдуулдаг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49FC182A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6737EF74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туршлагаас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харахад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Канад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улсад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тодорхой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босго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дүнгээс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доош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чөлөөлдөг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Сингапурт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олгогчийн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хөнгөлөлтөөр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хөлсний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зардлын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дарамтыг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бууруулдаг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АНУ-д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холбооны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мужийн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түвшний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зохицуулалт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ялгаатай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боловч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зарим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тохиолдолд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хөнгөлөлтөд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хамруулдаг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 OECD-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2024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“Taxing Wages”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тайланд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дурдсанаар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хөлсний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нийт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дундаж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ачаалал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34.8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Монгол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Улсад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үзүүлэлт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38–40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хувьтай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дундажаас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өндөр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67EA1A11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0EA3D6C5" w14:textId="57373ADD" w:rsidR="00890120" w:rsidRPr="00890120" w:rsidRDefault="007F3175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2.2</w:t>
      </w:r>
      <w:r w:rsidR="00890120"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Асуудлыг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шийдвэрлэх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зорилгыг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тодорхойлсон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байдал</w:t>
      </w:r>
      <w:proofErr w:type="spellEnd"/>
    </w:p>
    <w:p w14:paraId="3E72FC83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Хуулийн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төслийн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зорилго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чөлөөлөх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замаар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иргэдийн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шударга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байдлыг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хангах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эрхлэлтийг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дэмжихэд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оршино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зорилго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Үндсэн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хуульд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заасан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шударга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үнэлэмж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хүний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эрхийг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хангах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зарчимд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нийцэхийн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зэрэгцээ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“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хараа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2050”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Засгийн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газрын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2024–2028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үйл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ажиллагааны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хөтөлбөрийн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зорилтуудтай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уялдаж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5C4E093A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7240859D" w14:textId="553A7BB7" w:rsidR="00890120" w:rsidRPr="00890120" w:rsidRDefault="007F3175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b/>
          <w:bCs/>
          <w:color w:val="auto"/>
          <w:sz w:val="24"/>
          <w:szCs w:val="24"/>
        </w:rPr>
        <w:t>2.3</w:t>
      </w:r>
      <w:r w:rsidR="00890120"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Асуудлыг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зохицуулах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хувилбарууд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эерэг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сөрөг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дагаварт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хийсэн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харьцуулалт</w:t>
      </w:r>
      <w:proofErr w:type="spellEnd"/>
    </w:p>
    <w:p w14:paraId="74D9D25B" w14:textId="744660D4" w:rsid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Асуудлыг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зохицуулах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гурван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тодорхойлогдож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  <w:lang w:val="mn-MN"/>
        </w:rPr>
        <w:t xml:space="preserve">Үүнд: </w:t>
      </w:r>
    </w:p>
    <w:p w14:paraId="7CDE07F0" w14:textId="77777777" w:rsidR="0022163A" w:rsidRPr="0022163A" w:rsidRDefault="0022163A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  <w:lang w:val="mn-MN"/>
        </w:rPr>
      </w:pPr>
    </w:p>
    <w:p w14:paraId="6367E398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890120">
        <w:rPr>
          <w:rFonts w:ascii="Arial" w:hAnsi="Arial" w:cs="Arial"/>
          <w:color w:val="auto"/>
          <w:sz w:val="24"/>
          <w:szCs w:val="24"/>
        </w:rPr>
        <w:t xml:space="preserve">Нэгдүгээр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өөрчлөлт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хийхгүй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буюу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тэг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бөгөөд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төсвийн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хэвээр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хадгалагдах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боловч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ажилтны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идэвх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сулрах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ялгаа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гүнзгийрэх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эрсдэлтэй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239325D9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5F1FB153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Хоёрдугаар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хэсэгчлэн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чөлөөлөх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юм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тохиолдолд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бага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орлоготой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ажилтнуудын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нэмэгдэж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идэвх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сэргэж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олгогчийн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дарамт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Гэвч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төсвийн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2026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15–20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тэрбум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төгрөгөөр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магадлалтай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5DE29F88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5A0F1133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Гуравдугаар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бүрэн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чөлөөлөх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явдал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юм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ажилтны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эрс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зээлийн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идэвхийг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боловч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төсвийн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2026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37.4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тэрбум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төгрөгөөр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тооцоо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гарч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0F13C7D8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1371AE22" w14:textId="570A792D" w:rsidR="00890120" w:rsidRPr="00890120" w:rsidRDefault="007F3175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auto"/>
          <w:sz w:val="24"/>
          <w:szCs w:val="24"/>
        </w:rPr>
        <w:t>Гурав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90120" w:rsidRPr="00890120">
        <w:rPr>
          <w:rFonts w:ascii="Arial" w:hAnsi="Arial" w:cs="Arial"/>
          <w:b/>
          <w:bCs/>
          <w:color w:val="auto"/>
          <w:sz w:val="24"/>
          <w:szCs w:val="24"/>
        </w:rPr>
        <w:t>.</w:t>
      </w:r>
      <w:proofErr w:type="gram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Сонгосон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хувилбарын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нөлөөг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тандан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судалсан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байдал</w:t>
      </w:r>
      <w:proofErr w:type="spellEnd"/>
    </w:p>
    <w:p w14:paraId="1AD5B8A9" w14:textId="63F7C46F" w:rsid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Судалгаанд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тулгуурлан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хоёрдугаар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буюу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хэсэгчлэн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чөлөөлөх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хамгийн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оновчтой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гэж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үзэв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иргэдийн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нэмэгдүүлэхийн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зэрэгцээ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төсвийн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алдагдлыг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ихээр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нэмэгдүүлэхгүйгээр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зохицуулалт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хийх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боломжтой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7C28B903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0F2A84CE" w14:textId="6CAD66C6" w:rsidR="00890120" w:rsidRPr="0022163A" w:rsidRDefault="00890120" w:rsidP="00732988">
      <w:pPr>
        <w:numPr>
          <w:ilvl w:val="0"/>
          <w:numId w:val="6"/>
        </w:numPr>
        <w:spacing w:after="0" w:line="240" w:lineRule="auto"/>
        <w:ind w:right="142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Хүний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эрхийн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нөлөөлөл</w:t>
      </w:r>
      <w:proofErr w:type="spellEnd"/>
      <w:r w:rsidR="0022163A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хувилбар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шударга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үнэлэмжийг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хангах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хүний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эрхийн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үндсэн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зарчимтай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нийцэж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бөгөөд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иргэдийн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шударга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хөлс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авах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эрхийг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баталгаажуулна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>.</w:t>
      </w:r>
    </w:p>
    <w:p w14:paraId="61949281" w14:textId="77777777" w:rsidR="00991C3F" w:rsidRDefault="00991C3F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3EF5E54C" w14:textId="5A7F752B" w:rsidR="00991C3F" w:rsidRPr="0022163A" w:rsidRDefault="00890120" w:rsidP="00732988">
      <w:pPr>
        <w:pStyle w:val="ListParagraph"/>
        <w:numPr>
          <w:ilvl w:val="0"/>
          <w:numId w:val="6"/>
        </w:numPr>
        <w:spacing w:line="240" w:lineRule="auto"/>
        <w:ind w:right="142"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Эдийн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засгийн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нөлөөлөл</w:t>
      </w:r>
      <w:proofErr w:type="spellEnd"/>
      <w:r w:rsidR="0022163A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Өрхийн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нэмэгдэж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дотоодын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хэрэглээ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өсөх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замаар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эдийн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засгийн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өсөлтөд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эерэгээр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нөлөөлнө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бүтээмж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дээшилж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ажил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олгогчийн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зардлын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дарамт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буурна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>.</w:t>
      </w:r>
    </w:p>
    <w:p w14:paraId="5966ECB9" w14:textId="0F3B15A8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0EADF114" w14:textId="64C99F2D" w:rsidR="00890120" w:rsidRPr="0022163A" w:rsidRDefault="00890120" w:rsidP="00732988">
      <w:pPr>
        <w:numPr>
          <w:ilvl w:val="0"/>
          <w:numId w:val="11"/>
        </w:numPr>
        <w:spacing w:after="0" w:line="240" w:lineRule="auto"/>
        <w:ind w:right="142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Нийгмийн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нөлөөлөл</w:t>
      </w:r>
      <w:proofErr w:type="spellEnd"/>
      <w:r w:rsidR="0022163A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Иргэдийн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идэвх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нэмэгдэж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халамжаас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хөдөлмөрлүү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чиглэсэн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бодлогыг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дэмжинэ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Нийгмийн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шударга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ёс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хангагдаж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орлогын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ялгаа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багасна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>.</w:t>
      </w:r>
      <w:r w:rsidRPr="0022163A">
        <w:rPr>
          <w:rFonts w:ascii="Arial" w:hAnsi="Arial" w:cs="Arial"/>
          <w:color w:val="auto"/>
          <w:sz w:val="24"/>
          <w:szCs w:val="24"/>
        </w:rPr>
        <w:br/>
      </w:r>
    </w:p>
    <w:p w14:paraId="035DFDFF" w14:textId="7D49BA14" w:rsidR="00890120" w:rsidRPr="0022163A" w:rsidRDefault="00890120" w:rsidP="00732988">
      <w:pPr>
        <w:numPr>
          <w:ilvl w:val="0"/>
          <w:numId w:val="12"/>
        </w:numPr>
        <w:spacing w:after="0" w:line="240" w:lineRule="auto"/>
        <w:ind w:right="142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Байгаль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орчны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нөлөөлөл</w:t>
      </w:r>
      <w:proofErr w:type="spellEnd"/>
      <w:r w:rsidR="0022163A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чөлөөлөх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байгаль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орчинд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шууд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нөлөөлөл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үзүүлэхгүй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>.</w:t>
      </w:r>
    </w:p>
    <w:p w14:paraId="47E5C0D4" w14:textId="5654C668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6EA9CA52" w14:textId="7C35B0C8" w:rsidR="00890120" w:rsidRPr="0022163A" w:rsidRDefault="00890120" w:rsidP="00732988">
      <w:pPr>
        <w:numPr>
          <w:ilvl w:val="0"/>
          <w:numId w:val="13"/>
        </w:numPr>
        <w:spacing w:after="0" w:line="240" w:lineRule="auto"/>
        <w:ind w:right="142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Хууль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эрх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зүйн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нийцэл</w:t>
      </w:r>
      <w:proofErr w:type="spellEnd"/>
      <w:r w:rsidR="0022163A">
        <w:rPr>
          <w:rFonts w:ascii="Arial" w:hAnsi="Arial" w:cs="Arial"/>
          <w:color w:val="auto"/>
          <w:sz w:val="24"/>
          <w:szCs w:val="24"/>
        </w:rPr>
        <w:t xml:space="preserve">: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Монгол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Үндсэн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хууль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болон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олон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гэрээнд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нийцэж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байгаа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бөгөөд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хүний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эрхийн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зарчим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жендэрийн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тэгш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байдлыг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хангаж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22163A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22163A">
        <w:rPr>
          <w:rFonts w:ascii="Arial" w:hAnsi="Arial" w:cs="Arial"/>
          <w:color w:val="auto"/>
          <w:sz w:val="24"/>
          <w:szCs w:val="24"/>
        </w:rPr>
        <w:t>.</w:t>
      </w:r>
    </w:p>
    <w:p w14:paraId="02C391B2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0D67EDB0" w14:textId="7B35DD55" w:rsidR="00890120" w:rsidRPr="00890120" w:rsidRDefault="007F3175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b/>
          <w:bCs/>
          <w:color w:val="auto"/>
          <w:sz w:val="24"/>
          <w:szCs w:val="24"/>
        </w:rPr>
        <w:t>Дөрөв</w:t>
      </w:r>
      <w:proofErr w:type="spellEnd"/>
      <w:r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890120" w:rsidRPr="00890120">
        <w:rPr>
          <w:rFonts w:ascii="Arial" w:hAnsi="Arial" w:cs="Arial"/>
          <w:color w:val="auto"/>
          <w:sz w:val="24"/>
          <w:szCs w:val="24"/>
        </w:rPr>
        <w:t>.</w:t>
      </w:r>
      <w:proofErr w:type="gram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Зөвлөмж</w:t>
      </w:r>
      <w:proofErr w:type="spellEnd"/>
      <w:r w:rsidR="00890120"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890120" w:rsidRPr="00890120">
        <w:rPr>
          <w:rFonts w:ascii="Arial" w:hAnsi="Arial" w:cs="Arial"/>
          <w:color w:val="auto"/>
          <w:sz w:val="24"/>
          <w:szCs w:val="24"/>
        </w:rPr>
        <w:t>дүгнэлт</w:t>
      </w:r>
      <w:proofErr w:type="spellEnd"/>
    </w:p>
    <w:p w14:paraId="67162764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Хувь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хүний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албан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тухай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хуульд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оруулж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илүү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цагийн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хэсэгчлэн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татвараас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чөлөөлөх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зохицуулалт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хийхийг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зөвлөж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.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Энэ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өөрчлөлт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нь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ажилтны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бодит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өрхийн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амьдралын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чанарыг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дээшлүүлэх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ажил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олгогчийн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дарамтыг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бууруулах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хөдөлмөрийн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lastRenderedPageBreak/>
        <w:t>бүтээмжийг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өсгөх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эдийн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засгийн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идэвхийг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нэмэгдүүлэх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зэрэг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олон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талын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нөлөөтэй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 </w:t>
      </w:r>
    </w:p>
    <w:p w14:paraId="57F218D8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</w:p>
    <w:p w14:paraId="7DAFF76C" w14:textId="77777777" w:rsidR="00890120" w:rsidRPr="00890120" w:rsidRDefault="00890120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Хэдийгээр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улсын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төсвийн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орлого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богино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хугацаанд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буурах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боловч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дунд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хугацаанд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эдийн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засгийн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идэвхжил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нэмэгдэж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татварын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бааз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өргөжсөний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үр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дүнд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нөхөгдөх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боломжтой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гэж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үзэж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890120">
        <w:rPr>
          <w:rFonts w:ascii="Arial" w:hAnsi="Arial" w:cs="Arial"/>
          <w:color w:val="auto"/>
          <w:sz w:val="24"/>
          <w:szCs w:val="24"/>
        </w:rPr>
        <w:t>байна</w:t>
      </w:r>
      <w:proofErr w:type="spellEnd"/>
      <w:r w:rsidRPr="00890120">
        <w:rPr>
          <w:rFonts w:ascii="Arial" w:hAnsi="Arial" w:cs="Arial"/>
          <w:color w:val="auto"/>
          <w:sz w:val="24"/>
          <w:szCs w:val="24"/>
        </w:rPr>
        <w:t>.</w:t>
      </w:r>
    </w:p>
    <w:p w14:paraId="69DA5F4D" w14:textId="77777777" w:rsidR="00D92388" w:rsidRPr="00890120" w:rsidRDefault="00D92388" w:rsidP="00732988">
      <w:pPr>
        <w:spacing w:after="0" w:line="240" w:lineRule="auto"/>
        <w:ind w:right="142" w:firstLine="720"/>
        <w:contextualSpacing/>
        <w:jc w:val="both"/>
        <w:rPr>
          <w:rFonts w:ascii="Arial" w:hAnsi="Arial" w:cs="Arial"/>
          <w:color w:val="auto"/>
          <w:lang w:val="mn-MN"/>
        </w:rPr>
      </w:pPr>
    </w:p>
    <w:sectPr w:rsidR="00D92388" w:rsidRPr="00890120" w:rsidSect="007329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851" w:bottom="1701" w:left="1701" w:header="284" w:footer="1134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54BEE3" w14:textId="77777777" w:rsidR="00226431" w:rsidRDefault="00226431" w:rsidP="004D3878">
      <w:pPr>
        <w:spacing w:after="0" w:line="240" w:lineRule="auto"/>
      </w:pPr>
      <w:r>
        <w:separator/>
      </w:r>
    </w:p>
  </w:endnote>
  <w:endnote w:type="continuationSeparator" w:id="0">
    <w:p w14:paraId="2086B12B" w14:textId="77777777" w:rsidR="00226431" w:rsidRDefault="00226431" w:rsidP="004D3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88D62" w14:textId="77777777" w:rsidR="00D92388" w:rsidRDefault="00D923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488FE" w14:textId="36CF0B00" w:rsidR="008C6881" w:rsidRDefault="008C688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5321" w14:textId="77777777" w:rsidR="00D92388" w:rsidRDefault="00D923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8153" w14:textId="77777777" w:rsidR="00226431" w:rsidRDefault="00226431" w:rsidP="004D3878">
      <w:pPr>
        <w:spacing w:after="0" w:line="240" w:lineRule="auto"/>
      </w:pPr>
      <w:r>
        <w:separator/>
      </w:r>
    </w:p>
  </w:footnote>
  <w:footnote w:type="continuationSeparator" w:id="0">
    <w:p w14:paraId="2E9D0304" w14:textId="77777777" w:rsidR="00226431" w:rsidRDefault="00226431" w:rsidP="004D3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82BDF" w14:textId="77777777" w:rsidR="00D92388" w:rsidRDefault="00D923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F936D" w14:textId="77777777" w:rsidR="00D92388" w:rsidRDefault="00D923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238A7" w14:textId="77777777" w:rsidR="00D92388" w:rsidRDefault="00D923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A671B"/>
    <w:multiLevelType w:val="hybridMultilevel"/>
    <w:tmpl w:val="319EEF48"/>
    <w:lvl w:ilvl="0" w:tplc="54328B9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41239F"/>
    <w:multiLevelType w:val="hybridMultilevel"/>
    <w:tmpl w:val="998C1B6E"/>
    <w:lvl w:ilvl="0" w:tplc="F7BCAD58">
      <w:start w:val="2015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EA6143"/>
    <w:multiLevelType w:val="multilevel"/>
    <w:tmpl w:val="2EBC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7100ED"/>
    <w:multiLevelType w:val="multilevel"/>
    <w:tmpl w:val="3FB8C5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84D0E"/>
    <w:multiLevelType w:val="multilevel"/>
    <w:tmpl w:val="DA22F0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 w15:restartNumberingAfterBreak="0">
    <w:nsid w:val="3A0B07B4"/>
    <w:multiLevelType w:val="multilevel"/>
    <w:tmpl w:val="8724F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63851"/>
    <w:multiLevelType w:val="hybridMultilevel"/>
    <w:tmpl w:val="340AB64E"/>
    <w:lvl w:ilvl="0" w:tplc="7C58B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DE7328"/>
    <w:multiLevelType w:val="multilevel"/>
    <w:tmpl w:val="DA22F0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8" w15:restartNumberingAfterBreak="0">
    <w:nsid w:val="54EF1ED4"/>
    <w:multiLevelType w:val="multilevel"/>
    <w:tmpl w:val="DA22F0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55BB2E46"/>
    <w:multiLevelType w:val="multilevel"/>
    <w:tmpl w:val="DA22F0D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5C560F7A"/>
    <w:multiLevelType w:val="multilevel"/>
    <w:tmpl w:val="F3BE44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48760A"/>
    <w:multiLevelType w:val="multilevel"/>
    <w:tmpl w:val="546C48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E3700A4"/>
    <w:multiLevelType w:val="multilevel"/>
    <w:tmpl w:val="8D6259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70390">
    <w:abstractNumId w:val="1"/>
  </w:num>
  <w:num w:numId="2" w16cid:durableId="665522257">
    <w:abstractNumId w:val="6"/>
  </w:num>
  <w:num w:numId="3" w16cid:durableId="2113012307">
    <w:abstractNumId w:val="0"/>
  </w:num>
  <w:num w:numId="4" w16cid:durableId="448280136">
    <w:abstractNumId w:val="5"/>
  </w:num>
  <w:num w:numId="5" w16cid:durableId="928462957">
    <w:abstractNumId w:val="2"/>
  </w:num>
  <w:num w:numId="6" w16cid:durableId="1324162383">
    <w:abstractNumId w:val="8"/>
  </w:num>
  <w:num w:numId="7" w16cid:durableId="1151600371">
    <w:abstractNumId w:val="3"/>
    <w:lvlOverride w:ilvl="0">
      <w:lvl w:ilvl="0">
        <w:numFmt w:val="decimal"/>
        <w:lvlText w:val="%1."/>
        <w:lvlJc w:val="left"/>
      </w:lvl>
    </w:lvlOverride>
  </w:num>
  <w:num w:numId="8" w16cid:durableId="793060844">
    <w:abstractNumId w:val="11"/>
    <w:lvlOverride w:ilvl="0">
      <w:lvl w:ilvl="0">
        <w:numFmt w:val="decimal"/>
        <w:lvlText w:val="%1."/>
        <w:lvlJc w:val="left"/>
      </w:lvl>
    </w:lvlOverride>
  </w:num>
  <w:num w:numId="9" w16cid:durableId="2139184871">
    <w:abstractNumId w:val="10"/>
    <w:lvlOverride w:ilvl="0">
      <w:lvl w:ilvl="0">
        <w:numFmt w:val="decimal"/>
        <w:lvlText w:val="%1."/>
        <w:lvlJc w:val="left"/>
      </w:lvl>
    </w:lvlOverride>
  </w:num>
  <w:num w:numId="10" w16cid:durableId="98648810">
    <w:abstractNumId w:val="12"/>
    <w:lvlOverride w:ilvl="0">
      <w:lvl w:ilvl="0">
        <w:numFmt w:val="decimal"/>
        <w:lvlText w:val="%1."/>
        <w:lvlJc w:val="left"/>
      </w:lvl>
    </w:lvlOverride>
  </w:num>
  <w:num w:numId="11" w16cid:durableId="1349335482">
    <w:abstractNumId w:val="9"/>
  </w:num>
  <w:num w:numId="12" w16cid:durableId="1401752140">
    <w:abstractNumId w:val="4"/>
  </w:num>
  <w:num w:numId="13" w16cid:durableId="10029683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878"/>
    <w:rsid w:val="00001874"/>
    <w:rsid w:val="0000791B"/>
    <w:rsid w:val="0001140C"/>
    <w:rsid w:val="000302BF"/>
    <w:rsid w:val="00030E1B"/>
    <w:rsid w:val="00032E06"/>
    <w:rsid w:val="00053CFF"/>
    <w:rsid w:val="000654CE"/>
    <w:rsid w:val="000700C4"/>
    <w:rsid w:val="000806DA"/>
    <w:rsid w:val="000B162B"/>
    <w:rsid w:val="000C4FF6"/>
    <w:rsid w:val="000D036D"/>
    <w:rsid w:val="000D5D06"/>
    <w:rsid w:val="000D659C"/>
    <w:rsid w:val="000E26F1"/>
    <w:rsid w:val="000F1FDE"/>
    <w:rsid w:val="000F75C8"/>
    <w:rsid w:val="000F7FDF"/>
    <w:rsid w:val="00105B36"/>
    <w:rsid w:val="001069BE"/>
    <w:rsid w:val="0012211E"/>
    <w:rsid w:val="0015598B"/>
    <w:rsid w:val="001614D7"/>
    <w:rsid w:val="001745BA"/>
    <w:rsid w:val="001775E9"/>
    <w:rsid w:val="00191DB2"/>
    <w:rsid w:val="001B6DF5"/>
    <w:rsid w:val="001E13CD"/>
    <w:rsid w:val="001E5CD3"/>
    <w:rsid w:val="001E64BD"/>
    <w:rsid w:val="00212A8C"/>
    <w:rsid w:val="00214729"/>
    <w:rsid w:val="0022163A"/>
    <w:rsid w:val="00221A67"/>
    <w:rsid w:val="00226431"/>
    <w:rsid w:val="002268AE"/>
    <w:rsid w:val="00234CB6"/>
    <w:rsid w:val="00246049"/>
    <w:rsid w:val="002471C6"/>
    <w:rsid w:val="002474D8"/>
    <w:rsid w:val="00251C0B"/>
    <w:rsid w:val="00262112"/>
    <w:rsid w:val="00262C84"/>
    <w:rsid w:val="00285FF5"/>
    <w:rsid w:val="002A332E"/>
    <w:rsid w:val="002C1980"/>
    <w:rsid w:val="002C2C67"/>
    <w:rsid w:val="002C6949"/>
    <w:rsid w:val="002C752F"/>
    <w:rsid w:val="003069C7"/>
    <w:rsid w:val="0030792E"/>
    <w:rsid w:val="00312754"/>
    <w:rsid w:val="003176C3"/>
    <w:rsid w:val="003310C6"/>
    <w:rsid w:val="00371763"/>
    <w:rsid w:val="003766DD"/>
    <w:rsid w:val="00376C9D"/>
    <w:rsid w:val="00390301"/>
    <w:rsid w:val="003B5991"/>
    <w:rsid w:val="003D6A73"/>
    <w:rsid w:val="003D7152"/>
    <w:rsid w:val="003E0293"/>
    <w:rsid w:val="003F7052"/>
    <w:rsid w:val="003F7CC3"/>
    <w:rsid w:val="00404CE5"/>
    <w:rsid w:val="00406B44"/>
    <w:rsid w:val="0041673D"/>
    <w:rsid w:val="004239AF"/>
    <w:rsid w:val="00424887"/>
    <w:rsid w:val="0043746F"/>
    <w:rsid w:val="00451F05"/>
    <w:rsid w:val="004578C5"/>
    <w:rsid w:val="00485E10"/>
    <w:rsid w:val="00486AB6"/>
    <w:rsid w:val="00490660"/>
    <w:rsid w:val="004B1933"/>
    <w:rsid w:val="004B7F9D"/>
    <w:rsid w:val="004C57E3"/>
    <w:rsid w:val="004C6ABC"/>
    <w:rsid w:val="004D09AD"/>
    <w:rsid w:val="004D3878"/>
    <w:rsid w:val="004D4621"/>
    <w:rsid w:val="004E7316"/>
    <w:rsid w:val="004F04FA"/>
    <w:rsid w:val="004F34D9"/>
    <w:rsid w:val="0050068C"/>
    <w:rsid w:val="005026B8"/>
    <w:rsid w:val="005039CF"/>
    <w:rsid w:val="00507270"/>
    <w:rsid w:val="005157DE"/>
    <w:rsid w:val="00515BE5"/>
    <w:rsid w:val="00522850"/>
    <w:rsid w:val="00556B4C"/>
    <w:rsid w:val="0056211B"/>
    <w:rsid w:val="0056696B"/>
    <w:rsid w:val="00573F2E"/>
    <w:rsid w:val="00583033"/>
    <w:rsid w:val="00583F92"/>
    <w:rsid w:val="005A40A1"/>
    <w:rsid w:val="005A7F33"/>
    <w:rsid w:val="005C54DA"/>
    <w:rsid w:val="005D2188"/>
    <w:rsid w:val="005D237D"/>
    <w:rsid w:val="005F4434"/>
    <w:rsid w:val="005F6BA1"/>
    <w:rsid w:val="006039F5"/>
    <w:rsid w:val="00612552"/>
    <w:rsid w:val="00614D9D"/>
    <w:rsid w:val="0062721C"/>
    <w:rsid w:val="0064025F"/>
    <w:rsid w:val="00655148"/>
    <w:rsid w:val="00662CC6"/>
    <w:rsid w:val="00692989"/>
    <w:rsid w:val="00692C4E"/>
    <w:rsid w:val="006B0327"/>
    <w:rsid w:val="006B5396"/>
    <w:rsid w:val="006D1720"/>
    <w:rsid w:val="00703003"/>
    <w:rsid w:val="00705167"/>
    <w:rsid w:val="0071706F"/>
    <w:rsid w:val="007326DA"/>
    <w:rsid w:val="00732988"/>
    <w:rsid w:val="00750D64"/>
    <w:rsid w:val="00752AA9"/>
    <w:rsid w:val="0077211C"/>
    <w:rsid w:val="00775F5E"/>
    <w:rsid w:val="00791456"/>
    <w:rsid w:val="007A37F7"/>
    <w:rsid w:val="007B132A"/>
    <w:rsid w:val="007C083E"/>
    <w:rsid w:val="007E6A95"/>
    <w:rsid w:val="007F3175"/>
    <w:rsid w:val="007F5F1F"/>
    <w:rsid w:val="00805B95"/>
    <w:rsid w:val="00815E5C"/>
    <w:rsid w:val="008160CF"/>
    <w:rsid w:val="00835D70"/>
    <w:rsid w:val="00837477"/>
    <w:rsid w:val="00840EE8"/>
    <w:rsid w:val="00847A7C"/>
    <w:rsid w:val="008507A7"/>
    <w:rsid w:val="00856856"/>
    <w:rsid w:val="0087381C"/>
    <w:rsid w:val="00877E11"/>
    <w:rsid w:val="008836DC"/>
    <w:rsid w:val="00890120"/>
    <w:rsid w:val="00892F17"/>
    <w:rsid w:val="008A5F5E"/>
    <w:rsid w:val="008B75BA"/>
    <w:rsid w:val="008C6881"/>
    <w:rsid w:val="008C7394"/>
    <w:rsid w:val="008D24CA"/>
    <w:rsid w:val="008E776C"/>
    <w:rsid w:val="008E78EE"/>
    <w:rsid w:val="00902233"/>
    <w:rsid w:val="00906C7D"/>
    <w:rsid w:val="00915793"/>
    <w:rsid w:val="009157B8"/>
    <w:rsid w:val="00915F6A"/>
    <w:rsid w:val="009248A4"/>
    <w:rsid w:val="009639D4"/>
    <w:rsid w:val="00975FD1"/>
    <w:rsid w:val="00991C3F"/>
    <w:rsid w:val="00994C72"/>
    <w:rsid w:val="009B031E"/>
    <w:rsid w:val="009C17D7"/>
    <w:rsid w:val="009D2159"/>
    <w:rsid w:val="009D43D5"/>
    <w:rsid w:val="009F1F58"/>
    <w:rsid w:val="009F4024"/>
    <w:rsid w:val="00A025AD"/>
    <w:rsid w:val="00A03B9A"/>
    <w:rsid w:val="00A15F61"/>
    <w:rsid w:val="00A217D9"/>
    <w:rsid w:val="00A357AB"/>
    <w:rsid w:val="00A40D4E"/>
    <w:rsid w:val="00A41BD0"/>
    <w:rsid w:val="00A4387D"/>
    <w:rsid w:val="00A45613"/>
    <w:rsid w:val="00A6291C"/>
    <w:rsid w:val="00A656BA"/>
    <w:rsid w:val="00A72CA6"/>
    <w:rsid w:val="00A76DB9"/>
    <w:rsid w:val="00A81412"/>
    <w:rsid w:val="00AB4F66"/>
    <w:rsid w:val="00AB5A5A"/>
    <w:rsid w:val="00AC5886"/>
    <w:rsid w:val="00AD3244"/>
    <w:rsid w:val="00AD35C4"/>
    <w:rsid w:val="00AE201C"/>
    <w:rsid w:val="00AE5F18"/>
    <w:rsid w:val="00B06778"/>
    <w:rsid w:val="00B10C0B"/>
    <w:rsid w:val="00B14A7C"/>
    <w:rsid w:val="00B25A5B"/>
    <w:rsid w:val="00B2677A"/>
    <w:rsid w:val="00B44C31"/>
    <w:rsid w:val="00B473C9"/>
    <w:rsid w:val="00B75AB5"/>
    <w:rsid w:val="00B75C5F"/>
    <w:rsid w:val="00B90128"/>
    <w:rsid w:val="00BB2A52"/>
    <w:rsid w:val="00BC1008"/>
    <w:rsid w:val="00BC6F7B"/>
    <w:rsid w:val="00BE6F04"/>
    <w:rsid w:val="00BF31DA"/>
    <w:rsid w:val="00BF4B61"/>
    <w:rsid w:val="00C115A3"/>
    <w:rsid w:val="00C12BF2"/>
    <w:rsid w:val="00C1605C"/>
    <w:rsid w:val="00C16EE0"/>
    <w:rsid w:val="00C208D6"/>
    <w:rsid w:val="00C20B5F"/>
    <w:rsid w:val="00C23ECD"/>
    <w:rsid w:val="00C314E3"/>
    <w:rsid w:val="00C4293F"/>
    <w:rsid w:val="00C674B9"/>
    <w:rsid w:val="00CA5879"/>
    <w:rsid w:val="00CB6FC2"/>
    <w:rsid w:val="00CE6A5E"/>
    <w:rsid w:val="00CF5364"/>
    <w:rsid w:val="00CF7C86"/>
    <w:rsid w:val="00D41F17"/>
    <w:rsid w:val="00D421C4"/>
    <w:rsid w:val="00D66932"/>
    <w:rsid w:val="00D853D1"/>
    <w:rsid w:val="00D91A58"/>
    <w:rsid w:val="00D92388"/>
    <w:rsid w:val="00D93DB4"/>
    <w:rsid w:val="00DA5481"/>
    <w:rsid w:val="00DC1335"/>
    <w:rsid w:val="00DE4033"/>
    <w:rsid w:val="00DF02BB"/>
    <w:rsid w:val="00E13775"/>
    <w:rsid w:val="00E13E6E"/>
    <w:rsid w:val="00E14601"/>
    <w:rsid w:val="00E25812"/>
    <w:rsid w:val="00E3591A"/>
    <w:rsid w:val="00E43E19"/>
    <w:rsid w:val="00E46A7D"/>
    <w:rsid w:val="00E53F1F"/>
    <w:rsid w:val="00E85607"/>
    <w:rsid w:val="00E92937"/>
    <w:rsid w:val="00EB78F3"/>
    <w:rsid w:val="00EC1CE5"/>
    <w:rsid w:val="00EC68BB"/>
    <w:rsid w:val="00ED39EC"/>
    <w:rsid w:val="00ED3A7F"/>
    <w:rsid w:val="00EF057E"/>
    <w:rsid w:val="00EF30A7"/>
    <w:rsid w:val="00F00524"/>
    <w:rsid w:val="00F05609"/>
    <w:rsid w:val="00F06A2B"/>
    <w:rsid w:val="00F0786A"/>
    <w:rsid w:val="00F11238"/>
    <w:rsid w:val="00F20489"/>
    <w:rsid w:val="00F23122"/>
    <w:rsid w:val="00F364A3"/>
    <w:rsid w:val="00F91EF3"/>
    <w:rsid w:val="00F96EA4"/>
    <w:rsid w:val="00FA15BC"/>
    <w:rsid w:val="00FA6D3B"/>
    <w:rsid w:val="00FA7264"/>
    <w:rsid w:val="00FB1D53"/>
    <w:rsid w:val="00FB3773"/>
    <w:rsid w:val="00FB5359"/>
    <w:rsid w:val="00FE22CB"/>
    <w:rsid w:val="00FE346A"/>
    <w:rsid w:val="00F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755D6"/>
  <w15:docId w15:val="{28F0EFD3-4134-47E1-A750-7DB1B520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92C4E"/>
    <w:pPr>
      <w:suppressAutoHyphens/>
    </w:pPr>
    <w:rPr>
      <w:rFonts w:ascii="Calibri" w:eastAsia="SimSun" w:hAnsi="Calibri" w:cs="Calibri"/>
      <w:color w:val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4D38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rsid w:val="004D3878"/>
    <w:pPr>
      <w:spacing w:after="120"/>
    </w:pPr>
  </w:style>
  <w:style w:type="paragraph" w:styleId="List">
    <w:name w:val="List"/>
    <w:basedOn w:val="Textbody"/>
    <w:rsid w:val="004D3878"/>
    <w:rPr>
      <w:rFonts w:ascii="Arial" w:hAnsi="Arial" w:cs="Mangal"/>
    </w:rPr>
  </w:style>
  <w:style w:type="paragraph" w:styleId="Caption">
    <w:name w:val="caption"/>
    <w:basedOn w:val="Normal"/>
    <w:rsid w:val="004D3878"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customStyle="1" w:styleId="Index">
    <w:name w:val="Index"/>
    <w:basedOn w:val="Normal"/>
    <w:rsid w:val="004D3878"/>
    <w:pPr>
      <w:suppressLineNumbers/>
    </w:pPr>
    <w:rPr>
      <w:rFonts w:ascii="Arial" w:hAnsi="Arial" w:cs="Mangal"/>
    </w:rPr>
  </w:style>
  <w:style w:type="paragraph" w:styleId="NormalWeb">
    <w:name w:val="Normal (Web)"/>
    <w:basedOn w:val="Normal"/>
    <w:uiPriority w:val="99"/>
    <w:rsid w:val="004D3878"/>
    <w:pPr>
      <w:spacing w:before="28" w:after="28" w:line="100" w:lineRule="atLeas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3878"/>
    <w:pPr>
      <w:spacing w:after="0" w:line="100" w:lineRule="atLeast"/>
      <w:ind w:left="720"/>
      <w:contextualSpacing/>
    </w:pPr>
    <w:rPr>
      <w:rFonts w:ascii="Verdana" w:eastAsia="Verdana" w:hAnsi="Verdana" w:cs="Times New Roman"/>
      <w:sz w:val="15"/>
      <w:szCs w:val="16"/>
    </w:rPr>
  </w:style>
  <w:style w:type="paragraph" w:styleId="Footer">
    <w:name w:val="footer"/>
    <w:basedOn w:val="Normal"/>
    <w:rsid w:val="004D3878"/>
    <w:pPr>
      <w:suppressLineNumbers/>
      <w:tabs>
        <w:tab w:val="center" w:pos="4844"/>
        <w:tab w:val="right" w:pos="9689"/>
      </w:tabs>
    </w:pPr>
  </w:style>
  <w:style w:type="paragraph" w:styleId="Header">
    <w:name w:val="header"/>
    <w:basedOn w:val="Normal"/>
    <w:link w:val="HeaderChar"/>
    <w:uiPriority w:val="99"/>
    <w:unhideWhenUsed/>
    <w:rsid w:val="00155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598B"/>
    <w:rPr>
      <w:rFonts w:ascii="Calibri" w:eastAsia="SimSun" w:hAnsi="Calibri" w:cs="Calibri"/>
      <w:color w:val="00000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98B"/>
    <w:rPr>
      <w:rFonts w:ascii="Tahoma" w:eastAsia="SimSun" w:hAnsi="Tahoma" w:cs="Tahoma"/>
      <w:color w:val="00000A"/>
      <w:sz w:val="16"/>
      <w:szCs w:val="16"/>
    </w:rPr>
  </w:style>
  <w:style w:type="character" w:styleId="Strong">
    <w:name w:val="Strong"/>
    <w:basedOn w:val="DefaultParagraphFont"/>
    <w:uiPriority w:val="22"/>
    <w:qFormat/>
    <w:rsid w:val="00705167"/>
    <w:rPr>
      <w:b/>
      <w:bCs/>
    </w:rPr>
  </w:style>
  <w:style w:type="table" w:styleId="TableGrid">
    <w:name w:val="Table Grid"/>
    <w:basedOn w:val="TableNormal"/>
    <w:uiPriority w:val="59"/>
    <w:rsid w:val="00655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528D1-002B-4E3F-AFA4-45A2179A9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Bat-Erdene</dc:creator>
  <cp:lastModifiedBy>user</cp:lastModifiedBy>
  <cp:revision>14</cp:revision>
  <cp:lastPrinted>2025-10-02T05:13:00Z</cp:lastPrinted>
  <dcterms:created xsi:type="dcterms:W3CDTF">2025-10-01T13:12:00Z</dcterms:created>
  <dcterms:modified xsi:type="dcterms:W3CDTF">2025-10-02T05:13:00Z</dcterms:modified>
</cp:coreProperties>
</file>