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D8A7" w14:textId="77777777" w:rsidR="000A6E31" w:rsidRPr="00EC102E" w:rsidRDefault="000A6E31">
      <w:pPr>
        <w:widowControl w:val="0"/>
        <w:spacing w:after="0" w:line="240" w:lineRule="auto"/>
        <w:ind w:left="873"/>
        <w:rPr>
          <w:rFonts w:ascii="Arial" w:eastAsia="Arial" w:hAnsi="Arial" w:cs="Arial"/>
          <w:sz w:val="24"/>
          <w:szCs w:val="24"/>
          <w:lang w:val="mn-MN"/>
        </w:rPr>
      </w:pPr>
    </w:p>
    <w:p w14:paraId="7D9B3A4F" w14:textId="77777777" w:rsidR="000A6E31" w:rsidRPr="00EC102E" w:rsidRDefault="000A6E31">
      <w:pPr>
        <w:widowControl w:val="0"/>
        <w:spacing w:before="6" w:after="0" w:line="240" w:lineRule="auto"/>
        <w:rPr>
          <w:rFonts w:ascii="Arial" w:eastAsia="Arial" w:hAnsi="Arial" w:cs="Arial"/>
          <w:b/>
          <w:sz w:val="24"/>
          <w:szCs w:val="24"/>
          <w:lang w:val="mn-MN"/>
        </w:rPr>
      </w:pPr>
    </w:p>
    <w:p w14:paraId="4718D904" w14:textId="77777777" w:rsidR="000A6E31" w:rsidRPr="00EC102E" w:rsidRDefault="000A6E31">
      <w:pPr>
        <w:widowControl w:val="0"/>
        <w:spacing w:after="0" w:line="240" w:lineRule="auto"/>
        <w:rPr>
          <w:rFonts w:ascii="Arial" w:eastAsia="Arial" w:hAnsi="Arial" w:cs="Arial"/>
          <w:b/>
          <w:sz w:val="24"/>
          <w:szCs w:val="24"/>
          <w:lang w:val="mn-MN"/>
        </w:rPr>
      </w:pPr>
    </w:p>
    <w:p w14:paraId="1F4A5316" w14:textId="77777777" w:rsidR="000A6E31" w:rsidRPr="00EC102E" w:rsidRDefault="000A6E31">
      <w:pPr>
        <w:widowControl w:val="0"/>
        <w:spacing w:after="0" w:line="240" w:lineRule="auto"/>
        <w:rPr>
          <w:rFonts w:ascii="Arial" w:eastAsia="Arial" w:hAnsi="Arial" w:cs="Arial"/>
          <w:b/>
          <w:sz w:val="24"/>
          <w:szCs w:val="24"/>
          <w:lang w:val="mn-MN"/>
        </w:rPr>
      </w:pPr>
    </w:p>
    <w:p w14:paraId="0162244D" w14:textId="77777777" w:rsidR="000A6E31" w:rsidRPr="00EC102E" w:rsidRDefault="000A6E31">
      <w:pPr>
        <w:widowControl w:val="0"/>
        <w:spacing w:after="0" w:line="240" w:lineRule="auto"/>
        <w:rPr>
          <w:rFonts w:ascii="Arial" w:eastAsia="Arial" w:hAnsi="Arial" w:cs="Arial"/>
          <w:b/>
          <w:sz w:val="24"/>
          <w:szCs w:val="24"/>
          <w:lang w:val="mn-MN"/>
        </w:rPr>
      </w:pPr>
    </w:p>
    <w:p w14:paraId="2D173F04" w14:textId="77777777" w:rsidR="000A6E31" w:rsidRPr="00EC102E" w:rsidRDefault="000A6E31">
      <w:pPr>
        <w:widowControl w:val="0"/>
        <w:spacing w:after="0" w:line="240" w:lineRule="auto"/>
        <w:rPr>
          <w:rFonts w:ascii="Arial" w:eastAsia="Arial" w:hAnsi="Arial" w:cs="Arial"/>
          <w:b/>
          <w:sz w:val="24"/>
          <w:szCs w:val="24"/>
          <w:lang w:val="mn-MN"/>
        </w:rPr>
      </w:pPr>
    </w:p>
    <w:p w14:paraId="6FD95A43" w14:textId="77777777" w:rsidR="000A6E31" w:rsidRPr="00EC102E" w:rsidRDefault="000A6E31">
      <w:pPr>
        <w:widowControl w:val="0"/>
        <w:spacing w:after="0" w:line="240" w:lineRule="auto"/>
        <w:rPr>
          <w:rFonts w:ascii="Arial" w:eastAsia="Arial" w:hAnsi="Arial" w:cs="Arial"/>
          <w:b/>
          <w:sz w:val="24"/>
          <w:szCs w:val="24"/>
          <w:lang w:val="mn-MN"/>
        </w:rPr>
      </w:pPr>
    </w:p>
    <w:p w14:paraId="0068B192" w14:textId="77777777" w:rsidR="000A6E31" w:rsidRPr="00EC102E" w:rsidRDefault="000A6E31">
      <w:pPr>
        <w:widowControl w:val="0"/>
        <w:spacing w:after="0" w:line="240" w:lineRule="auto"/>
        <w:jc w:val="center"/>
        <w:rPr>
          <w:rFonts w:ascii="Arial" w:eastAsia="Arial" w:hAnsi="Arial" w:cs="Arial"/>
          <w:b/>
          <w:sz w:val="24"/>
          <w:szCs w:val="24"/>
          <w:lang w:val="mn-MN"/>
        </w:rPr>
      </w:pPr>
    </w:p>
    <w:p w14:paraId="4B70D53A" w14:textId="77777777" w:rsidR="000A6E31" w:rsidRPr="00EC102E" w:rsidRDefault="000A6E31">
      <w:pPr>
        <w:widowControl w:val="0"/>
        <w:spacing w:after="0" w:line="240" w:lineRule="auto"/>
        <w:jc w:val="center"/>
        <w:rPr>
          <w:rFonts w:ascii="Arial" w:eastAsia="Arial" w:hAnsi="Arial" w:cs="Arial"/>
          <w:b/>
          <w:sz w:val="24"/>
          <w:szCs w:val="24"/>
          <w:lang w:val="mn-MN"/>
        </w:rPr>
      </w:pPr>
    </w:p>
    <w:p w14:paraId="42B0EBD6" w14:textId="77777777" w:rsidR="000A6E31" w:rsidRPr="00EC102E" w:rsidRDefault="000A6E31">
      <w:pPr>
        <w:widowControl w:val="0"/>
        <w:spacing w:after="0" w:line="240" w:lineRule="auto"/>
        <w:jc w:val="center"/>
        <w:rPr>
          <w:rFonts w:ascii="Arial" w:eastAsia="Arial" w:hAnsi="Arial" w:cs="Arial"/>
          <w:b/>
          <w:sz w:val="24"/>
          <w:szCs w:val="24"/>
          <w:lang w:val="mn-MN"/>
        </w:rPr>
      </w:pPr>
    </w:p>
    <w:p w14:paraId="185449D6" w14:textId="77777777" w:rsidR="000A6E31" w:rsidRPr="00EC102E" w:rsidRDefault="000A6E31">
      <w:pPr>
        <w:widowControl w:val="0"/>
        <w:spacing w:after="0" w:line="240" w:lineRule="auto"/>
        <w:jc w:val="center"/>
        <w:rPr>
          <w:rFonts w:ascii="Arial" w:eastAsia="Arial" w:hAnsi="Arial" w:cs="Arial"/>
          <w:b/>
          <w:sz w:val="24"/>
          <w:szCs w:val="24"/>
          <w:lang w:val="mn-MN"/>
        </w:rPr>
      </w:pPr>
    </w:p>
    <w:p w14:paraId="49C23C9A" w14:textId="77777777" w:rsidR="00307DDA" w:rsidRPr="00EC102E" w:rsidRDefault="00DF52AE">
      <w:pPr>
        <w:widowControl w:val="0"/>
        <w:spacing w:after="0" w:line="240" w:lineRule="auto"/>
        <w:jc w:val="center"/>
        <w:rPr>
          <w:rFonts w:ascii="Arial" w:eastAsia="Arial" w:hAnsi="Arial" w:cs="Arial"/>
          <w:b/>
          <w:sz w:val="24"/>
          <w:szCs w:val="24"/>
          <w:lang w:val="mn-MN"/>
        </w:rPr>
      </w:pPr>
      <w:r w:rsidRPr="00EC102E">
        <w:rPr>
          <w:rFonts w:ascii="Arial" w:eastAsia="Arial" w:hAnsi="Arial" w:cs="Arial"/>
          <w:b/>
          <w:sz w:val="24"/>
          <w:szCs w:val="24"/>
          <w:lang w:val="mn-MN"/>
        </w:rPr>
        <w:t xml:space="preserve">ХҮҮХДИЙН ХӨГЖЛИЙГ ДЭМЖИХ ХУУЛЬ ЭРХ ЗҮЙН ОРЧНЫГ САЙЖРУУЛАХ ТӨСЛИЙГ БОЛОВСРУУЛАХ ХЭРЭГЦЭЭ,  ШААРДЛАГЫГ УРЬДЧИЛАН </w:t>
      </w:r>
    </w:p>
    <w:p w14:paraId="74A14917" w14:textId="1C2B7207" w:rsidR="000A6E31" w:rsidRPr="00EC102E" w:rsidRDefault="00DF52AE">
      <w:pPr>
        <w:widowControl w:val="0"/>
        <w:spacing w:after="0" w:line="240" w:lineRule="auto"/>
        <w:jc w:val="center"/>
        <w:rPr>
          <w:rFonts w:ascii="Arial" w:eastAsia="Arial" w:hAnsi="Arial" w:cs="Arial"/>
          <w:b/>
          <w:sz w:val="24"/>
          <w:szCs w:val="24"/>
          <w:lang w:val="mn-MN"/>
        </w:rPr>
      </w:pPr>
      <w:r w:rsidRPr="00EC102E">
        <w:rPr>
          <w:rFonts w:ascii="Arial" w:eastAsia="Arial" w:hAnsi="Arial" w:cs="Arial"/>
          <w:b/>
          <w:sz w:val="24"/>
          <w:szCs w:val="24"/>
          <w:lang w:val="mn-MN"/>
        </w:rPr>
        <w:t>ТАНДАН СУДАЛСАН ҮНЭЛГЭЭНИЙ ТАЙЛАН</w:t>
      </w:r>
    </w:p>
    <w:p w14:paraId="6A7DF9F4" w14:textId="77777777" w:rsidR="000A6E31" w:rsidRPr="00EC102E" w:rsidRDefault="000A6E31">
      <w:pPr>
        <w:widowControl w:val="0"/>
        <w:spacing w:after="0" w:line="240" w:lineRule="auto"/>
        <w:rPr>
          <w:rFonts w:ascii="Arial" w:eastAsia="Arial" w:hAnsi="Arial" w:cs="Arial"/>
          <w:b/>
          <w:sz w:val="24"/>
          <w:szCs w:val="24"/>
          <w:lang w:val="mn-MN"/>
        </w:rPr>
      </w:pPr>
    </w:p>
    <w:p w14:paraId="7DEAF68E" w14:textId="77777777" w:rsidR="000A6E31" w:rsidRPr="00EC102E" w:rsidRDefault="000A6E31">
      <w:pPr>
        <w:widowControl w:val="0"/>
        <w:spacing w:before="3" w:after="0" w:line="240" w:lineRule="auto"/>
        <w:rPr>
          <w:rFonts w:ascii="Arial" w:eastAsia="Arial" w:hAnsi="Arial" w:cs="Arial"/>
          <w:b/>
          <w:sz w:val="24"/>
          <w:szCs w:val="24"/>
          <w:lang w:val="mn-MN"/>
        </w:rPr>
      </w:pPr>
    </w:p>
    <w:p w14:paraId="3A019B86" w14:textId="77777777" w:rsidR="000A6E31" w:rsidRPr="00EC102E" w:rsidRDefault="000A6E31">
      <w:pPr>
        <w:widowControl w:val="0"/>
        <w:spacing w:after="0" w:line="240" w:lineRule="auto"/>
        <w:rPr>
          <w:rFonts w:ascii="Arial" w:eastAsia="Arial" w:hAnsi="Arial" w:cs="Arial"/>
          <w:b/>
          <w:sz w:val="24"/>
          <w:szCs w:val="24"/>
          <w:lang w:val="mn-MN"/>
        </w:rPr>
      </w:pPr>
    </w:p>
    <w:p w14:paraId="6AB839EB" w14:textId="77777777" w:rsidR="000A6E31" w:rsidRPr="00EC102E" w:rsidRDefault="000A6E31">
      <w:pPr>
        <w:widowControl w:val="0"/>
        <w:spacing w:after="0" w:line="240" w:lineRule="auto"/>
        <w:rPr>
          <w:rFonts w:ascii="Arial" w:eastAsia="Arial" w:hAnsi="Arial" w:cs="Arial"/>
          <w:b/>
          <w:sz w:val="24"/>
          <w:szCs w:val="24"/>
          <w:lang w:val="mn-MN"/>
        </w:rPr>
      </w:pPr>
    </w:p>
    <w:p w14:paraId="3892EF32" w14:textId="77777777" w:rsidR="000A6E31" w:rsidRPr="00EC102E" w:rsidRDefault="000A6E31">
      <w:pPr>
        <w:widowControl w:val="0"/>
        <w:spacing w:after="0" w:line="240" w:lineRule="auto"/>
        <w:rPr>
          <w:rFonts w:ascii="Arial" w:eastAsia="Arial" w:hAnsi="Arial" w:cs="Arial"/>
          <w:b/>
          <w:sz w:val="24"/>
          <w:szCs w:val="24"/>
          <w:lang w:val="mn-MN"/>
        </w:rPr>
      </w:pPr>
    </w:p>
    <w:p w14:paraId="77EF308B" w14:textId="77777777" w:rsidR="000A6E31" w:rsidRPr="00EC102E" w:rsidRDefault="000A6E31">
      <w:pPr>
        <w:widowControl w:val="0"/>
        <w:spacing w:before="5" w:after="0" w:line="240" w:lineRule="auto"/>
        <w:rPr>
          <w:rFonts w:ascii="Arial" w:eastAsia="Arial" w:hAnsi="Arial" w:cs="Arial"/>
          <w:sz w:val="24"/>
          <w:szCs w:val="24"/>
          <w:lang w:val="mn-MN"/>
        </w:rPr>
      </w:pPr>
    </w:p>
    <w:p w14:paraId="2E264D77" w14:textId="77777777" w:rsidR="000A6E31" w:rsidRPr="00EC102E" w:rsidRDefault="000A6E31">
      <w:pPr>
        <w:widowControl w:val="0"/>
        <w:spacing w:before="1" w:after="0" w:line="240" w:lineRule="auto"/>
        <w:ind w:left="245"/>
        <w:rPr>
          <w:rFonts w:ascii="Arial" w:eastAsia="Arial" w:hAnsi="Arial" w:cs="Arial"/>
          <w:sz w:val="24"/>
          <w:szCs w:val="24"/>
          <w:lang w:val="mn-MN"/>
        </w:rPr>
      </w:pPr>
    </w:p>
    <w:p w14:paraId="0E76A992" w14:textId="77777777" w:rsidR="000A6E31" w:rsidRPr="00EC102E" w:rsidRDefault="000A6E31">
      <w:pPr>
        <w:widowControl w:val="0"/>
        <w:spacing w:before="11" w:after="0" w:line="240" w:lineRule="auto"/>
        <w:rPr>
          <w:rFonts w:ascii="Arial" w:eastAsia="Arial" w:hAnsi="Arial" w:cs="Arial"/>
          <w:sz w:val="24"/>
          <w:szCs w:val="24"/>
          <w:lang w:val="mn-MN"/>
        </w:rPr>
      </w:pPr>
    </w:p>
    <w:p w14:paraId="7954099F" w14:textId="7A665336" w:rsidR="000A6E31" w:rsidRPr="00EC102E" w:rsidRDefault="00DF52AE">
      <w:pPr>
        <w:widowControl w:val="0"/>
        <w:tabs>
          <w:tab w:val="left" w:pos="3739"/>
        </w:tabs>
        <w:spacing w:before="92" w:after="0" w:line="240" w:lineRule="auto"/>
        <w:rPr>
          <w:rFonts w:ascii="Arial" w:eastAsia="Arial" w:hAnsi="Arial" w:cs="Arial"/>
          <w:sz w:val="24"/>
          <w:szCs w:val="24"/>
          <w:lang w:val="mn-MN"/>
        </w:rPr>
      </w:pPr>
      <w:r w:rsidRPr="00EC102E">
        <w:rPr>
          <w:rFonts w:ascii="Arial" w:eastAsia="Arial" w:hAnsi="Arial" w:cs="Arial"/>
          <w:sz w:val="24"/>
          <w:szCs w:val="24"/>
          <w:lang w:val="mn-MN"/>
        </w:rPr>
        <w:t>Захиалагч:</w:t>
      </w:r>
      <w:r w:rsidR="00307DDA" w:rsidRPr="00EC102E">
        <w:rPr>
          <w:rFonts w:ascii="Arial" w:eastAsia="Arial" w:hAnsi="Arial" w:cs="Arial"/>
          <w:sz w:val="24"/>
          <w:szCs w:val="24"/>
          <w:lang w:val="mn-MN"/>
        </w:rPr>
        <w:t xml:space="preserve">                                   </w:t>
      </w:r>
      <w:r w:rsidRPr="00EC102E">
        <w:rPr>
          <w:rFonts w:ascii="Arial" w:eastAsia="Arial" w:hAnsi="Arial" w:cs="Arial"/>
          <w:sz w:val="24"/>
          <w:szCs w:val="24"/>
          <w:lang w:val="mn-MN"/>
        </w:rPr>
        <w:t>УИХ-ын гишүүн М.Бадамсүрэн</w:t>
      </w:r>
    </w:p>
    <w:p w14:paraId="280212D2" w14:textId="77777777" w:rsidR="000A6E31" w:rsidRPr="00EC102E" w:rsidRDefault="00DF52AE">
      <w:pPr>
        <w:widowControl w:val="0"/>
        <w:tabs>
          <w:tab w:val="left" w:pos="3739"/>
        </w:tabs>
        <w:spacing w:after="0" w:line="240" w:lineRule="auto"/>
        <w:ind w:left="3740" w:right="1610" w:hanging="3600"/>
        <w:rPr>
          <w:rFonts w:ascii="Arial" w:eastAsia="Arial" w:hAnsi="Arial" w:cs="Arial"/>
          <w:sz w:val="24"/>
          <w:szCs w:val="24"/>
          <w:lang w:val="mn-MN"/>
        </w:rPr>
      </w:pPr>
      <w:r w:rsidRPr="00EC102E">
        <w:rPr>
          <w:rFonts w:ascii="Arial" w:eastAsia="Arial" w:hAnsi="Arial" w:cs="Arial"/>
          <w:sz w:val="24"/>
          <w:szCs w:val="24"/>
          <w:lang w:val="mn-MN"/>
        </w:rPr>
        <w:tab/>
      </w:r>
    </w:p>
    <w:p w14:paraId="7298D814"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 xml:space="preserve">Судалгаа удирдсан: </w:t>
      </w:r>
      <w:r w:rsidRPr="00EC102E">
        <w:rPr>
          <w:rFonts w:ascii="Arial" w:eastAsia="Arial" w:hAnsi="Arial" w:cs="Arial"/>
          <w:sz w:val="24"/>
          <w:szCs w:val="24"/>
          <w:lang w:val="mn-MN"/>
        </w:rPr>
        <w:tab/>
      </w:r>
      <w:r w:rsidRPr="00EC102E">
        <w:rPr>
          <w:rFonts w:ascii="Arial" w:eastAsia="Arial" w:hAnsi="Arial" w:cs="Arial"/>
          <w:sz w:val="24"/>
          <w:szCs w:val="24"/>
          <w:lang w:val="mn-MN"/>
        </w:rPr>
        <w:tab/>
        <w:t xml:space="preserve">“Жастис энд Экуалити консалтинг” ХХК-ийн </w:t>
      </w:r>
    </w:p>
    <w:p w14:paraId="6CA676A4" w14:textId="42934590" w:rsidR="000A6E31" w:rsidRPr="00EC102E" w:rsidRDefault="00DF52AE">
      <w:pPr>
        <w:spacing w:after="0" w:line="240" w:lineRule="auto"/>
        <w:ind w:left="2880" w:firstLine="720"/>
        <w:rPr>
          <w:rFonts w:ascii="Arial" w:eastAsia="Arial" w:hAnsi="Arial" w:cs="Arial"/>
          <w:sz w:val="24"/>
          <w:szCs w:val="24"/>
          <w:lang w:val="mn-MN"/>
        </w:rPr>
      </w:pPr>
      <w:r w:rsidRPr="00EC102E">
        <w:rPr>
          <w:rFonts w:ascii="Arial" w:eastAsia="Arial" w:hAnsi="Arial" w:cs="Arial"/>
          <w:sz w:val="24"/>
          <w:szCs w:val="24"/>
          <w:lang w:val="mn-MN"/>
        </w:rPr>
        <w:t>гүйцэтгэх захирал, хуульч, өмгөөлөгч Б.Энхчимэг</w:t>
      </w:r>
    </w:p>
    <w:p w14:paraId="492269B0"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 xml:space="preserve">Судлаачид: </w:t>
      </w:r>
      <w:r w:rsidRPr="00EC102E">
        <w:rPr>
          <w:rFonts w:ascii="Arial" w:eastAsia="Arial" w:hAnsi="Arial" w:cs="Arial"/>
          <w:sz w:val="24"/>
          <w:szCs w:val="24"/>
          <w:lang w:val="mn-MN"/>
        </w:rPr>
        <w:tab/>
      </w:r>
      <w:r w:rsidRPr="00EC102E">
        <w:rPr>
          <w:rFonts w:ascii="Arial" w:eastAsia="Arial" w:hAnsi="Arial" w:cs="Arial"/>
          <w:sz w:val="24"/>
          <w:szCs w:val="24"/>
          <w:lang w:val="mn-MN"/>
        </w:rPr>
        <w:tab/>
      </w:r>
      <w:r w:rsidRPr="00EC102E">
        <w:rPr>
          <w:rFonts w:ascii="Arial" w:eastAsia="Arial" w:hAnsi="Arial" w:cs="Arial"/>
          <w:sz w:val="24"/>
          <w:szCs w:val="24"/>
          <w:lang w:val="mn-MN"/>
        </w:rPr>
        <w:tab/>
      </w:r>
      <w:r w:rsidRPr="00EC102E">
        <w:rPr>
          <w:rFonts w:ascii="Arial" w:eastAsia="Arial" w:hAnsi="Arial" w:cs="Arial"/>
          <w:sz w:val="24"/>
          <w:szCs w:val="24"/>
          <w:lang w:val="mn-MN"/>
        </w:rPr>
        <w:tab/>
        <w:t xml:space="preserve">“Жастис энд Экуалити консалтинг” ХХК-ийн </w:t>
      </w:r>
    </w:p>
    <w:p w14:paraId="483D655F" w14:textId="77777777" w:rsidR="000A6E31" w:rsidRPr="00EC102E" w:rsidRDefault="00DF52AE">
      <w:pPr>
        <w:spacing w:after="0" w:line="240" w:lineRule="auto"/>
        <w:ind w:left="2880" w:firstLine="720"/>
        <w:rPr>
          <w:rFonts w:ascii="Arial" w:eastAsia="Arial" w:hAnsi="Arial" w:cs="Arial"/>
          <w:sz w:val="24"/>
          <w:szCs w:val="24"/>
          <w:lang w:val="mn-MN"/>
        </w:rPr>
      </w:pPr>
      <w:r w:rsidRPr="00EC102E">
        <w:rPr>
          <w:rFonts w:ascii="Arial" w:eastAsia="Arial" w:hAnsi="Arial" w:cs="Arial"/>
          <w:sz w:val="24"/>
          <w:szCs w:val="24"/>
          <w:lang w:val="mn-MN"/>
        </w:rPr>
        <w:t xml:space="preserve">зөвлөх эрх зүйч А.Анударь, зөвлөх Г.Доржханд </w:t>
      </w:r>
    </w:p>
    <w:p w14:paraId="7666BE95" w14:textId="77777777" w:rsidR="000A6E31" w:rsidRPr="00EC102E" w:rsidRDefault="000A6E31">
      <w:pPr>
        <w:widowControl w:val="0"/>
        <w:spacing w:before="6" w:after="0" w:line="240" w:lineRule="auto"/>
        <w:rPr>
          <w:rFonts w:ascii="Arial" w:eastAsia="Arial" w:hAnsi="Arial" w:cs="Arial"/>
          <w:sz w:val="24"/>
          <w:szCs w:val="24"/>
          <w:lang w:val="mn-MN"/>
        </w:rPr>
      </w:pPr>
    </w:p>
    <w:p w14:paraId="5EAA487F" w14:textId="77777777" w:rsidR="000A6E31" w:rsidRPr="00EC102E" w:rsidRDefault="000A6E31">
      <w:pPr>
        <w:widowControl w:val="0"/>
        <w:spacing w:after="0" w:line="240" w:lineRule="auto"/>
        <w:rPr>
          <w:rFonts w:ascii="Arial" w:eastAsia="Arial" w:hAnsi="Arial" w:cs="Arial"/>
          <w:sz w:val="24"/>
          <w:szCs w:val="24"/>
          <w:lang w:val="mn-MN"/>
        </w:rPr>
      </w:pPr>
    </w:p>
    <w:p w14:paraId="45AC1F68" w14:textId="77777777" w:rsidR="000A6E31" w:rsidRPr="00EC102E" w:rsidRDefault="000A6E31">
      <w:pPr>
        <w:widowControl w:val="0"/>
        <w:spacing w:after="0" w:line="240" w:lineRule="auto"/>
        <w:rPr>
          <w:rFonts w:ascii="Arial" w:eastAsia="Arial" w:hAnsi="Arial" w:cs="Arial"/>
          <w:sz w:val="24"/>
          <w:szCs w:val="24"/>
          <w:lang w:val="mn-MN"/>
        </w:rPr>
      </w:pPr>
    </w:p>
    <w:p w14:paraId="773DA880" w14:textId="77777777" w:rsidR="000A6E31" w:rsidRPr="00EC102E" w:rsidRDefault="000A6E31">
      <w:pPr>
        <w:widowControl w:val="0"/>
        <w:spacing w:after="0" w:line="240" w:lineRule="auto"/>
        <w:rPr>
          <w:rFonts w:ascii="Arial" w:eastAsia="Arial" w:hAnsi="Arial" w:cs="Arial"/>
          <w:sz w:val="24"/>
          <w:szCs w:val="24"/>
          <w:lang w:val="mn-MN"/>
        </w:rPr>
      </w:pPr>
    </w:p>
    <w:p w14:paraId="137640E5" w14:textId="77777777" w:rsidR="000A6E31" w:rsidRPr="00EC102E" w:rsidRDefault="000A6E31">
      <w:pPr>
        <w:widowControl w:val="0"/>
        <w:spacing w:after="0" w:line="240" w:lineRule="auto"/>
        <w:rPr>
          <w:rFonts w:ascii="Arial" w:eastAsia="Arial" w:hAnsi="Arial" w:cs="Arial"/>
          <w:sz w:val="24"/>
          <w:szCs w:val="24"/>
          <w:lang w:val="mn-MN"/>
        </w:rPr>
      </w:pPr>
    </w:p>
    <w:p w14:paraId="3AA4578D" w14:textId="77777777" w:rsidR="000A6E31" w:rsidRPr="00EC102E" w:rsidRDefault="000A6E31">
      <w:pPr>
        <w:widowControl w:val="0"/>
        <w:spacing w:after="0" w:line="240" w:lineRule="auto"/>
        <w:rPr>
          <w:rFonts w:ascii="Arial" w:eastAsia="Arial" w:hAnsi="Arial" w:cs="Arial"/>
          <w:sz w:val="24"/>
          <w:szCs w:val="24"/>
          <w:lang w:val="mn-MN"/>
        </w:rPr>
      </w:pPr>
    </w:p>
    <w:p w14:paraId="4DBF8534" w14:textId="77777777" w:rsidR="000A6E31" w:rsidRPr="00EC102E" w:rsidRDefault="000A6E31">
      <w:pPr>
        <w:widowControl w:val="0"/>
        <w:spacing w:after="0" w:line="240" w:lineRule="auto"/>
        <w:rPr>
          <w:rFonts w:ascii="Arial" w:eastAsia="Arial" w:hAnsi="Arial" w:cs="Arial"/>
          <w:sz w:val="24"/>
          <w:szCs w:val="24"/>
          <w:lang w:val="mn-MN"/>
        </w:rPr>
      </w:pPr>
    </w:p>
    <w:p w14:paraId="4765F295" w14:textId="77777777" w:rsidR="000A6E31" w:rsidRPr="00EC102E" w:rsidRDefault="000A6E31">
      <w:pPr>
        <w:widowControl w:val="0"/>
        <w:spacing w:after="0" w:line="240" w:lineRule="auto"/>
        <w:rPr>
          <w:rFonts w:ascii="Arial" w:eastAsia="Arial" w:hAnsi="Arial" w:cs="Arial"/>
          <w:sz w:val="24"/>
          <w:szCs w:val="24"/>
          <w:lang w:val="mn-MN"/>
        </w:rPr>
      </w:pPr>
    </w:p>
    <w:p w14:paraId="2D181E0A"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11452C4B"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25C0F7BD"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76ECD3DD"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7688CD0D"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792F7104"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2C0FAC0D" w14:textId="77777777" w:rsidR="000A6E31" w:rsidRPr="00EC102E" w:rsidRDefault="000A6E31">
      <w:pPr>
        <w:widowControl w:val="0"/>
        <w:spacing w:before="188" w:after="0" w:line="240" w:lineRule="auto"/>
        <w:ind w:left="3731" w:right="4289"/>
        <w:jc w:val="center"/>
        <w:rPr>
          <w:rFonts w:ascii="Arial" w:eastAsia="Arial" w:hAnsi="Arial" w:cs="Arial"/>
          <w:b/>
          <w:sz w:val="24"/>
          <w:szCs w:val="24"/>
          <w:lang w:val="mn-MN"/>
        </w:rPr>
      </w:pPr>
    </w:p>
    <w:p w14:paraId="70484377" w14:textId="77777777" w:rsidR="000A6E31" w:rsidRPr="00EC102E" w:rsidRDefault="00DF52AE">
      <w:pPr>
        <w:widowControl w:val="0"/>
        <w:spacing w:before="188" w:after="0" w:line="240" w:lineRule="auto"/>
        <w:ind w:left="3330" w:right="4289"/>
        <w:jc w:val="center"/>
        <w:rPr>
          <w:rFonts w:ascii="Arial" w:eastAsia="Arial" w:hAnsi="Arial" w:cs="Arial"/>
          <w:b/>
          <w:sz w:val="24"/>
          <w:szCs w:val="24"/>
          <w:lang w:val="mn-MN"/>
        </w:rPr>
        <w:sectPr w:rsidR="000A6E31" w:rsidRPr="00EC102E">
          <w:pgSz w:w="11900" w:h="16840"/>
          <w:pgMar w:top="680" w:right="740" w:bottom="280" w:left="1300" w:header="720" w:footer="720" w:gutter="0"/>
          <w:pgNumType w:start="1"/>
          <w:cols w:space="720"/>
        </w:sectPr>
      </w:pPr>
      <w:r w:rsidRPr="00EC102E">
        <w:rPr>
          <w:rFonts w:ascii="Arial" w:eastAsia="Arial" w:hAnsi="Arial" w:cs="Arial"/>
          <w:b/>
          <w:sz w:val="24"/>
          <w:szCs w:val="24"/>
          <w:lang w:val="mn-MN"/>
        </w:rPr>
        <w:t>УЛААНБААТАР 2025 ОН</w:t>
      </w:r>
    </w:p>
    <w:p w14:paraId="1F5116C8" w14:textId="77777777" w:rsidR="000A6E31" w:rsidRPr="00EC102E" w:rsidRDefault="00DF52AE">
      <w:pPr>
        <w:widowControl w:val="0"/>
        <w:spacing w:after="0" w:line="240" w:lineRule="auto"/>
        <w:jc w:val="center"/>
        <w:rPr>
          <w:rFonts w:ascii="Arial" w:eastAsia="Arial" w:hAnsi="Arial" w:cs="Arial"/>
          <w:b/>
          <w:sz w:val="24"/>
          <w:szCs w:val="24"/>
          <w:lang w:val="mn-MN"/>
        </w:rPr>
      </w:pPr>
      <w:r w:rsidRPr="00EC102E">
        <w:rPr>
          <w:rFonts w:ascii="Arial" w:eastAsia="Arial" w:hAnsi="Arial" w:cs="Arial"/>
          <w:b/>
          <w:sz w:val="24"/>
          <w:szCs w:val="24"/>
          <w:lang w:val="mn-MN"/>
        </w:rPr>
        <w:lastRenderedPageBreak/>
        <w:t>Хүүхдийн хөгжлийг дэмжих хууль эрх зүйн орчныг сайжруулах төслийг боловсруулах хэрэгцээ, шаардлагыг урьдчилан тандан судалсан үнэлгээний тайлан</w:t>
      </w:r>
      <w:r w:rsidRPr="00EC102E">
        <w:rPr>
          <w:rFonts w:ascii="Arial" w:eastAsia="Arial" w:hAnsi="Arial" w:cs="Arial"/>
          <w:b/>
          <w:sz w:val="24"/>
          <w:szCs w:val="24"/>
          <w:vertAlign w:val="superscript"/>
          <w:lang w:val="mn-MN"/>
        </w:rPr>
        <w:footnoteReference w:id="1"/>
      </w:r>
    </w:p>
    <w:p w14:paraId="04E3B586" w14:textId="77777777" w:rsidR="000A6E31" w:rsidRPr="00EC102E" w:rsidRDefault="000A6E31">
      <w:pPr>
        <w:widowControl w:val="0"/>
        <w:spacing w:after="0" w:line="240" w:lineRule="auto"/>
        <w:jc w:val="center"/>
        <w:rPr>
          <w:rFonts w:ascii="Arial" w:eastAsia="Arial" w:hAnsi="Arial" w:cs="Arial"/>
          <w:b/>
          <w:sz w:val="24"/>
          <w:szCs w:val="24"/>
          <w:lang w:val="mn-MN"/>
        </w:rPr>
      </w:pPr>
    </w:p>
    <w:p w14:paraId="2EB7985E" w14:textId="77777777" w:rsidR="000A6E31" w:rsidRPr="00EC102E" w:rsidRDefault="00DF52A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хөгжлийг дэмжих хууль эрх зүйн орчныг сайжруулах төслийг боловсруулах төслийн хэрэгцээ, шаардлагыг урьдчилан тандан судалсан судалгааг Хууль тогтоомжийн тухай хуулийн 13 дугаар зүйлд заасны дагуу хийж гүйцэтгэлээ. </w:t>
      </w:r>
    </w:p>
    <w:p w14:paraId="545D1AF3" w14:textId="77777777" w:rsidR="000A6E31" w:rsidRPr="00EC102E" w:rsidRDefault="00DF52A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хөгжлийг дэмжих тухай хуулийн төсөл нь Хууль тогтоомжийн хэрэгцээ, шаардлагыг урьдчилан тандан судлах аргачлалын /цаашид “Аргачлал” гэх/ 1 дүгээр зүйлийн 1.3 дахь хэсэгт заасан хууль тогтоомжид хамаарахгүй тул урьдчилан тандан судлах ажиллагааг Аргачлалын 2 дугаар зүйлийн 2.1-т заасан дараах үе шатаар хийсэн болно: </w:t>
      </w:r>
    </w:p>
    <w:p w14:paraId="12DFBD16"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Асуудалд дүн шинжилгээ хийх;</w:t>
      </w:r>
    </w:p>
    <w:p w14:paraId="2C65C28B"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Асуудлыг шийдвэрлэх зорилгыг томьёолох;</w:t>
      </w:r>
    </w:p>
    <w:p w14:paraId="56E52842"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Асуудлыг зохицуулах хувилбаруудыг тогтоож, тэдгээрийн эерэг, сөрөг талыг харьцуулан судлах;</w:t>
      </w:r>
    </w:p>
    <w:p w14:paraId="30465D0B"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Зохицуулалтын хувилбаруудын үр нөлөөг тандан судлах;</w:t>
      </w:r>
    </w:p>
    <w:p w14:paraId="166C4C82"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Зохицуулалтын хувилбаруудыг харьцуулан судлах;</w:t>
      </w:r>
    </w:p>
    <w:p w14:paraId="53BFE514"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Тухайн зохицуулалтын талаарх олон улсын болон бусад улсын эрх зүйн зохицуулалтын харьцуулсан судалгаа хийх;</w:t>
      </w:r>
    </w:p>
    <w:p w14:paraId="03C3FF8B" w14:textId="77777777" w:rsidR="000A6E31" w:rsidRPr="00EC102E" w:rsidRDefault="00DF52AE">
      <w:pPr>
        <w:widowControl w:val="0"/>
        <w:numPr>
          <w:ilvl w:val="0"/>
          <w:numId w:val="5"/>
        </w:numPr>
        <w:pBdr>
          <w:top w:val="nil"/>
          <w:left w:val="nil"/>
          <w:bottom w:val="nil"/>
          <w:right w:val="nil"/>
          <w:between w:val="nil"/>
        </w:pBdr>
        <w:spacing w:after="0" w:line="240" w:lineRule="auto"/>
        <w:jc w:val="both"/>
        <w:rPr>
          <w:sz w:val="24"/>
          <w:szCs w:val="24"/>
          <w:lang w:val="mn-MN"/>
        </w:rPr>
      </w:pPr>
      <w:r w:rsidRPr="00EC102E">
        <w:rPr>
          <w:rFonts w:ascii="Arial" w:eastAsia="Arial" w:hAnsi="Arial" w:cs="Arial"/>
          <w:sz w:val="24"/>
          <w:szCs w:val="24"/>
          <w:lang w:val="mn-MN"/>
        </w:rPr>
        <w:t xml:space="preserve">Зөвлөмж боловсруулах.  </w:t>
      </w:r>
    </w:p>
    <w:p w14:paraId="112F31B8" w14:textId="77777777" w:rsidR="000A6E31" w:rsidRPr="00EC102E" w:rsidRDefault="000A6E31">
      <w:pPr>
        <w:spacing w:after="200" w:line="240" w:lineRule="auto"/>
        <w:ind w:firstLine="720"/>
        <w:jc w:val="both"/>
        <w:rPr>
          <w:rFonts w:ascii="Arial" w:eastAsia="Arial" w:hAnsi="Arial" w:cs="Arial"/>
          <w:sz w:val="24"/>
          <w:szCs w:val="24"/>
          <w:lang w:val="mn-MN"/>
        </w:rPr>
      </w:pPr>
    </w:p>
    <w:p w14:paraId="5A93187D" w14:textId="3C52F4CB" w:rsidR="000A6E31" w:rsidRPr="00EC102E" w:rsidRDefault="00DF52AE">
      <w:pPr>
        <w:spacing w:after="200" w:line="240" w:lineRule="auto"/>
        <w:ind w:firstLine="720"/>
        <w:jc w:val="both"/>
        <w:rPr>
          <w:rFonts w:ascii="Arial" w:eastAsia="Arial" w:hAnsi="Arial" w:cs="Arial"/>
          <w:sz w:val="24"/>
          <w:szCs w:val="24"/>
          <w:lang w:val="mn-MN"/>
        </w:rPr>
        <w:sectPr w:rsidR="000A6E31" w:rsidRPr="00EC102E">
          <w:footerReference w:type="default" r:id="rId8"/>
          <w:pgSz w:w="11900" w:h="16840"/>
          <w:pgMar w:top="1440" w:right="1150" w:bottom="1440" w:left="1734" w:header="720" w:footer="720" w:gutter="0"/>
          <w:cols w:space="720"/>
        </w:sectPr>
      </w:pPr>
      <w:r w:rsidRPr="00EC102E">
        <w:rPr>
          <w:rFonts w:ascii="Arial" w:eastAsia="Arial" w:hAnsi="Arial" w:cs="Arial"/>
          <w:sz w:val="24"/>
          <w:szCs w:val="24"/>
          <w:lang w:val="mn-MN"/>
        </w:rPr>
        <w:t>Дээрх дарааллын дагуу нэгдүгээрт “</w:t>
      </w:r>
      <w:r w:rsidR="00EC102E">
        <w:rPr>
          <w:rFonts w:ascii="Arial" w:eastAsia="Arial" w:hAnsi="Arial" w:cs="Arial"/>
          <w:sz w:val="24"/>
          <w:szCs w:val="24"/>
          <w:lang w:val="mn-MN"/>
        </w:rPr>
        <w:t>Х</w:t>
      </w:r>
      <w:r w:rsidRPr="00EC102E">
        <w:rPr>
          <w:rFonts w:ascii="Arial" w:eastAsia="Arial" w:hAnsi="Arial" w:cs="Arial"/>
          <w:sz w:val="24"/>
          <w:szCs w:val="24"/>
          <w:lang w:val="mn-MN"/>
        </w:rPr>
        <w:t xml:space="preserve">үүхдийн хөгжлийг хичээлээс гадуурх үйл ажиллагаагаар дэмжих” холбогдох ойлголт, харилцааг судалж, Монгол </w:t>
      </w:r>
      <w:r w:rsidR="0071465A">
        <w:rPr>
          <w:rFonts w:ascii="Arial" w:eastAsia="Arial" w:hAnsi="Arial" w:cs="Arial"/>
          <w:sz w:val="24"/>
          <w:szCs w:val="24"/>
          <w:lang w:val="mn-MN"/>
        </w:rPr>
        <w:t>У</w:t>
      </w:r>
      <w:r w:rsidRPr="00EC102E">
        <w:rPr>
          <w:rFonts w:ascii="Arial" w:eastAsia="Arial" w:hAnsi="Arial" w:cs="Arial"/>
          <w:sz w:val="24"/>
          <w:szCs w:val="24"/>
          <w:lang w:val="mn-MN"/>
        </w:rPr>
        <w:t xml:space="preserve">лсын 6-18 насны хүүхдийн хөгжилд тулгамдаж буй асуудлыг тодорхойлохыг зорьсон болно. Үүний тулд Монгол Улсын болон бусад орны хууль тогтоомж, Олон </w:t>
      </w:r>
      <w:r w:rsidR="0071465A">
        <w:rPr>
          <w:rFonts w:ascii="Arial" w:eastAsia="Arial" w:hAnsi="Arial" w:cs="Arial"/>
          <w:sz w:val="24"/>
          <w:szCs w:val="24"/>
          <w:lang w:val="mn-MN"/>
        </w:rPr>
        <w:t>у</w:t>
      </w:r>
      <w:r w:rsidRPr="00EC102E">
        <w:rPr>
          <w:rFonts w:ascii="Arial" w:eastAsia="Arial" w:hAnsi="Arial" w:cs="Arial"/>
          <w:sz w:val="24"/>
          <w:szCs w:val="24"/>
          <w:lang w:val="mn-MN"/>
        </w:rPr>
        <w:t xml:space="preserve">лсын байгууллагаас гаргасан баримт бичиг, Олон </w:t>
      </w:r>
      <w:r w:rsidR="0071465A">
        <w:rPr>
          <w:rFonts w:ascii="Arial" w:eastAsia="Arial" w:hAnsi="Arial" w:cs="Arial"/>
          <w:sz w:val="24"/>
          <w:szCs w:val="24"/>
          <w:lang w:val="mn-MN"/>
        </w:rPr>
        <w:t>у</w:t>
      </w:r>
      <w:r w:rsidRPr="00EC102E">
        <w:rPr>
          <w:rFonts w:ascii="Arial" w:eastAsia="Arial" w:hAnsi="Arial" w:cs="Arial"/>
          <w:sz w:val="24"/>
          <w:szCs w:val="24"/>
          <w:lang w:val="mn-MN"/>
        </w:rPr>
        <w:t>лсын гэрээ, холбогдох ном сурах бичиг, өмнө</w:t>
      </w:r>
      <w:r w:rsidR="00E111FF">
        <w:rPr>
          <w:rFonts w:ascii="Arial" w:eastAsia="Arial" w:hAnsi="Arial" w:cs="Arial"/>
          <w:sz w:val="24"/>
          <w:szCs w:val="24"/>
          <w:lang w:val="mn-MN"/>
        </w:rPr>
        <w:t xml:space="preserve"> нь</w:t>
      </w:r>
      <w:r w:rsidRPr="00EC102E">
        <w:rPr>
          <w:rFonts w:ascii="Arial" w:eastAsia="Arial" w:hAnsi="Arial" w:cs="Arial"/>
          <w:sz w:val="24"/>
          <w:szCs w:val="24"/>
          <w:lang w:val="mn-MN"/>
        </w:rPr>
        <w:t xml:space="preserve"> хийгдсэн социологийн судалгаа, судалгааны тайлан, илтгэл, өгүүллийг уншиж судлах, харьцуулалт хийх болон бусад статистик мэдээллийг ашигласан бөгөөд асуудлын мөн чанар, түүний цар хүрээг тогтоож, тухайн асуудлаар эрх, хууль ёсны ашиг сонирхол нь хөндөгдөж байгаа этгээдүүдэд үүсэж буй асуудлын шалтгаан нөхцөлийг тус тус тодорхойлов.</w:t>
      </w:r>
    </w:p>
    <w:p w14:paraId="581F5989" w14:textId="77777777" w:rsidR="000A6E31" w:rsidRPr="00EC102E" w:rsidRDefault="00DF52AE">
      <w:pPr>
        <w:widowControl w:val="0"/>
        <w:spacing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lastRenderedPageBreak/>
        <w:t>НЭГ. АСУУДАЛД ДҮН ШИНЖИЛГЭЭ ХИЙСЭН БАЙДАЛ</w:t>
      </w:r>
    </w:p>
    <w:p w14:paraId="45BACCB6" w14:textId="77777777" w:rsidR="000A6E31" w:rsidRPr="00EC102E" w:rsidRDefault="000A6E31">
      <w:pPr>
        <w:widowControl w:val="0"/>
        <w:spacing w:after="0" w:line="240" w:lineRule="auto"/>
        <w:ind w:firstLine="720"/>
        <w:jc w:val="center"/>
        <w:rPr>
          <w:rFonts w:ascii="Arial" w:eastAsia="Arial" w:hAnsi="Arial" w:cs="Arial"/>
          <w:b/>
          <w:sz w:val="24"/>
          <w:szCs w:val="24"/>
          <w:lang w:val="mn-MN"/>
        </w:rPr>
      </w:pPr>
    </w:p>
    <w:p w14:paraId="2A4C4A32" w14:textId="77777777" w:rsidR="000A6E31" w:rsidRPr="00EC102E" w:rsidRDefault="00DF52AE">
      <w:pPr>
        <w:widowControl w:val="0"/>
        <w:numPr>
          <w:ilvl w:val="1"/>
          <w:numId w:val="6"/>
        </w:num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Тодорхойлж шийдвэрлэх гэж буй асуудлын эрх зүйн зохицуулалт, мөн чанар, цар хүрээ</w:t>
      </w:r>
    </w:p>
    <w:p w14:paraId="4BC71F1A" w14:textId="100A9F58"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2024 оны байдлаар Монгол </w:t>
      </w:r>
      <w:r w:rsidR="00486E83">
        <w:rPr>
          <w:rFonts w:ascii="Arial" w:eastAsia="Arial" w:hAnsi="Arial" w:cs="Arial"/>
          <w:sz w:val="24"/>
          <w:szCs w:val="24"/>
          <w:lang w:val="mn-MN"/>
        </w:rPr>
        <w:t>У</w:t>
      </w:r>
      <w:r w:rsidRPr="00EC102E">
        <w:rPr>
          <w:rFonts w:ascii="Arial" w:eastAsia="Arial" w:hAnsi="Arial" w:cs="Arial"/>
          <w:sz w:val="24"/>
          <w:szCs w:val="24"/>
          <w:lang w:val="mn-MN"/>
        </w:rPr>
        <w:t>лсын нийт хүн ам 3,544,835 болсон бөгөөд үүнээс 0-4 насны хүүхэд 340,277, 5-14 насны хүүхэд 756,524, 15-19 насны хүүхэд залуучууд 278,578 байна. Өөрөөр хэлбэл</w:t>
      </w:r>
      <w:r w:rsidR="00033759">
        <w:rPr>
          <w:rFonts w:ascii="Arial" w:eastAsia="Arial" w:hAnsi="Arial" w:cs="Arial"/>
          <w:sz w:val="24"/>
          <w:szCs w:val="24"/>
          <w:lang w:val="mn-MN"/>
        </w:rPr>
        <w:t>,</w:t>
      </w:r>
      <w:r w:rsidRPr="00EC102E">
        <w:rPr>
          <w:rFonts w:ascii="Arial" w:eastAsia="Arial" w:hAnsi="Arial" w:cs="Arial"/>
          <w:sz w:val="24"/>
          <w:szCs w:val="24"/>
          <w:lang w:val="mn-MN"/>
        </w:rPr>
        <w:t xml:space="preserve"> </w:t>
      </w:r>
      <w:r w:rsidR="00033759">
        <w:rPr>
          <w:rFonts w:ascii="Arial" w:eastAsia="Arial" w:hAnsi="Arial" w:cs="Arial"/>
          <w:sz w:val="24"/>
          <w:szCs w:val="24"/>
          <w:lang w:val="mn-MN"/>
        </w:rPr>
        <w:t>М</w:t>
      </w:r>
      <w:r w:rsidRPr="00EC102E">
        <w:rPr>
          <w:rFonts w:ascii="Arial" w:eastAsia="Arial" w:hAnsi="Arial" w:cs="Arial"/>
          <w:sz w:val="24"/>
          <w:szCs w:val="24"/>
          <w:lang w:val="mn-MN"/>
        </w:rPr>
        <w:t xml:space="preserve">онгол </w:t>
      </w:r>
      <w:r w:rsidR="00C500C6">
        <w:rPr>
          <w:rFonts w:ascii="Arial" w:eastAsia="Arial" w:hAnsi="Arial" w:cs="Arial"/>
          <w:sz w:val="24"/>
          <w:szCs w:val="24"/>
          <w:lang w:val="mn-MN"/>
        </w:rPr>
        <w:t>У</w:t>
      </w:r>
      <w:r w:rsidRPr="00EC102E">
        <w:rPr>
          <w:rFonts w:ascii="Arial" w:eastAsia="Arial" w:hAnsi="Arial" w:cs="Arial"/>
          <w:sz w:val="24"/>
          <w:szCs w:val="24"/>
          <w:lang w:val="mn-MN"/>
        </w:rPr>
        <w:t xml:space="preserve">лсын нийт хүн амын 39 хувийг 19  хүртэлх насны хүүхэд залуучууд эзэлж байна. </w:t>
      </w:r>
    </w:p>
    <w:p w14:paraId="31011877" w14:textId="4C62835E"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CA3FE7">
        <w:rPr>
          <w:rFonts w:ascii="Arial" w:eastAsia="Arial" w:hAnsi="Arial" w:cs="Arial"/>
          <w:sz w:val="24"/>
          <w:szCs w:val="24"/>
          <w:lang w:val="mn-MN"/>
        </w:rPr>
        <w:t>У</w:t>
      </w:r>
      <w:r w:rsidRPr="00EC102E">
        <w:rPr>
          <w:rFonts w:ascii="Arial" w:eastAsia="Arial" w:hAnsi="Arial" w:cs="Arial"/>
          <w:sz w:val="24"/>
          <w:szCs w:val="24"/>
          <w:lang w:val="mn-MN"/>
        </w:rPr>
        <w:t>лс НҮБ-ын Хүүхдийн эрхийн конвенц</w:t>
      </w:r>
      <w:r w:rsidR="00D166CA">
        <w:rPr>
          <w:rFonts w:ascii="Arial" w:eastAsia="Arial" w:hAnsi="Arial" w:cs="Arial"/>
          <w:sz w:val="24"/>
          <w:szCs w:val="24"/>
          <w:lang w:val="mn-MN"/>
        </w:rPr>
        <w:t>о</w:t>
      </w:r>
      <w:r w:rsidRPr="00EC102E">
        <w:rPr>
          <w:rFonts w:ascii="Arial" w:eastAsia="Arial" w:hAnsi="Arial" w:cs="Arial"/>
          <w:sz w:val="24"/>
          <w:szCs w:val="24"/>
          <w:lang w:val="mn-MN"/>
        </w:rPr>
        <w:t xml:space="preserve">д 1990 онд нэгдэн орж соёрхон баталсан ч Хүүхдийн эрхийн тухай хуулийг 2016 онд баталж, Хүүхэд хамгааллын тухай хуулийг 2024 онд шинэчлэн найруулан баталсан бөгөөд эдгээр нь Монгол Улсын Үндсэн хууль, Иргэний хууль, Гэр бүлийн тухай, Гэр бүлийн хүчирхийлэлтэй тэмцэх тухай хууль, Нийгмийн халамжийн тухай хууль, Боловсролын ерөнхий  хууль, Эрүүл мэндийн тухай хууль, Хөдөлмөрийн тухай хууль болон эдгээр хуультай нийцүүлэн гаргасан хууль тогтоомжийн хамт хүүхдийн эрхийн хууль, эрх зүйн орчныг бүрдүүлж байна. </w:t>
      </w:r>
    </w:p>
    <w:p w14:paraId="121455EA"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эрхийн тухай конвенц нь ийнхүү Монгол Улсын хууль тогтоомжид тусгалаа олж хэрэгжиж байна. Мөн 2016 онд батлагдсан Гэр бүлийн хүчирхийлэлтэй тэмцэх тухай хуульд уг заалтуудыг тусган батлав. Эдгээр гурван хууль нь эмэгтэйчүүд, хүүхдийн эрхийн цогц хамгаалалт болно гэж зорьсон. Хүүхдийн эрхийн тухай хууль (2016) нь эрхийн талаарх өргөн хүрээний ойлголтыг тодорхойлж, үүрэг хүлээгчдийн хууль ёсны үүрэг хариуцлагыг голчлон хөндсөн бол Хүүхэд хамгааллын тухай хууль хүүхдийг үл хайхрах, хүчирхийлэх, мөлжих зэрэг бүх хэлбэрийн хүчирхийллээс хүүхдийг хамгаалахад чиглэсэн болно. </w:t>
      </w:r>
    </w:p>
    <w:p w14:paraId="3130ACD4" w14:textId="09EE4888"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b/>
          <w:sz w:val="24"/>
          <w:szCs w:val="24"/>
          <w:lang w:val="mn-MN"/>
        </w:rPr>
        <w:t xml:space="preserve">Хүүхдийн эрхийн тухай </w:t>
      </w:r>
      <w:r w:rsidRPr="00EC102E">
        <w:rPr>
          <w:rFonts w:ascii="Arial" w:eastAsia="Arial" w:hAnsi="Arial" w:cs="Arial"/>
          <w:sz w:val="24"/>
          <w:szCs w:val="24"/>
          <w:lang w:val="mn-MN"/>
        </w:rPr>
        <w:t>хуулиар хүүхдийн хөгжих эрхийг тодорхойлсон ч хангах, дэмжих зохицуулалт дутмаг, тунхагийн шинжтэй байсан бол 2024 онд орсон нэмэлт өөрчлөлтөөр хүүхдийн хөгжих эрхийг хангах чиглэлд хэд хэдэн зүйл, заалт нэмэгдсэн нь хөгжлийг дэмжих бодлогын суурь үндэслэл болох боломжтой байна. Тухайлбал</w:t>
      </w:r>
      <w:r w:rsidR="000E43A9">
        <w:rPr>
          <w:rFonts w:ascii="Arial" w:eastAsia="Arial" w:hAnsi="Arial" w:cs="Arial"/>
          <w:sz w:val="24"/>
          <w:szCs w:val="24"/>
          <w:lang w:val="mn-MN"/>
        </w:rPr>
        <w:t>,</w:t>
      </w:r>
      <w:r w:rsidRPr="00EC102E">
        <w:rPr>
          <w:rFonts w:ascii="Arial" w:eastAsia="Arial" w:hAnsi="Arial" w:cs="Arial"/>
          <w:sz w:val="24"/>
          <w:szCs w:val="24"/>
          <w:lang w:val="mn-MN"/>
        </w:rPr>
        <w:t xml:space="preserve"> хүүхдийн эрхийн үндсэн зарчимд хоёр хэсэг нэмсэн нь хүүхдийн хөгжлийн тухай байна. Үүнд: </w:t>
      </w:r>
    </w:p>
    <w:p w14:paraId="33630B0C" w14:textId="49627206" w:rsidR="000A6E31" w:rsidRPr="00EC102E" w:rsidRDefault="002930E4">
      <w:pPr>
        <w:numPr>
          <w:ilvl w:val="0"/>
          <w:numId w:val="7"/>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үүхдийг бие махбод, танин мэдэхүй, нийгэмшихүйн хувьд жигд хөгжих боломжийг хангах;</w:t>
      </w:r>
    </w:p>
    <w:p w14:paraId="45D40AE5" w14:textId="2DA54CAD" w:rsidR="000A6E31" w:rsidRPr="0023536F" w:rsidRDefault="00566DF4" w:rsidP="0023536F">
      <w:pPr>
        <w:numPr>
          <w:ilvl w:val="0"/>
          <w:numId w:val="7"/>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 xml:space="preserve">үүхдийн хөгжлийг дэмжих үйлчилгээ нь хүүхдийн хэрэгцээ, шаардлагад нийцсэн байх зэрэг болно. </w:t>
      </w:r>
    </w:p>
    <w:p w14:paraId="72B2BF3E" w14:textId="1FB80062"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эрхийн тухай хуулиар хүүхдийн хөгжих эрхийг дараах байдлаар тодорхойлсон. “Хүүхдийн бие махбод, оюун санаа, ой ухаан, сэтгэц, зан байдал, харилцаанд гарч байгаа ахиц өөрчлөлтийг хүүхдийн хөгжил гэж үзэх” гээд энэ хүрээнд дараах долоон эрхийг тоочжээ. Үүнд: </w:t>
      </w:r>
    </w:p>
    <w:p w14:paraId="4E5F9560" w14:textId="43DC4B8F" w:rsidR="000A6E31" w:rsidRPr="00EC102E" w:rsidRDefault="0079759F">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үүхэд бага, суурь, бүрэн дунд боловсролыг үнэ төлбөргүй эзэмших;</w:t>
      </w:r>
    </w:p>
    <w:p w14:paraId="43F2546C" w14:textId="25C298CF" w:rsidR="000A6E31" w:rsidRPr="00EC102E" w:rsidRDefault="00330D11">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үүхэд төрөлх хэл, бичиг үсэг, ёс заншил, түүх соёлын уламжлалыг өвлөн эзэмших;</w:t>
      </w:r>
    </w:p>
    <w:p w14:paraId="429D9730" w14:textId="7752BA84" w:rsidR="000A6E31" w:rsidRPr="00EC102E" w:rsidRDefault="00E4715D">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үүхэд оюун ухаан, авьяас билэг, бие бялдар, ур чадвараа хөгжүүлэхэд төрөөс дэмжлэг авах;</w:t>
      </w:r>
    </w:p>
    <w:p w14:paraId="32BDF21E" w14:textId="4B5C98AD" w:rsidR="000A6E31" w:rsidRPr="00EC102E" w:rsidRDefault="00575E70">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үүхэд шашин шүтэх, эс шүтэх;</w:t>
      </w:r>
    </w:p>
    <w:p w14:paraId="3BFE2F08" w14:textId="6505B198" w:rsidR="000A6E31" w:rsidRPr="00EC102E" w:rsidRDefault="00B878ED">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үүхэд чөлөөтэй бодож сэтгэх, өөрөө эсхүл бусдаар дамжуулан үзэл бодлоо чөлөөтэй илэрхийлэх, мэдээлэл хайх, хүлээн авах;</w:t>
      </w:r>
    </w:p>
    <w:p w14:paraId="215F2059" w14:textId="02C805D9" w:rsidR="000A6E31" w:rsidRPr="00EC102E" w:rsidRDefault="00F10839">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үүхэд гэр бүл, нийгмийн орчинд өөрийгөө хөгжүүлэх.</w:t>
      </w:r>
    </w:p>
    <w:p w14:paraId="5968B306" w14:textId="5C092187" w:rsidR="000A6E31" w:rsidRPr="00EC102E" w:rsidRDefault="00EB65D8">
      <w:pPr>
        <w:numPr>
          <w:ilvl w:val="0"/>
          <w:numId w:val="4"/>
        </w:numPr>
        <w:spacing w:after="0" w:line="240" w:lineRule="auto"/>
        <w:jc w:val="both"/>
        <w:rPr>
          <w:rFonts w:ascii="Arial" w:eastAsia="Arial" w:hAnsi="Arial" w:cs="Arial"/>
          <w:sz w:val="24"/>
          <w:szCs w:val="24"/>
          <w:lang w:val="mn-MN"/>
        </w:rPr>
      </w:pPr>
      <w:r>
        <w:rPr>
          <w:rFonts w:ascii="Arial" w:eastAsia="Arial" w:hAnsi="Arial" w:cs="Arial"/>
          <w:sz w:val="24"/>
          <w:szCs w:val="24"/>
          <w:lang w:val="mn-MN"/>
        </w:rPr>
        <w:t>Х</w:t>
      </w:r>
      <w:r w:rsidR="00DF52AE" w:rsidRPr="00EC102E">
        <w:rPr>
          <w:rFonts w:ascii="Arial" w:eastAsia="Arial" w:hAnsi="Arial" w:cs="Arial"/>
          <w:sz w:val="24"/>
          <w:szCs w:val="24"/>
          <w:lang w:val="mn-MN"/>
        </w:rPr>
        <w:t xml:space="preserve">үүхдийн хөгжлийг дэмжих үйлчилгээнд хамрагдах эрхтэй гэжээ. </w:t>
      </w:r>
    </w:p>
    <w:p w14:paraId="20A8CBF7" w14:textId="77777777" w:rsidR="000A6E31" w:rsidRPr="00EC102E" w:rsidRDefault="000A6E31">
      <w:pPr>
        <w:spacing w:after="0" w:line="240" w:lineRule="auto"/>
        <w:jc w:val="both"/>
        <w:rPr>
          <w:rFonts w:ascii="Arial" w:eastAsia="Arial" w:hAnsi="Arial" w:cs="Arial"/>
          <w:sz w:val="24"/>
          <w:szCs w:val="24"/>
          <w:lang w:val="mn-MN"/>
        </w:rPr>
      </w:pPr>
    </w:p>
    <w:p w14:paraId="06A593F5" w14:textId="48A6A711"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lastRenderedPageBreak/>
        <w:t>Дээрхээс онцолбол “</w:t>
      </w:r>
      <w:r w:rsidR="00A641B4">
        <w:rPr>
          <w:rFonts w:ascii="Arial" w:eastAsia="Arial" w:hAnsi="Arial" w:cs="Arial"/>
          <w:sz w:val="24"/>
          <w:szCs w:val="24"/>
          <w:lang w:val="mn-MN"/>
        </w:rPr>
        <w:t>Х</w:t>
      </w:r>
      <w:r w:rsidRPr="00EC102E">
        <w:rPr>
          <w:rFonts w:ascii="Arial" w:eastAsia="Arial" w:hAnsi="Arial" w:cs="Arial"/>
          <w:sz w:val="24"/>
          <w:szCs w:val="24"/>
          <w:lang w:val="mn-MN"/>
        </w:rPr>
        <w:t xml:space="preserve">үүхдийн хөгжлийг дэмжих үйлчилгээнд хамрагдах” эрхийг 2024 оны нэмэлт өөрчлөлтөөр нэмсэн байна. Ийнхүү эрхийг хүндэтгэх, хангах, хамгаалах үүрэг хүлээгч буюу төрд хүүхдийн хөгжлийг дэмжих тодорхой бодлогоор тодорхой үйлчилгээг үзүүлж, түүнд нь хүүхдүүд тэгш хамрагдах нөхцөл боломжийг бүрдүүлэх үүргийг үүсгэсэн нь хүүхдийн хичээлээс гадуурх хөгжлийн үйл ажиллагааг дэмжих тухай хуулийн төслийн үзэл баримтлалын суурь болно гэж үзэж байна. </w:t>
      </w:r>
    </w:p>
    <w:p w14:paraId="1929CD96" w14:textId="77777777" w:rsidR="000A6E31" w:rsidRPr="00EC102E" w:rsidRDefault="000A6E31">
      <w:pPr>
        <w:spacing w:after="0" w:line="240" w:lineRule="auto"/>
        <w:jc w:val="both"/>
        <w:rPr>
          <w:rFonts w:ascii="Arial" w:eastAsia="Arial" w:hAnsi="Arial" w:cs="Arial"/>
          <w:sz w:val="24"/>
          <w:szCs w:val="24"/>
          <w:lang w:val="mn-MN"/>
        </w:rPr>
      </w:pPr>
    </w:p>
    <w:p w14:paraId="73C0B414" w14:textId="734AA500"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Мөн “</w:t>
      </w:r>
      <w:r w:rsidR="007F4ED7">
        <w:rPr>
          <w:rFonts w:ascii="Arial" w:eastAsia="Arial" w:hAnsi="Arial" w:cs="Arial"/>
          <w:sz w:val="24"/>
          <w:szCs w:val="24"/>
          <w:lang w:val="mn-MN"/>
        </w:rPr>
        <w:t>Х</w:t>
      </w:r>
      <w:r w:rsidRPr="00EC102E">
        <w:rPr>
          <w:rFonts w:ascii="Arial" w:eastAsia="Arial" w:hAnsi="Arial" w:cs="Arial"/>
          <w:sz w:val="24"/>
          <w:szCs w:val="24"/>
          <w:lang w:val="mn-MN"/>
        </w:rPr>
        <w:t xml:space="preserve">үүхэд хөгжих эрхээ амралт, чөлөөт цагаараа тоглож наадах, хүүхдийн зуслан, сувилалд амарч сувилуулах, өөрийн хүсэл сонирхлын дагуу уралдаан тэмцээн, хөгжлийн хөтөлбөр, дугуйлан секц, бүлэг, клубт хамрагдах, хөгжлийн төв, ордонд суралцах зэрэг хэлбэрээр эдэлнэ” гэсэн нь төрийн </w:t>
      </w:r>
      <w:r w:rsidR="001C2E7D">
        <w:rPr>
          <w:rFonts w:ascii="Arial" w:eastAsia="Arial" w:hAnsi="Arial" w:cs="Arial"/>
          <w:sz w:val="24"/>
          <w:szCs w:val="24"/>
          <w:lang w:val="mn-MN"/>
        </w:rPr>
        <w:t xml:space="preserve">хүүхдийн </w:t>
      </w:r>
      <w:r w:rsidRPr="00EC102E">
        <w:rPr>
          <w:rFonts w:ascii="Arial" w:eastAsia="Arial" w:hAnsi="Arial" w:cs="Arial"/>
          <w:sz w:val="24"/>
          <w:szCs w:val="24"/>
          <w:lang w:val="mn-MN"/>
        </w:rPr>
        <w:t xml:space="preserve">хөгжлийг дэмжих үйлчилгээний хэлбэрүүдийг тодорхойлсон байна. </w:t>
      </w:r>
    </w:p>
    <w:p w14:paraId="42C95322" w14:textId="77777777" w:rsidR="000A6E31" w:rsidRPr="00EC102E" w:rsidRDefault="000A6E31">
      <w:pPr>
        <w:spacing w:after="0" w:line="240" w:lineRule="auto"/>
        <w:jc w:val="both"/>
        <w:rPr>
          <w:rFonts w:ascii="Arial" w:eastAsia="Arial" w:hAnsi="Arial" w:cs="Arial"/>
          <w:sz w:val="24"/>
          <w:szCs w:val="24"/>
          <w:lang w:val="mn-MN"/>
        </w:rPr>
      </w:pPr>
    </w:p>
    <w:p w14:paraId="40872089" w14:textId="182C6F58"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Тус хуулийн 2024 оны нэмэлт өөрчлөлтөөр хүүхдийн хөгжих эрхийг хангах, хөгжлийг дэмжих зохицуулалтыг сайжруулж, харьцангуй цогцоор зохицуулах эрмэлзэлтэй байсан нь бодлого стандартыг батлах, санхүүгийн хөшүүргийг бий болгох үүргийг </w:t>
      </w:r>
      <w:r w:rsidR="00053F9F">
        <w:rPr>
          <w:rFonts w:ascii="Arial" w:eastAsia="Arial" w:hAnsi="Arial" w:cs="Arial"/>
          <w:sz w:val="24"/>
          <w:szCs w:val="24"/>
          <w:lang w:val="mn-MN"/>
        </w:rPr>
        <w:t>З</w:t>
      </w:r>
      <w:r w:rsidRPr="00EC102E">
        <w:rPr>
          <w:rFonts w:ascii="Arial" w:eastAsia="Arial" w:hAnsi="Arial" w:cs="Arial"/>
          <w:sz w:val="24"/>
          <w:szCs w:val="24"/>
          <w:lang w:val="mn-MN"/>
        </w:rPr>
        <w:t>асгийн газарт оноосон зүйл заалтуудаас харагдаж байна. Үүнд:</w:t>
      </w:r>
    </w:p>
    <w:p w14:paraId="1AF7F1CD" w14:textId="77777777" w:rsidR="000A6E31" w:rsidRPr="00EC102E" w:rsidRDefault="00DF52AE">
      <w:pPr>
        <w:numPr>
          <w:ilvl w:val="0"/>
          <w:numId w:val="3"/>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Эрүүл мэнд, спорт, боловсрол, соёл урлаг болон нийгмийн бусад үйлчилгээ нь хүүхдийн хөгжлийг дэмжсэн байна.</w:t>
      </w:r>
    </w:p>
    <w:p w14:paraId="35040AA2" w14:textId="77777777" w:rsidR="000A6E31" w:rsidRPr="00EC102E" w:rsidRDefault="00DF52AE">
      <w:pPr>
        <w:numPr>
          <w:ilvl w:val="0"/>
          <w:numId w:val="3"/>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Хүүхдийн хөгжлийг дэмжих үйлчилгээ үзүүлэх байгууллага үйлчилгээний бодлого, хөтөлбөртэй байх бөгөөд эрх бүхий этгээдээс баталсан хүүхдийн хөгжлийг дэмжих үйлчилгээний стандартыг мөрдөж ажиллана.</w:t>
      </w:r>
    </w:p>
    <w:p w14:paraId="7718B56D" w14:textId="77777777" w:rsidR="000A6E31" w:rsidRPr="00EC102E" w:rsidRDefault="00DF52AE">
      <w:pPr>
        <w:numPr>
          <w:ilvl w:val="0"/>
          <w:numId w:val="3"/>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хөгжлийг дэмжих үйлчилгээг санхүүжүүлэх аргачлал, үйлчилгээний  зардлын нормативыг хүүхэд, гэр бүлийн хөгжлийн, боловсролын болон санхүү, төсвийн асуудал эрхэлсэн Засгийн газрын гишүүд хамтран батална гэсэн зэрэг болно. </w:t>
      </w:r>
    </w:p>
    <w:p w14:paraId="09F508DE" w14:textId="77777777" w:rsidR="000A6E31" w:rsidRPr="00EC102E" w:rsidRDefault="000A6E31">
      <w:pPr>
        <w:spacing w:after="0" w:line="240" w:lineRule="auto"/>
        <w:jc w:val="both"/>
        <w:rPr>
          <w:rFonts w:ascii="Arial" w:eastAsia="Arial" w:hAnsi="Arial" w:cs="Arial"/>
          <w:sz w:val="24"/>
          <w:szCs w:val="24"/>
          <w:lang w:val="mn-MN"/>
        </w:rPr>
      </w:pPr>
    </w:p>
    <w:p w14:paraId="1861E047"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Мөн хүүхдийн хөгжлийг шууд дэмжих нэгэн шинэ заалт нь  тус хуулийн </w:t>
      </w:r>
    </w:p>
    <w:p w14:paraId="7DE5BD09" w14:textId="5282A490"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13 дугаар зүйлийн 13.1.10-т “</w:t>
      </w:r>
      <w:r w:rsidR="005351E1">
        <w:rPr>
          <w:rFonts w:ascii="Arial" w:eastAsia="Arial" w:hAnsi="Arial" w:cs="Arial"/>
          <w:sz w:val="24"/>
          <w:szCs w:val="24"/>
          <w:lang w:val="mn-MN"/>
        </w:rPr>
        <w:t>Х</w:t>
      </w:r>
      <w:r w:rsidRPr="00EC102E">
        <w:rPr>
          <w:rFonts w:ascii="Arial" w:eastAsia="Arial" w:hAnsi="Arial" w:cs="Arial"/>
          <w:sz w:val="24"/>
          <w:szCs w:val="24"/>
          <w:lang w:val="mn-MN"/>
        </w:rPr>
        <w:t>үүхдийн хөгжлийг дэмжих үйлчилгээнд хөгжлийн бэрхшээлтэй хүүхдийг хамруулахад шаардагдах зардлыг жил бүрийн төсөвт тусгаж, батлуулах арга хэмжээ авах” гэж заасан нь болно.</w:t>
      </w:r>
    </w:p>
    <w:p w14:paraId="7191F9C7" w14:textId="77777777" w:rsidR="000A6E31" w:rsidRPr="00EC102E" w:rsidRDefault="000A6E31">
      <w:pPr>
        <w:spacing w:after="0" w:line="240" w:lineRule="auto"/>
        <w:jc w:val="both"/>
        <w:rPr>
          <w:rFonts w:ascii="Arial" w:eastAsia="Arial" w:hAnsi="Arial" w:cs="Arial"/>
          <w:sz w:val="24"/>
          <w:szCs w:val="24"/>
          <w:lang w:val="mn-MN"/>
        </w:rPr>
      </w:pPr>
    </w:p>
    <w:p w14:paraId="08283CB6" w14:textId="6EF0B690"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Тус хуулийн 20 дугаар зүйл нь хүүхдийн эрхийн хэрэгжилтийн хяналтад чиглэсэн бол 20.4 дугаар зүйл заалтад хүүхдийн нэрийн өмнөөс хуулиар олгогдсон чиг үүргийг хэрэгжүүлэх, сум, дүүргийн холбогдох этгээдийн хүүхдийн эсрэг зөрчлийг шалган шийдвэрлэх замаар хууль тогтоомжийн биелэлтийг хангуулах эрх мэдэл, үүрэг хүлээсэн хүүхдийн эрхийн улсын байцаагчийг томилох тухай заасан. Эцэст нь ХЭК болон бусад олон улсын эрх зүйн баримт бичигт заасан Засгийн газрын чиг үүргийн дагуу хүүхдийн эрхийн хэрэгжилтийг үндэсний хэмжээнд хянах тухай Хүүхдийн эрхийн тухай хуульд заажээ.</w:t>
      </w:r>
      <w:r w:rsidRPr="00EC102E">
        <w:rPr>
          <w:rFonts w:ascii="Arial" w:eastAsia="Arial" w:hAnsi="Arial" w:cs="Arial"/>
          <w:sz w:val="24"/>
          <w:szCs w:val="24"/>
          <w:vertAlign w:val="superscript"/>
          <w:lang w:val="mn-MN"/>
        </w:rPr>
        <w:footnoteReference w:id="2"/>
      </w:r>
    </w:p>
    <w:p w14:paraId="0AADB783" w14:textId="77777777" w:rsidR="000A6E31" w:rsidRPr="00EC102E" w:rsidRDefault="000A6E31">
      <w:pPr>
        <w:spacing w:after="0" w:line="240" w:lineRule="auto"/>
        <w:jc w:val="both"/>
        <w:rPr>
          <w:rFonts w:ascii="Arial" w:eastAsia="Arial" w:hAnsi="Arial" w:cs="Arial"/>
          <w:sz w:val="24"/>
          <w:szCs w:val="24"/>
          <w:lang w:val="mn-MN"/>
        </w:rPr>
      </w:pPr>
    </w:p>
    <w:p w14:paraId="4565C234"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эрхийн тухай хуулийн 2024 оны нэмэлт өөрчлөлт нь хүүхдийн хөгжих эрхийн концепцийг өргөжүүлж, тус эрхийн тэр дундаа сургуулийн өмнөх болон ерөнхий боловсролоос гадуурх хөгжлийн үйл ажиллагаа/үйлчилгээ болон үүнтэй холбоотой төрийн үүргийг  тодорхойлж харьцангуй бодитой хэрэгжих үндэс суурийг тавьжээ. </w:t>
      </w:r>
    </w:p>
    <w:p w14:paraId="6BD825C5" w14:textId="77777777" w:rsidR="000A6E31" w:rsidRPr="00EC102E" w:rsidRDefault="000A6E31">
      <w:pPr>
        <w:widowControl w:val="0"/>
        <w:spacing w:before="99" w:after="0" w:line="240" w:lineRule="auto"/>
        <w:ind w:right="3" w:firstLine="720"/>
        <w:jc w:val="both"/>
        <w:rPr>
          <w:rFonts w:ascii="Arial" w:eastAsia="Arial" w:hAnsi="Arial" w:cs="Arial"/>
          <w:sz w:val="24"/>
          <w:szCs w:val="24"/>
          <w:lang w:val="mn-MN"/>
        </w:rPr>
      </w:pPr>
    </w:p>
    <w:p w14:paraId="5E2DF173"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b/>
          <w:sz w:val="24"/>
          <w:szCs w:val="24"/>
          <w:lang w:val="mn-MN"/>
        </w:rPr>
        <w:t>Хүүхэд хамгааллын тухай хуулийн</w:t>
      </w:r>
      <w:r w:rsidRPr="00EC102E">
        <w:rPr>
          <w:rFonts w:ascii="Arial" w:eastAsia="Arial" w:hAnsi="Arial" w:cs="Arial"/>
          <w:sz w:val="24"/>
          <w:szCs w:val="24"/>
          <w:lang w:val="mn-MN"/>
        </w:rPr>
        <w:t xml:space="preserve"> шинэчилсэн найруулга нь мөн л 2024 онд батлагдсан бөгөөд хуулийн зорилго нь хүүхэд хамгааллын үндэсний тогтолцоо, хүүхэд хамгаалалд оролцогч талуудын эрх, үүргийг тодорхойлох, хүүхдийг эрсдэлт нөхцөлд өртөхөөс урьдчилан сэргийлэх, хүүхдэд шаардлагатай тусламж, үйлчилгээг үзүүлэх замаар хүүхдийн аюулгүй байдал, хүүхдийн хамгаалуулах эрх, хүүхдийн сайн сайхан байдлыг хангахад оршино гэжээ. </w:t>
      </w:r>
    </w:p>
    <w:p w14:paraId="23949E6C" w14:textId="77777777" w:rsidR="000A6E31" w:rsidRPr="00EC102E" w:rsidRDefault="000A6E31">
      <w:pPr>
        <w:spacing w:after="0" w:line="240" w:lineRule="auto"/>
        <w:jc w:val="both"/>
        <w:rPr>
          <w:rFonts w:ascii="Arial" w:eastAsia="Arial" w:hAnsi="Arial" w:cs="Arial"/>
          <w:sz w:val="24"/>
          <w:szCs w:val="24"/>
          <w:lang w:val="mn-MN"/>
        </w:rPr>
      </w:pPr>
    </w:p>
    <w:p w14:paraId="178E6051" w14:textId="5C6280CC"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Тус хуульд зааснаар "</w:t>
      </w:r>
      <w:r w:rsidR="00BB1078">
        <w:rPr>
          <w:rFonts w:ascii="Arial" w:eastAsia="Arial" w:hAnsi="Arial" w:cs="Arial"/>
          <w:sz w:val="24"/>
          <w:szCs w:val="24"/>
          <w:lang w:val="mn-MN"/>
        </w:rPr>
        <w:t>Х</w:t>
      </w:r>
      <w:r w:rsidRPr="00EC102E">
        <w:rPr>
          <w:rFonts w:ascii="Arial" w:eastAsia="Arial" w:hAnsi="Arial" w:cs="Arial"/>
          <w:sz w:val="24"/>
          <w:szCs w:val="24"/>
          <w:lang w:val="mn-MN"/>
        </w:rPr>
        <w:t>үүхдийн сайн сайхан байдал" гэх ойлголтын салшгүй нэг хэсгийг “</w:t>
      </w:r>
      <w:r w:rsidR="008A36E2">
        <w:rPr>
          <w:rFonts w:ascii="Arial" w:eastAsia="Arial" w:hAnsi="Arial" w:cs="Arial"/>
          <w:sz w:val="24"/>
          <w:szCs w:val="24"/>
          <w:lang w:val="mn-MN"/>
        </w:rPr>
        <w:t>Х</w:t>
      </w:r>
      <w:r w:rsidRPr="00EC102E">
        <w:rPr>
          <w:rFonts w:ascii="Arial" w:eastAsia="Arial" w:hAnsi="Arial" w:cs="Arial"/>
          <w:sz w:val="24"/>
          <w:szCs w:val="24"/>
          <w:lang w:val="mn-MN"/>
        </w:rPr>
        <w:t>үүхдийн хөгжлийг дэмжсэн орчин нөхцөл” гэж тодорхойлж “</w:t>
      </w:r>
      <w:r w:rsidR="001F78DD">
        <w:rPr>
          <w:rFonts w:ascii="Arial" w:eastAsia="Arial" w:hAnsi="Arial" w:cs="Arial"/>
          <w:sz w:val="24"/>
          <w:szCs w:val="24"/>
          <w:lang w:val="mn-MN"/>
        </w:rPr>
        <w:t>Т</w:t>
      </w:r>
      <w:r w:rsidRPr="00EC102E">
        <w:rPr>
          <w:rFonts w:ascii="Arial" w:eastAsia="Arial" w:hAnsi="Arial" w:cs="Arial"/>
          <w:sz w:val="24"/>
          <w:szCs w:val="24"/>
          <w:lang w:val="mn-MN"/>
        </w:rPr>
        <w:t>өр хүүхдийг хамгаалахдаа хүүхдийн аюулгүй, сайн сайхан байдлыг хангах зорилгод хүрэхэд зайлшгүй, тохирсон арга хэмжээ авах” нь хүүхэд хамгааллын зарчим гэжээ (ХХТХ-ийн 4 ба 5 дугаар зүйлүүд).</w:t>
      </w:r>
    </w:p>
    <w:p w14:paraId="4C11B70D" w14:textId="77777777" w:rsidR="000A6E31" w:rsidRPr="00EC102E" w:rsidRDefault="000A6E31">
      <w:pPr>
        <w:spacing w:after="0" w:line="240" w:lineRule="auto"/>
        <w:jc w:val="both"/>
        <w:rPr>
          <w:rFonts w:ascii="Arial" w:eastAsia="Arial" w:hAnsi="Arial" w:cs="Arial"/>
          <w:sz w:val="24"/>
          <w:szCs w:val="24"/>
          <w:lang w:val="mn-MN"/>
        </w:rPr>
      </w:pPr>
    </w:p>
    <w:p w14:paraId="5EA84D54" w14:textId="746EABC0"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Дээрх зарчмын дагуу хүүхэд хамгааллын тогтолцооны удирдлага, зохион байгуулалтыг голлон хэрэгжүүлэгч нь Засгийн газар байх бөгөөд “</w:t>
      </w:r>
      <w:r w:rsidR="00A918EC">
        <w:rPr>
          <w:rFonts w:ascii="Arial" w:eastAsia="Arial" w:hAnsi="Arial" w:cs="Arial"/>
          <w:sz w:val="24"/>
          <w:szCs w:val="24"/>
          <w:lang w:val="mn-MN"/>
        </w:rPr>
        <w:t>Х</w:t>
      </w:r>
      <w:r w:rsidRPr="00EC102E">
        <w:rPr>
          <w:rFonts w:ascii="Arial" w:eastAsia="Arial" w:hAnsi="Arial" w:cs="Arial"/>
          <w:sz w:val="24"/>
          <w:szCs w:val="24"/>
          <w:lang w:val="mn-MN"/>
        </w:rPr>
        <w:t>үүхэд хамгааллын хууль тогтоомжийн биелэлтийг хангах, Монгол Улсын урт, дунд, богино хугацааны хөгжлийн бодлого, төлөвлөлтийн баримт бичигт хүүхдийн эрх, хүүхдийн сайн сайхан байдлыг хангах талаар хэрэгжүүлэх үйл ажиллагаа, арга хэмжээг тусгах, хүүхэд хамгааллыг тогтвортой санхүүжилтээр хангах үүрэгтэй ” гэжээ. Тиймээс Засгийн газар нь хүүхдийн хөгжлийг дэмжсэн орчин нөхц</w:t>
      </w:r>
      <w:r w:rsidR="00E168F3">
        <w:rPr>
          <w:rFonts w:ascii="Arial" w:eastAsia="Arial" w:hAnsi="Arial" w:cs="Arial"/>
          <w:sz w:val="24"/>
          <w:szCs w:val="24"/>
          <w:lang w:val="mn-MN"/>
        </w:rPr>
        <w:t>ө</w:t>
      </w:r>
      <w:r w:rsidRPr="00EC102E">
        <w:rPr>
          <w:rFonts w:ascii="Arial" w:eastAsia="Arial" w:hAnsi="Arial" w:cs="Arial"/>
          <w:sz w:val="24"/>
          <w:szCs w:val="24"/>
          <w:lang w:val="mn-MN"/>
        </w:rPr>
        <w:t xml:space="preserve">лийг бий болгох бодлогын арга хэмжээ авч, тогтвортой санхүүжилтээр хангах үүрэгтэй байна. </w:t>
      </w:r>
    </w:p>
    <w:p w14:paraId="79AB8706"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b/>
          <w:sz w:val="24"/>
          <w:szCs w:val="24"/>
          <w:lang w:val="mn-MN"/>
        </w:rPr>
        <w:t xml:space="preserve">Гэр бүлийн тухай хуулийг </w:t>
      </w:r>
      <w:r w:rsidRPr="00EC102E">
        <w:rPr>
          <w:rFonts w:ascii="Arial" w:eastAsia="Arial" w:hAnsi="Arial" w:cs="Arial"/>
          <w:sz w:val="24"/>
          <w:szCs w:val="24"/>
          <w:lang w:val="mn-MN"/>
        </w:rPr>
        <w:t xml:space="preserve">1999 онд баталсан бөгөөд тус хуулийн зорилго нь гэр бүлийн харилцаа, ялангуяа гэрлэлт, гэрлэлт дуусгавар болох, энэ үед гэр бүлийн гишүүдийн эд хөрөнгийн болон эд хөрөнгийн бус харилцаа зохицуулахад чиглэгдсэн. Гэвч, тус хуулийн 5 дугаар бүлэг нь хүүхдийн үрчлэлт, асран хамгаалагч тогтоох зэрэг эцэг, эх, хүүхдийн хоорондын харилцааг зохицуулдаг. Энэ бүлэгт гэрлэлтээ бүртгүүлээгүй хүмүүсийн дундаас төрсөн хүүхэд нь гэрлэлтээ бүртгүүлсэн гэр бүлээс төрсөн хүүхдийн адил эрх эдлэх, гэрлэлтээ бүртгүүлээгүй эцэг, эхээс төрсөн болон гэрлэгчдийн хэн нэгний нь дагавар хүүхдийг ялгаварлан гадуурхахыг хориглох тухай тус тус заасан. </w:t>
      </w:r>
    </w:p>
    <w:p w14:paraId="4467E684" w14:textId="4F0D999D"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Энэ хуульд мөн “</w:t>
      </w:r>
      <w:r w:rsidR="00800ABB">
        <w:rPr>
          <w:rFonts w:ascii="Arial" w:eastAsia="Arial" w:hAnsi="Arial" w:cs="Arial"/>
          <w:sz w:val="24"/>
          <w:szCs w:val="24"/>
          <w:lang w:val="mn-MN"/>
        </w:rPr>
        <w:t>Х</w:t>
      </w:r>
      <w:r w:rsidRPr="00EC102E">
        <w:rPr>
          <w:rFonts w:ascii="Arial" w:eastAsia="Arial" w:hAnsi="Arial" w:cs="Arial"/>
          <w:sz w:val="24"/>
          <w:szCs w:val="24"/>
          <w:lang w:val="mn-MN"/>
        </w:rPr>
        <w:t xml:space="preserve">үнд нөхцөл дэх хүүхэд” -ийн тухай заасан. Гэр бүлийн тухай хуульд зааснаар эцэг эх, асран хамгаалагч, харгалзан дэмжигч хүүхдийн дээд ашиг сонирхлыг хангахгүй бол сум, дүүргийн Засаг дарга хүүхдийн ашиг сонирхлыг хамгаалах төлөөлөгч томилох, түүнчлэн бүтэн өнчин, эцэг, эх нь хоёулаа эрх зүйн чадамжгүй гэж тооцогдсон болон эцэг, эх байх эрхээ хязгаарлуулсан, хасуулсан, удаан хугацаагаар хүүхдээ тэжээн тэтгэх боломжгүй, хорих газарт ял эдэлж байгаа хүний хүүхдийг сум, дүүргийн Засаг дарга хамгаална гэж заасан. </w:t>
      </w:r>
    </w:p>
    <w:p w14:paraId="6103412C"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Гэр бүлийн хүчирхийлэлтэй тэмцэх тухай хуультай адил, сургууль, цэцэрлэг, эмнэлгийн байгууллагын ажилтнууд хүүхдийн тухай мэдээлэх үүрэгтэй бөгөөд мэдээлэл авсан сум, дүүргийн Засаг дарга гурав хоногийн дотор эцэг, эх, асран хамгаалагч нь хүүхдээ хамгаалах чадвартай эсэхийг тодорхойлох нөхцөл байдлын үнэлгээ хийх үүрэгтэй. Засаг даргад мөн 'хүүхдийг хүнд нөхцөл дэх хүүхэд' гэж бүртгэх эрх мэдэл байх бөгөөд хүүхдийг асран хамгаалах хүсэлт гаргасан иргэнд шилжүүлэх эсхүл тийм боломж байхгүй бол асран хамгаалагч, харгалзан дэмжигч тогтоолгох, үрчлүүлэх, хүүхэд асран хүмүүжүүлэх байгууллагад шилжүүлэх асуудлыг шийдвэрлэнэ. Түүнээс гадна Гэр бүлийн тухай </w:t>
      </w:r>
      <w:r w:rsidRPr="00EC102E">
        <w:rPr>
          <w:rFonts w:ascii="Arial" w:eastAsia="Arial" w:hAnsi="Arial" w:cs="Arial"/>
          <w:sz w:val="24"/>
          <w:szCs w:val="24"/>
          <w:lang w:val="mn-MN"/>
        </w:rPr>
        <w:lastRenderedPageBreak/>
        <w:t xml:space="preserve">хуулиар эцэг, эх байх эрхийг хязгаарлах, тодорхой тохиолдолд эцэг эх байх эрхээ алдахад хүргэх 'эцэг, эх байх эрхийг хасах' хүртэлх эрхийг шүүхэд олгодог. Ийм эцэг, эхийн хүүхдийг асран хүмүүжүүлэх, халамжийн байгууллагад шилжүүлнэ. </w:t>
      </w:r>
    </w:p>
    <w:p w14:paraId="54E8326A"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Сүүлийн 20 жилийн хугацаанд үйлчилж байсан </w:t>
      </w:r>
      <w:r w:rsidRPr="00EC102E">
        <w:rPr>
          <w:rFonts w:ascii="Arial" w:eastAsia="Arial" w:hAnsi="Arial" w:cs="Arial"/>
          <w:b/>
          <w:sz w:val="24"/>
          <w:szCs w:val="24"/>
          <w:lang w:val="mn-MN"/>
        </w:rPr>
        <w:t>Боловсролын тухай хууль</w:t>
      </w:r>
      <w:r w:rsidRPr="00EC102E">
        <w:rPr>
          <w:rFonts w:ascii="Arial" w:eastAsia="Arial" w:hAnsi="Arial" w:cs="Arial"/>
          <w:sz w:val="24"/>
          <w:szCs w:val="24"/>
          <w:lang w:val="mn-MN"/>
        </w:rPr>
        <w:t xml:space="preserve"> 2002 онд батлагдаж байсан бол 2023 оны Боловсролын багц хууль шинэчлэгдэж Боловсролын ерөнхий хууль, Сургуулийн өмнөх болон ерөнхий боловсролын тухай хуулийн шинэчилсэн найруулгыг баталсан. Тус хуулиудаар хүүхдийн сургуулийн өмнөх болон ерөнхий боловсрол эзэмших нас, сургалтын тогтолцоо, сургууль болон төрийн захиргааны байгууллага, орон нутгийн засаг захиргааны хүүхдэд боловсрол олгоход баримтлах бодлого, чиг үүрэг зэргийг тодорхойлж өгсөн. Мөн тус хуулиар Сургуулийн өмнөх боловсролын зорилго нь бага насны хүүхдийн бие бялдар, танин мэдэхүй, нийгэмшлийн хөгжлийг дэмжиж, сургуульд бэлтгэхэд орших бол Ерөнхий боловсролын зорилго нь суралцагчийг бие даан сурч, амьдрахад шаардагдах суурь мэдлэг, чадварыг хөгжүүлж, ёс суртахуунтай, хариуцлагатай, ажил мэргэжлийн чиг баримжаатай иргэнийг төлөвшүүлэхэд оршино гэж боловсролын хүүхэд олгох мэдлэг боловсролыг тодорхойлсон. </w:t>
      </w:r>
    </w:p>
    <w:p w14:paraId="6AE2E8E4" w14:textId="6F42F54C"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Бодлогын баримт бичгүүдийн хувьд Монгол Улсын Засгийн газраас 1997 оны 1 сарын 22-ны өдрийн 30 дугаар тогтоолоор “Сурагч, өсвөр үеийнхний эрүүл мэнд” үндэсний хөтөлбөр, 2013 оны 295 дугаар тогтоолоор “Зөв монгол хүүхэд” үндэсний хөтөлбөр, 2017 оны 9 сарын 20-ны өдрийн 270 дугаар тогтоолоор “Хүүхдийн хөгжил хамгааллын үндэсний хөтөлбөр”</w:t>
      </w:r>
      <w:r w:rsidR="0099066A">
        <w:rPr>
          <w:rFonts w:ascii="Arial" w:eastAsia="Arial" w:hAnsi="Arial" w:cs="Arial"/>
          <w:sz w:val="24"/>
          <w:szCs w:val="24"/>
          <w:lang w:val="mn-MN"/>
        </w:rPr>
        <w:t xml:space="preserve"> </w:t>
      </w:r>
      <w:r w:rsidRPr="00EC102E">
        <w:rPr>
          <w:rFonts w:ascii="Arial" w:eastAsia="Arial" w:hAnsi="Arial" w:cs="Arial"/>
          <w:sz w:val="24"/>
          <w:szCs w:val="24"/>
          <w:lang w:val="mn-MN"/>
        </w:rPr>
        <w:t>/2017-2021/-ийг батлан хэрэгжүүлж байсан</w:t>
      </w:r>
      <w:r w:rsidR="00CA530D">
        <w:rPr>
          <w:rFonts w:ascii="Arial" w:eastAsia="Arial" w:hAnsi="Arial" w:cs="Arial"/>
          <w:sz w:val="24"/>
          <w:szCs w:val="24"/>
          <w:lang w:val="mn-MN"/>
        </w:rPr>
        <w:t>.</w:t>
      </w:r>
      <w:r w:rsidRPr="00EC102E">
        <w:rPr>
          <w:rFonts w:ascii="Arial" w:eastAsia="Arial" w:hAnsi="Arial" w:cs="Arial"/>
          <w:sz w:val="24"/>
          <w:szCs w:val="24"/>
          <w:lang w:val="mn-MN"/>
        </w:rPr>
        <w:t xml:space="preserve"> </w:t>
      </w:r>
      <w:r w:rsidR="00CA530D">
        <w:rPr>
          <w:rFonts w:ascii="Arial" w:eastAsia="Arial" w:hAnsi="Arial" w:cs="Arial"/>
          <w:sz w:val="24"/>
          <w:szCs w:val="24"/>
          <w:lang w:val="mn-MN"/>
        </w:rPr>
        <w:t>Э</w:t>
      </w:r>
      <w:r w:rsidRPr="00EC102E">
        <w:rPr>
          <w:rFonts w:ascii="Arial" w:eastAsia="Arial" w:hAnsi="Arial" w:cs="Arial"/>
          <w:sz w:val="24"/>
          <w:szCs w:val="24"/>
          <w:lang w:val="mn-MN"/>
        </w:rPr>
        <w:t xml:space="preserve">дгээр нь хүүхдийн түлхүү боловсрол, хүүхдийн хамгаалалд чиглэсэн бөгөөд хэрэгжих хугацаанууд нь дуусгавар болсон байна. </w:t>
      </w:r>
    </w:p>
    <w:p w14:paraId="04CC2E0A" w14:textId="30208E83"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69496B">
        <w:rPr>
          <w:rFonts w:ascii="Arial" w:eastAsia="Arial" w:hAnsi="Arial" w:cs="Arial"/>
          <w:sz w:val="24"/>
          <w:szCs w:val="24"/>
          <w:lang w:val="mn-MN"/>
        </w:rPr>
        <w:t>У</w:t>
      </w:r>
      <w:r w:rsidRPr="00EC102E">
        <w:rPr>
          <w:rFonts w:ascii="Arial" w:eastAsia="Arial" w:hAnsi="Arial" w:cs="Arial"/>
          <w:sz w:val="24"/>
          <w:szCs w:val="24"/>
          <w:lang w:val="mn-MN"/>
        </w:rPr>
        <w:t xml:space="preserve">лсад 2024 оны байдлаар 264.8 мянган хүүхэд 1407 цэцэрлэгт, 797,9 мянган хүүхэд 885 Ерөнхий боловсролын сургуульд суралцаж байгаа бөгөөд үүнээс 1024 цэцэрлэг нь төрийн өмчийнх, 383 нь хувийн өмчийнх, ЕБС-ийн 705 нь төрийн өмчийнх бол 180 нь хувийн өмчийн сургууль үйл ажиллагаа явуулж байна. </w:t>
      </w:r>
    </w:p>
    <w:p w14:paraId="280EEA3C"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Бүх шатны боловсролын чанар, хүртээмжийг дээшлүүлэх, хөдөлмөрийн зах зээлийн эрэлтэд нийцсэн мэргэжлийн болон техникийн боловсрол олгох чиглэлээр салбарт зарцуулах санхүүжилтийг нэмэгдүүлж 2024 онд ДНБ-ий 5.7 хувьд хүргэлээ. Сургуулийн өмнөх болон ерөнхий боловсролын салбарт гүйцэтгэлийн үр дүнд суурилсан санхүүжилтийн тогтолцоог бүрэн хэрэгжүүлж, 2024 онд боловсролын салбарт зарцуулах төсөв улсын төсвийн нийт зарлагын 13.7 хувьд хүрсэн бөгөөд Боловсролын салбарын төсвийн улсын нийт төсөвт эзлэх хувь 19.6 хувь болж өссөн.</w:t>
      </w:r>
    </w:p>
    <w:p w14:paraId="5F3CC6E7"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Гэвч НҮБ-ын Хөгжлийн хөтөлбөрөөс /НҮБХХ/  жил бүр гаргадаг хүний хөгжлийн индексээр 2025 оны байдлаар  дэлхийн 193 орноос 104-т жагсаж байна.</w:t>
      </w:r>
      <w:r w:rsidRPr="00EC102E">
        <w:rPr>
          <w:rFonts w:ascii="Arial" w:eastAsia="Arial" w:hAnsi="Arial" w:cs="Arial"/>
          <w:sz w:val="24"/>
          <w:szCs w:val="24"/>
          <w:vertAlign w:val="superscript"/>
          <w:lang w:val="mn-MN"/>
        </w:rPr>
        <w:footnoteReference w:id="3"/>
      </w:r>
      <w:r w:rsidRPr="00EC102E">
        <w:rPr>
          <w:rFonts w:ascii="Arial" w:eastAsia="Arial" w:hAnsi="Arial" w:cs="Arial"/>
          <w:sz w:val="24"/>
          <w:szCs w:val="24"/>
          <w:lang w:val="mn-MN"/>
        </w:rPr>
        <w:t xml:space="preserve"> </w:t>
      </w:r>
    </w:p>
    <w:p w14:paraId="39A77438" w14:textId="24EB31A3"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Мөн Эдийн засгийн хамтын ажиллагаа, хөгжлийн байгууллага (ЭЗХАХБ/ OECD) 3 жил тутам Боловсролын олон улсын чанарын үнэлгээ- Programme for International Student Assessment (PISA) тайлангийн хамгийн сүүлийн буюу 2022 оны байдлаар 81 улсаас 51-т жагсаж байгаа</w:t>
      </w:r>
      <w:r w:rsidRPr="00EC102E">
        <w:rPr>
          <w:rFonts w:ascii="Arial" w:eastAsia="Arial" w:hAnsi="Arial" w:cs="Arial"/>
          <w:sz w:val="24"/>
          <w:szCs w:val="24"/>
          <w:vertAlign w:val="superscript"/>
          <w:lang w:val="mn-MN"/>
        </w:rPr>
        <w:footnoteReference w:id="4"/>
      </w:r>
      <w:r w:rsidRPr="00EC102E">
        <w:rPr>
          <w:rFonts w:ascii="Arial" w:eastAsia="Arial" w:hAnsi="Arial" w:cs="Arial"/>
          <w:sz w:val="24"/>
          <w:szCs w:val="24"/>
          <w:lang w:val="mn-MN"/>
        </w:rPr>
        <w:t xml:space="preserve"> нь манай</w:t>
      </w:r>
      <w:r w:rsidR="00466E3E">
        <w:rPr>
          <w:rFonts w:ascii="Arial" w:eastAsia="Arial" w:hAnsi="Arial" w:cs="Arial"/>
          <w:sz w:val="24"/>
          <w:szCs w:val="24"/>
          <w:lang w:val="mn-MN"/>
        </w:rPr>
        <w:t xml:space="preserve"> </w:t>
      </w:r>
      <w:r w:rsidRPr="00EC102E">
        <w:rPr>
          <w:rFonts w:ascii="Arial" w:eastAsia="Arial" w:hAnsi="Arial" w:cs="Arial"/>
          <w:sz w:val="24"/>
          <w:szCs w:val="24"/>
          <w:lang w:val="mn-MN"/>
        </w:rPr>
        <w:t xml:space="preserve">улс хүний хөгжил, хүүхдүүдийн боловсролын үзүүлэлтээр дэлхийд дундажаас доогуур үзүүлэлттэй явж байна гэдэг нь харагдаж байна. </w:t>
      </w:r>
    </w:p>
    <w:p w14:paraId="68225C30" w14:textId="64C9D25A"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Мөн Үндэсний статистикийн </w:t>
      </w:r>
      <w:r w:rsidR="00E91527">
        <w:rPr>
          <w:rFonts w:ascii="Arial" w:eastAsia="Arial" w:hAnsi="Arial" w:cs="Arial"/>
          <w:sz w:val="24"/>
          <w:szCs w:val="24"/>
          <w:lang w:val="mn-MN"/>
        </w:rPr>
        <w:t xml:space="preserve">хорооноос </w:t>
      </w:r>
      <w:r w:rsidRPr="00EC102E">
        <w:rPr>
          <w:rFonts w:ascii="Arial" w:eastAsia="Arial" w:hAnsi="Arial" w:cs="Arial"/>
          <w:sz w:val="24"/>
          <w:szCs w:val="24"/>
          <w:lang w:val="mn-MN"/>
        </w:rPr>
        <w:t xml:space="preserve">гаргасан судалгаагаар 2020-2024 оны байдлаар хүүхэд оролцсон гэмт хэрэг 811-ээс 1373 болж нэмэгдсэн бол </w:t>
      </w:r>
      <w:r w:rsidRPr="00EC102E">
        <w:rPr>
          <w:rFonts w:ascii="Arial" w:eastAsia="Arial" w:hAnsi="Arial" w:cs="Arial"/>
          <w:sz w:val="24"/>
          <w:szCs w:val="24"/>
          <w:lang w:val="mn-MN"/>
        </w:rPr>
        <w:lastRenderedPageBreak/>
        <w:t xml:space="preserve">насанд хүрээгүй хүүхэд гэмт хэргийн хохирогч болсон үзүүлэлт 1101-ээс 2024 оны 10 сарын байдлаар 2413 болж нэмэгдсэн байна. </w:t>
      </w:r>
    </w:p>
    <w:p w14:paraId="09378119"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Энэ мэт насанд хүрээгүй хүүхэд гэмт хэрэг үйлдэх, гэмт хэргийн хохирогч болж байгаа нь нийгэм, эдийн засгийн олон хүчин зүйлүүдээс шалтгааж байгаагаас гадна хүүхдийн хичээлээс гадуур өөрийгөө хөгжүүлэх, цагийг зөв боловсон өнгөрүүлэх нөхцөл боломж дутмаг байгаатай холбоотой юм. </w:t>
      </w:r>
    </w:p>
    <w:p w14:paraId="5471CE4C" w14:textId="141E60D2" w:rsidR="000A6E31" w:rsidRPr="00EC102E" w:rsidRDefault="00DF52AE" w:rsidP="008D3487">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Хүүхэд завтай, зорилгогүй, хяналтгүй үед өөрийгөө батлах, сониуч зангаа хангах, нөлөө бүхий бүлэгт багтах хүсэлтэй болдог. Энэ нь сөрөг бүлэглэл, хорт зуршил, гэмт хэрэг рүү татагдах үндэс болдог.</w:t>
      </w:r>
      <w:r w:rsidR="008D3487">
        <w:rPr>
          <w:rFonts w:ascii="Arial" w:eastAsia="Arial" w:hAnsi="Arial" w:cs="Arial"/>
          <w:sz w:val="24"/>
          <w:szCs w:val="24"/>
          <w:lang w:val="mn-MN"/>
        </w:rPr>
        <w:t xml:space="preserve"> </w:t>
      </w:r>
      <w:r w:rsidRPr="00EC102E">
        <w:rPr>
          <w:rFonts w:ascii="Arial" w:eastAsia="Arial" w:hAnsi="Arial" w:cs="Arial"/>
          <w:sz w:val="24"/>
          <w:szCs w:val="24"/>
          <w:lang w:val="mn-MN"/>
        </w:rPr>
        <w:t xml:space="preserve">НҮБ-ын Хүүхдийн сан (UNICEF), НҮБХХ (UNDP) зэрэг байгууллагуудын тайлангуудаас харахад, чөлөөт цагийн аюулгүй, бүтээлч орчин дутмаг бүс нутагт хүүхдийн гэмт хэрэгт холбогдох, хохирогч болох үзэгдэл </w:t>
      </w:r>
      <w:r w:rsidRPr="00EC102E">
        <w:rPr>
          <w:rFonts w:ascii="Arial" w:eastAsia="Arial" w:hAnsi="Arial" w:cs="Arial"/>
          <w:i/>
          <w:sz w:val="24"/>
          <w:szCs w:val="24"/>
          <w:lang w:val="mn-MN"/>
        </w:rPr>
        <w:t>2-3 дахин өндөр</w:t>
      </w:r>
      <w:r w:rsidRPr="00EC102E">
        <w:rPr>
          <w:rFonts w:ascii="Arial" w:eastAsia="Arial" w:hAnsi="Arial" w:cs="Arial"/>
          <w:sz w:val="24"/>
          <w:szCs w:val="24"/>
          <w:lang w:val="mn-MN"/>
        </w:rPr>
        <w:t xml:space="preserve"> байгааг тогтоосон.</w:t>
      </w:r>
    </w:p>
    <w:p w14:paraId="2D04128D" w14:textId="619ECC62"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8D3487">
        <w:rPr>
          <w:rFonts w:ascii="Arial" w:eastAsia="Arial" w:hAnsi="Arial" w:cs="Arial"/>
          <w:sz w:val="24"/>
          <w:szCs w:val="24"/>
          <w:lang w:val="mn-MN"/>
        </w:rPr>
        <w:t>У</w:t>
      </w:r>
      <w:r w:rsidRPr="00EC102E">
        <w:rPr>
          <w:rFonts w:ascii="Arial" w:eastAsia="Arial" w:hAnsi="Arial" w:cs="Arial"/>
          <w:sz w:val="24"/>
          <w:szCs w:val="24"/>
          <w:lang w:val="mn-MN"/>
        </w:rPr>
        <w:t>лсад алслагдсан дүүрэг болон орон нутгийн түвшинд хүүхдэд зориулсан ногоон байгууламж, спортын талбай, чөлөөт цагаа өнгөрөөх төвүүд хомс байдаг. Сургуулийн хичээлийн бус цагаар хүүхдүүд хяналтгүй, хөндлөнгийн оролцоогүй нөхцөлд бүлэглэн гадуур сэлгүүцэх, цахим орчинд хорт агуулгад автах эрсдэл нэмэгддэг. Ялангуяа хүүхдийн хөгжлийн төвүүд хүрэлцээгүй, дугуйлангийн хамрагдалт бага байгаа нь хүүхдийн оролцоог сулруулж, зан үйлийн эрсдэлийг нэмэгдүүлж байна.</w:t>
      </w:r>
    </w:p>
    <w:p w14:paraId="10487601" w14:textId="5577705C" w:rsidR="000A6E31" w:rsidRPr="00EC102E" w:rsidRDefault="00DF52AE">
      <w:pPr>
        <w:widowControl w:val="0"/>
        <w:spacing w:before="99" w:after="0" w:line="240" w:lineRule="auto"/>
        <w:ind w:right="3"/>
        <w:jc w:val="both"/>
        <w:rPr>
          <w:rFonts w:ascii="Arial" w:eastAsia="Arial" w:hAnsi="Arial" w:cs="Arial"/>
          <w:sz w:val="24"/>
          <w:szCs w:val="24"/>
          <w:lang w:val="mn-MN"/>
        </w:rPr>
      </w:pPr>
      <w:r w:rsidRPr="00EC102E">
        <w:rPr>
          <w:rFonts w:ascii="Arial" w:eastAsia="Arial" w:hAnsi="Arial" w:cs="Arial"/>
          <w:sz w:val="24"/>
          <w:szCs w:val="24"/>
          <w:lang w:val="mn-MN"/>
        </w:rPr>
        <w:tab/>
        <w:t xml:space="preserve">Энэхүү </w:t>
      </w:r>
      <w:r w:rsidR="000551B6">
        <w:rPr>
          <w:rFonts w:ascii="Arial" w:eastAsia="Arial" w:hAnsi="Arial" w:cs="Arial"/>
          <w:sz w:val="24"/>
          <w:szCs w:val="24"/>
          <w:lang w:val="mn-MN"/>
        </w:rPr>
        <w:t>т</w:t>
      </w:r>
      <w:r w:rsidRPr="00EC102E">
        <w:rPr>
          <w:rFonts w:ascii="Arial" w:eastAsia="Arial" w:hAnsi="Arial" w:cs="Arial"/>
          <w:sz w:val="24"/>
          <w:szCs w:val="24"/>
          <w:lang w:val="mn-MN"/>
        </w:rPr>
        <w:t xml:space="preserve">андан судалгаа болоод хүүхдийн хөгжлийг дэмжих тухай хуулийн төслийн хүрээнд зорилтот бүлэг нь 6-18 насны хүүхэд байна гэдгийг тэмдэглэх нь зүйтэй. Учир нь Монгол </w:t>
      </w:r>
      <w:r w:rsidR="00CD22CA">
        <w:rPr>
          <w:rFonts w:ascii="Arial" w:eastAsia="Arial" w:hAnsi="Arial" w:cs="Arial"/>
          <w:sz w:val="24"/>
          <w:szCs w:val="24"/>
          <w:lang w:val="mn-MN"/>
        </w:rPr>
        <w:t>У</w:t>
      </w:r>
      <w:r w:rsidRPr="00EC102E">
        <w:rPr>
          <w:rFonts w:ascii="Arial" w:eastAsia="Arial" w:hAnsi="Arial" w:cs="Arial"/>
          <w:sz w:val="24"/>
          <w:szCs w:val="24"/>
          <w:lang w:val="mn-MN"/>
        </w:rPr>
        <w:t xml:space="preserve">лс сургуулийн өмнөх насны буюу бага насны хүүхдийн цогц хөгжлийн бодлогыг тодорхойлсон бөгөөд арга зүй, тогтолцоо, механизмыг ялгаатай зохицуулах ёстой насны бүлгүүд юм. Энэ хүрээнд 2023 онд Боловсрол, шинжлэх ухаан, Эрүүл мэнд, Хөдөлмөр нийгмийн хамгааллын сайд нарын хамтарсан тушаалаар Бага насны хүүхдийн цогц хөгжлийг дэмжих арга хэмжээ (2023-2026) болон Бага насны хүүхдийн цогц хөгжлийг дэмжих арга хэмжээг хэрэгжүүлэх үйл ажиллагааны төлөвлөгөө гэх баримт бодлогын баримт бичгүүдийг баталсан байна. </w:t>
      </w:r>
    </w:p>
    <w:p w14:paraId="46E3C27B" w14:textId="77777777" w:rsidR="000A6E31" w:rsidRPr="00EC102E" w:rsidRDefault="00DF52AE">
      <w:pPr>
        <w:widowControl w:val="0"/>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 </w:t>
      </w:r>
    </w:p>
    <w:p w14:paraId="2AA8B26A" w14:textId="77777777" w:rsidR="000A6E31" w:rsidRPr="00EC102E" w:rsidRDefault="00DF52A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Тус бага насны хүүхдийн хөгжлийн бодлого нь хүүхэд бүр эрүүл, аз жаргалтай өсөж, хөгжих тэгш боломж, нөхцөлийг бүрдүүлж, тэдний ирээдүйн амьдралын чанарыг сайжруулахын тулд цогц хөгжлийг дэмжих үйлчилгээний үр ашигтай, нэгдмэл тогтолцоо бүрдүүлэх, Гэр бүл, олон нийтэд суурилсан хүүхдийн хөгжлийг дэмжих үйлчилгээг хөгжүүлэх,  бага насны хүүхдийн хөгжлийг дэмжих хүний нөөцийн чадавхыг бэхжүүлэх, бага насны хүүхдийн цогц хөгжлийн салбар дундын мэдээллийн санд суурилсан хяналтыг бий болгох зорилготой байна.</w:t>
      </w:r>
    </w:p>
    <w:p w14:paraId="24D15C29"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6-18 хүртэлх насны хүүхдийн хөгжил, тэдгээрийг цаг заваа зөв боловсон өнгөрүүлэх чиглэлээр тодорхой бодлогын шинжтэй үйл ажиллагаа бодитоор хэрэгжүүлэх арга замыг тодорхойлоогүй бөгөөд Боловсролын үйл ажиллагааны нэг төрөл болгон хууль тогтоомжид ерөнхий байдлаар тусгасан боловч түүнийг хэрэгжилтийг нь хангах арга замыг тодорхой болгоогүй орхигдуулсан байна. </w:t>
      </w:r>
    </w:p>
    <w:p w14:paraId="0EC94798" w14:textId="1567A941"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Тухайлбал</w:t>
      </w:r>
      <w:r w:rsidR="00446FFD">
        <w:rPr>
          <w:rFonts w:ascii="Arial" w:eastAsia="Arial" w:hAnsi="Arial" w:cs="Arial"/>
          <w:sz w:val="24"/>
          <w:szCs w:val="24"/>
          <w:lang w:val="mn-MN"/>
        </w:rPr>
        <w:t>,</w:t>
      </w:r>
      <w:r w:rsidRPr="00EC102E">
        <w:rPr>
          <w:rFonts w:ascii="Arial" w:eastAsia="Arial" w:hAnsi="Arial" w:cs="Arial"/>
          <w:sz w:val="24"/>
          <w:szCs w:val="24"/>
          <w:lang w:val="mn-MN"/>
        </w:rPr>
        <w:t xml:space="preserve"> Сургуулийн өмнөх болон ерөнхий боловсролын тухай хуулийн 20.10-т “Суралцагчийн суралцах үйл ажиллагаа, хөгжил төлөвшлийг дэмжих, ажил мэргэжлийн чиг баримжаа олгоход чиглэсэн хичээлээс гадуурх сургалт, үйл ажиллагаа нь ерөнхий боловсролын сургуулийн үйл ажиллагааны салшгүй хэсэг байна.”, мөн хуулийн 20.16.”Энэ хуулийн 20.10-т заасан хичээлээс гадуурх сургалт, үйл ажиллагааны үлгэрчилсэн хөтөлбөрийг боловсролын асуудал </w:t>
      </w:r>
      <w:r w:rsidRPr="00EC102E">
        <w:rPr>
          <w:rFonts w:ascii="Arial" w:eastAsia="Arial" w:hAnsi="Arial" w:cs="Arial"/>
          <w:sz w:val="24"/>
          <w:szCs w:val="24"/>
          <w:lang w:val="mn-MN"/>
        </w:rPr>
        <w:lastRenderedPageBreak/>
        <w:t xml:space="preserve">эрхэлсэн Засгийн газрын гишүүн батална” гэж тусагасан. </w:t>
      </w:r>
    </w:p>
    <w:p w14:paraId="5ACC5C9F" w14:textId="77777777"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Боловсролын чиглэлээр хэрэгжүүлж байгаа бодлогын баримт бичгүүдэд тусгагдсан байдлыг дурдвал Боловсрол, шинжлэх ухааны сайдын 2020 оны 10 сарын 9-ний өдрий А/96 тушаалаар батлагдсан Боловсролын салбарын хөгжлийн дунд хугацааны төлөвлөгөө/2021-2030/-нд “Монгол Улсын иргэний хөгжлийн хэрэгцээг хангахуйц чанартай, нээлттэй, тэгш хүртээмжтэй, уян хатан боловсролын үйлчилгээнд тулгуурлан мэдлэгт суурилсан нийгэм болон дижитал технологийн эринд ажиллаж амьдрах нийгмийн идэвхтэй оролцоо бүхий, тасралтгүй хөгжих чадамжтай иргэнийг цогцоор нь хөгжүүлэх” гэсэн зорилгыг дэвшүүлсэн. Хүн амын өсөлт, боловсролын үйлчилгээний тэгш хүртээмжтэй уялдуулан сургуулийн хүчин чадлыг нэмэгдүүлж, нээлттэй боловсролын үйлчилгээний төрлийг өргөжүүлж, сургалтын тохируулгат орчныг бий болгох зорилготой байна.</w:t>
      </w:r>
    </w:p>
    <w:p w14:paraId="6D0A27C2" w14:textId="606BC712" w:rsidR="000A6E31" w:rsidRPr="00EC102E" w:rsidRDefault="00DF52AE">
      <w:pPr>
        <w:widowControl w:val="0"/>
        <w:spacing w:before="99" w:after="0" w:line="240" w:lineRule="auto"/>
        <w:ind w:right="3"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F1105E">
        <w:rPr>
          <w:rFonts w:ascii="Arial" w:eastAsia="Arial" w:hAnsi="Arial" w:cs="Arial"/>
          <w:sz w:val="24"/>
          <w:szCs w:val="24"/>
          <w:lang w:val="mn-MN"/>
        </w:rPr>
        <w:t>У</w:t>
      </w:r>
      <w:r w:rsidRPr="00EC102E">
        <w:rPr>
          <w:rFonts w:ascii="Arial" w:eastAsia="Arial" w:hAnsi="Arial" w:cs="Arial"/>
          <w:sz w:val="24"/>
          <w:szCs w:val="24"/>
          <w:lang w:val="mn-MN"/>
        </w:rPr>
        <w:t xml:space="preserve">лсын Засгийн газраас 2024 оны 4 дүгээр сарын 24-ны өдрийн 176 дугаар тогтоолоор баталсан Сургуулийн өмнөх болон ерөнхий боловсролын сургалтын хөтөлбөрийн үзэл баримтлалд  сургалтын хөтөлбөрийг боловсруулахад “Хамтын ажиллагаанд суурилсан байх - Суралцагч болон багшийг аюулгүй, таатай орчинд сурч хөгжих, ажиллах нөхцөлөөр хангах, сургалтын дэвшилтэт технологи, тоног төхөөрөмж, хэрэгсэл ашиглах боломжийг бүрдүүлэх, сургалтын үйл ажиллагааг чанартай зохион байгуулахад төр, хувийн хэвшил, олон нийтийн оролцоог хангаx” зарчмыг баримтална. </w:t>
      </w:r>
    </w:p>
    <w:p w14:paraId="39A4422D" w14:textId="77777777" w:rsidR="000A6E31" w:rsidRPr="00EC102E" w:rsidRDefault="00DF52AE">
      <w:pPr>
        <w:widowControl w:val="0"/>
        <w:numPr>
          <w:ilvl w:val="0"/>
          <w:numId w:val="2"/>
        </w:numPr>
        <w:spacing w:after="0" w:line="240" w:lineRule="auto"/>
        <w:ind w:right="110"/>
        <w:jc w:val="both"/>
        <w:rPr>
          <w:rFonts w:ascii="Arial" w:eastAsia="Arial" w:hAnsi="Arial" w:cs="Arial"/>
          <w:sz w:val="24"/>
          <w:szCs w:val="24"/>
          <w:lang w:val="mn-MN"/>
        </w:rPr>
      </w:pPr>
      <w:bookmarkStart w:id="0" w:name="_heading=h.e2htm4ec081z" w:colFirst="0" w:colLast="0"/>
      <w:bookmarkEnd w:id="0"/>
      <w:r w:rsidRPr="00EC102E">
        <w:rPr>
          <w:rFonts w:ascii="Arial" w:eastAsia="Arial" w:hAnsi="Arial" w:cs="Arial"/>
          <w:sz w:val="24"/>
          <w:szCs w:val="24"/>
          <w:lang w:val="mn-MN"/>
        </w:rPr>
        <w:t>Суралцагчийн хөгжлийг дэмжсэн сургалтаас гадуурх үйл ажиллагааг жишээ, удирдамжтайгаар санал болгосон байх;</w:t>
      </w:r>
    </w:p>
    <w:p w14:paraId="6D8B8632" w14:textId="77777777" w:rsidR="000A6E31" w:rsidRPr="00EC102E" w:rsidRDefault="00DF52AE">
      <w:pPr>
        <w:widowControl w:val="0"/>
        <w:numPr>
          <w:ilvl w:val="0"/>
          <w:numId w:val="2"/>
        </w:numPr>
        <w:spacing w:after="0" w:line="240" w:lineRule="auto"/>
        <w:ind w:right="110"/>
        <w:jc w:val="both"/>
        <w:rPr>
          <w:rFonts w:ascii="Arial" w:eastAsia="Arial" w:hAnsi="Arial" w:cs="Arial"/>
          <w:sz w:val="24"/>
          <w:szCs w:val="24"/>
          <w:lang w:val="mn-MN"/>
        </w:rPr>
      </w:pPr>
      <w:bookmarkStart w:id="1" w:name="_heading=h.khxymmryz0cf" w:colFirst="0" w:colLast="0"/>
      <w:bookmarkEnd w:id="1"/>
      <w:r w:rsidRPr="00EC102E">
        <w:rPr>
          <w:rFonts w:ascii="Arial" w:eastAsia="Arial" w:hAnsi="Arial" w:cs="Arial"/>
          <w:sz w:val="24"/>
          <w:szCs w:val="24"/>
          <w:lang w:val="mn-MN"/>
        </w:rPr>
        <w:t xml:space="preserve">Суралцагч баяр баясгалантай, амар амгалан сурч хөгжих тэгш, хүртээмжтэй, аюулгүй орчныг төр, төрийн бус байгууллага, олон нийтийн оролцоонд суурилж, бүрдүүлнэ; </w:t>
      </w:r>
    </w:p>
    <w:p w14:paraId="1CA821CE" w14:textId="77777777" w:rsidR="000A6E31" w:rsidRPr="00EC102E" w:rsidRDefault="00DF52AE">
      <w:pPr>
        <w:widowControl w:val="0"/>
        <w:numPr>
          <w:ilvl w:val="0"/>
          <w:numId w:val="2"/>
        </w:numPr>
        <w:spacing w:after="0" w:line="240" w:lineRule="auto"/>
        <w:ind w:right="110"/>
        <w:jc w:val="both"/>
        <w:rPr>
          <w:rFonts w:ascii="Arial" w:eastAsia="Arial" w:hAnsi="Arial" w:cs="Arial"/>
          <w:sz w:val="24"/>
          <w:szCs w:val="24"/>
          <w:lang w:val="mn-MN"/>
        </w:rPr>
      </w:pPr>
      <w:bookmarkStart w:id="2" w:name="_heading=h.s3beqji09jpt" w:colFirst="0" w:colLast="0"/>
      <w:bookmarkEnd w:id="2"/>
      <w:r w:rsidRPr="00EC102E">
        <w:rPr>
          <w:rFonts w:ascii="Arial" w:eastAsia="Arial" w:hAnsi="Arial" w:cs="Arial"/>
          <w:sz w:val="24"/>
          <w:szCs w:val="24"/>
          <w:lang w:val="mn-MN"/>
        </w:rPr>
        <w:t>Суралцагчийн хэрэгцээ, сонирхолд нийцсэн тоглоом наадгай, сургалтын материал, хэрэглэгдэхүүний хүртээмжийг нэмэгдүүлнэ гэжээ.</w:t>
      </w:r>
    </w:p>
    <w:p w14:paraId="79259634"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3" w:name="_heading=h.etnitoalo4w9" w:colFirst="0" w:colLast="0"/>
      <w:bookmarkEnd w:id="3"/>
    </w:p>
    <w:p w14:paraId="320035D6" w14:textId="77777777" w:rsidR="000A6E31" w:rsidRPr="00EC102E" w:rsidRDefault="00DF52AE">
      <w:pPr>
        <w:widowControl w:val="0"/>
        <w:spacing w:after="0" w:line="240" w:lineRule="auto"/>
        <w:ind w:firstLine="20"/>
        <w:jc w:val="both"/>
        <w:rPr>
          <w:rFonts w:ascii="Arial" w:eastAsia="Arial" w:hAnsi="Arial" w:cs="Arial"/>
          <w:sz w:val="24"/>
          <w:szCs w:val="24"/>
          <w:lang w:val="mn-MN"/>
        </w:rPr>
      </w:pPr>
      <w:bookmarkStart w:id="4" w:name="_heading=h.mmbfecfeufwg" w:colFirst="0" w:colLast="0"/>
      <w:bookmarkEnd w:id="4"/>
      <w:r w:rsidRPr="00EC102E">
        <w:rPr>
          <w:rFonts w:ascii="Arial" w:eastAsia="Arial" w:hAnsi="Arial" w:cs="Arial"/>
          <w:sz w:val="24"/>
          <w:szCs w:val="24"/>
          <w:lang w:val="mn-MN"/>
        </w:rPr>
        <w:t>Сургалтын хөтөлбөрийг үр дүнтэй хэрэгжүүлэхэд эцэг эх, асран хамгаалагч, харгалзан дэмжигч болон төр, төрийн бус байгууллага, олон нийтийн түншлэлийг эрхэмлэнэ. Үүнд:</w:t>
      </w:r>
    </w:p>
    <w:p w14:paraId="4D1E30C7" w14:textId="77777777" w:rsidR="000A6E31" w:rsidRPr="00EC102E" w:rsidRDefault="00DF52AE">
      <w:pPr>
        <w:widowControl w:val="0"/>
        <w:numPr>
          <w:ilvl w:val="0"/>
          <w:numId w:val="8"/>
        </w:numPr>
        <w:spacing w:after="0" w:line="240" w:lineRule="auto"/>
        <w:jc w:val="both"/>
        <w:rPr>
          <w:rFonts w:ascii="Arial" w:eastAsia="Arial" w:hAnsi="Arial" w:cs="Arial"/>
          <w:sz w:val="24"/>
          <w:szCs w:val="24"/>
          <w:lang w:val="mn-MN"/>
        </w:rPr>
      </w:pPr>
      <w:bookmarkStart w:id="5" w:name="_heading=h.eao3flvnl0zn" w:colFirst="0" w:colLast="0"/>
      <w:bookmarkEnd w:id="5"/>
      <w:r w:rsidRPr="00EC102E">
        <w:rPr>
          <w:rFonts w:ascii="Arial" w:eastAsia="Arial" w:hAnsi="Arial" w:cs="Arial"/>
          <w:sz w:val="24"/>
          <w:szCs w:val="24"/>
          <w:lang w:val="mn-MN"/>
        </w:rPr>
        <w:t xml:space="preserve">Сургууль, эцэг, эх, асран хамгаалагч, харгалзан дэмжигчдийн  хамтарч ажиллах боломжийг бий болгох, үүрэг, хариуцлага, дэмжлэгийг нэмэгдүүлнэ; </w:t>
      </w:r>
    </w:p>
    <w:p w14:paraId="1A421A90" w14:textId="77777777" w:rsidR="000A6E31" w:rsidRPr="00EC102E" w:rsidRDefault="00DF52AE">
      <w:pPr>
        <w:widowControl w:val="0"/>
        <w:numPr>
          <w:ilvl w:val="0"/>
          <w:numId w:val="8"/>
        </w:numPr>
        <w:spacing w:after="0" w:line="240" w:lineRule="auto"/>
        <w:jc w:val="both"/>
        <w:rPr>
          <w:rFonts w:ascii="Arial" w:eastAsia="Arial" w:hAnsi="Arial" w:cs="Arial"/>
          <w:sz w:val="24"/>
          <w:szCs w:val="24"/>
          <w:lang w:val="mn-MN"/>
        </w:rPr>
      </w:pPr>
      <w:bookmarkStart w:id="6" w:name="_heading=h.x04o3m5lsmll" w:colFirst="0" w:colLast="0"/>
      <w:bookmarkEnd w:id="6"/>
      <w:r w:rsidRPr="00EC102E">
        <w:rPr>
          <w:rFonts w:ascii="Arial" w:eastAsia="Arial" w:hAnsi="Arial" w:cs="Arial"/>
          <w:sz w:val="24"/>
          <w:szCs w:val="24"/>
          <w:lang w:val="mn-MN"/>
        </w:rPr>
        <w:t xml:space="preserve">Төр, төрийн бус байгууллага, олон нийтийн зүгээс сургалтын хөтөлбөрийг хэрэгжүүлэхэд дэмжлэг үзүүлэх, хэрэгжүүлэхтэй холбоотой шийдвэр гаргах үйл явцад оролцох нөхцөлийг бүрдүүлэх, идэвхтэй, бүтээлч хамтын ажиллагааг хэрэгжүүлнэ гэсэн зорилгыг тавьсан байна. </w:t>
      </w:r>
    </w:p>
    <w:p w14:paraId="7501B8BD" w14:textId="77777777" w:rsidR="000A6E31" w:rsidRPr="00EC102E" w:rsidRDefault="00DF52AE">
      <w:pPr>
        <w:widowControl w:val="0"/>
        <w:spacing w:after="0" w:line="240" w:lineRule="auto"/>
        <w:ind w:firstLine="20"/>
        <w:jc w:val="both"/>
        <w:rPr>
          <w:rFonts w:ascii="Arial" w:eastAsia="Arial" w:hAnsi="Arial" w:cs="Arial"/>
          <w:sz w:val="24"/>
          <w:szCs w:val="24"/>
          <w:lang w:val="mn-MN"/>
        </w:rPr>
      </w:pPr>
      <w:r w:rsidRPr="00EC102E">
        <w:rPr>
          <w:rFonts w:ascii="Arial" w:eastAsia="Arial" w:hAnsi="Arial" w:cs="Arial"/>
          <w:sz w:val="24"/>
          <w:szCs w:val="24"/>
          <w:lang w:val="mn-MN"/>
        </w:rPr>
        <w:t xml:space="preserve"> </w:t>
      </w:r>
    </w:p>
    <w:p w14:paraId="5E190DDD" w14:textId="7CB74A59" w:rsidR="000A6E31" w:rsidRPr="00EC102E" w:rsidRDefault="00DF52AE">
      <w:pPr>
        <w:widowControl w:val="0"/>
        <w:spacing w:after="0" w:line="240" w:lineRule="auto"/>
        <w:ind w:right="110" w:firstLine="390"/>
        <w:jc w:val="both"/>
        <w:rPr>
          <w:rFonts w:ascii="Arial" w:eastAsia="Arial" w:hAnsi="Arial" w:cs="Arial"/>
          <w:sz w:val="24"/>
          <w:szCs w:val="24"/>
          <w:lang w:val="mn-MN"/>
        </w:rPr>
      </w:pPr>
      <w:r w:rsidRPr="00EC102E">
        <w:rPr>
          <w:rFonts w:ascii="Arial" w:eastAsia="Arial" w:hAnsi="Arial" w:cs="Arial"/>
          <w:sz w:val="24"/>
          <w:szCs w:val="24"/>
          <w:lang w:val="mn-MN"/>
        </w:rPr>
        <w:t xml:space="preserve">   Мөн  “Хичээлээс гадуурх сургалтын ажлын үлгэрчилсэн хөтөлбөр”-ийг 2022 оны 8 сарын 17-ны өдрийн А/288 БСШУ-ны сайдын тушаалаар баталсан боловч зөвхөн сургууль дээр хэрэгжүүлэх байдлаар мөн хэт хайрцагласан нөхцөл байдалтай байна. </w:t>
      </w:r>
    </w:p>
    <w:p w14:paraId="0235C403"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7" w:name="_heading=h.8hsg7qn6xlla" w:colFirst="0" w:colLast="0"/>
      <w:bookmarkEnd w:id="7"/>
    </w:p>
    <w:p w14:paraId="1019BB54" w14:textId="1B312A31" w:rsidR="000A6E31" w:rsidRPr="00EC102E" w:rsidRDefault="00DF52AE" w:rsidP="00DD633F">
      <w:pPr>
        <w:widowControl w:val="0"/>
        <w:spacing w:after="0" w:line="240" w:lineRule="auto"/>
        <w:ind w:right="110" w:firstLine="390"/>
        <w:jc w:val="both"/>
        <w:rPr>
          <w:rFonts w:ascii="Arial" w:eastAsia="Arial" w:hAnsi="Arial" w:cs="Arial"/>
          <w:sz w:val="24"/>
          <w:szCs w:val="24"/>
          <w:lang w:val="mn-MN"/>
        </w:rPr>
      </w:pPr>
      <w:bookmarkStart w:id="8" w:name="_heading=h.9ber39vepihe" w:colFirst="0" w:colLast="0"/>
      <w:bookmarkEnd w:id="8"/>
      <w:r w:rsidRPr="00EC102E">
        <w:rPr>
          <w:rFonts w:ascii="Arial" w:eastAsia="Arial" w:hAnsi="Arial" w:cs="Arial"/>
          <w:sz w:val="24"/>
          <w:szCs w:val="24"/>
          <w:lang w:val="mn-MN"/>
        </w:rPr>
        <w:t xml:space="preserve">Дээр дурдсанчлан сургуулийн орчинд хүүхдийг хичээлээс гадуурх байдлаар хөгжих асуудлыг боловсролын хууль, бодлогын баримт бичигт тусгасан боловч түүний хэрэгжилтийг хангах зохицуулалт, механизмыг нь тодорхойгүй орхисон байна. </w:t>
      </w:r>
      <w:bookmarkStart w:id="9" w:name="_heading=h.wpw3h5vvcb22" w:colFirst="0" w:colLast="0"/>
      <w:bookmarkStart w:id="10" w:name="_heading=h.xtgthzk3rovi" w:colFirst="0" w:colLast="0"/>
      <w:bookmarkEnd w:id="9"/>
      <w:bookmarkEnd w:id="10"/>
      <w:r w:rsidRPr="00EC102E">
        <w:rPr>
          <w:rFonts w:ascii="Arial" w:eastAsia="Arial" w:hAnsi="Arial" w:cs="Arial"/>
          <w:sz w:val="24"/>
          <w:szCs w:val="24"/>
          <w:lang w:val="mn-MN"/>
        </w:rPr>
        <w:t xml:space="preserve">Хэдийгээр сургалтын орчин болон багш нарт нь даалгасан боловч түүнийг </w:t>
      </w:r>
      <w:r w:rsidRPr="00EC102E">
        <w:rPr>
          <w:rFonts w:ascii="Arial" w:eastAsia="Arial" w:hAnsi="Arial" w:cs="Arial"/>
          <w:sz w:val="24"/>
          <w:szCs w:val="24"/>
          <w:lang w:val="mn-MN"/>
        </w:rPr>
        <w:lastRenderedPageBreak/>
        <w:t>хэрэгжүүлэх боломжгүй нөхцөл байдалтай байна. Учир нь</w:t>
      </w:r>
      <w:r w:rsidR="008063DC">
        <w:rPr>
          <w:rFonts w:ascii="Arial" w:eastAsia="Arial" w:hAnsi="Arial" w:cs="Arial"/>
          <w:sz w:val="24"/>
          <w:szCs w:val="24"/>
          <w:lang w:val="mn-MN"/>
        </w:rPr>
        <w:t xml:space="preserve"> </w:t>
      </w:r>
      <w:r w:rsidR="004120A8">
        <w:rPr>
          <w:rFonts w:ascii="Arial" w:eastAsia="Arial" w:hAnsi="Arial" w:cs="Arial"/>
          <w:sz w:val="24"/>
          <w:szCs w:val="24"/>
          <w:lang w:val="mn-MN"/>
        </w:rPr>
        <w:t>м</w:t>
      </w:r>
      <w:r w:rsidRPr="00EC102E">
        <w:rPr>
          <w:rFonts w:ascii="Arial" w:eastAsia="Arial" w:hAnsi="Arial" w:cs="Arial"/>
          <w:sz w:val="24"/>
          <w:szCs w:val="24"/>
          <w:lang w:val="mn-MN"/>
        </w:rPr>
        <w:t>эргэжлийн багшийн хангалт 2023-2024 оны хичээлийн жилд 97.1 хувь болж өмнөх оны хичээлийн жилээс 1.3 пунктээр буурсан байна.</w:t>
      </w:r>
    </w:p>
    <w:p w14:paraId="4634431B"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11" w:name="_heading=h.o6zsa5dz3f2h" w:colFirst="0" w:colLast="0"/>
      <w:bookmarkEnd w:id="11"/>
    </w:p>
    <w:p w14:paraId="5DFF487C" w14:textId="77777777" w:rsidR="000A6E31" w:rsidRPr="00EC102E" w:rsidRDefault="00DF52AE">
      <w:pPr>
        <w:widowControl w:val="0"/>
        <w:spacing w:after="0" w:line="240" w:lineRule="auto"/>
        <w:ind w:right="110" w:firstLine="390"/>
        <w:jc w:val="both"/>
        <w:rPr>
          <w:rFonts w:ascii="Arial" w:eastAsia="Arial" w:hAnsi="Arial" w:cs="Arial"/>
          <w:sz w:val="24"/>
          <w:szCs w:val="24"/>
          <w:lang w:val="mn-MN"/>
        </w:rPr>
      </w:pPr>
      <w:bookmarkStart w:id="12" w:name="_heading=h.icbnvqcb2pm1" w:colFirst="0" w:colLast="0"/>
      <w:bookmarkEnd w:id="12"/>
      <w:r w:rsidRPr="00EC102E">
        <w:rPr>
          <w:rFonts w:ascii="Arial" w:eastAsia="Arial" w:hAnsi="Arial" w:cs="Arial"/>
          <w:sz w:val="24"/>
          <w:szCs w:val="24"/>
          <w:lang w:val="mn-MN"/>
        </w:rPr>
        <w:t xml:space="preserve">Мөн Ерөнхий боловсролын салбарт нэг багшид ногдох сурагчдын тоо дундажаар 2024 оны байдлаар хотод 23.3, хөдөө орон нутагт 19.4 болсон нь өмнөх онуудтай харьцуулахад нэмэгдэж байгаа үйл явц юм. Энэ  нь багш нарын хувьд ажлын ачааллыг бий болгох, үүнээс үүдэн сурагчдыг  хөгжүүлэх нэмэлт сургалтыг явуулах, ур чадвар, арга зүйгээ сайжруулах  нөхцөл боломжийг хязгаарлаж байна. </w:t>
      </w:r>
    </w:p>
    <w:p w14:paraId="258CA98C"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13" w:name="_heading=h.c1ht7ktxu2bq" w:colFirst="0" w:colLast="0"/>
      <w:bookmarkEnd w:id="13"/>
    </w:p>
    <w:p w14:paraId="205113F0" w14:textId="77777777" w:rsidR="000A6E31" w:rsidRPr="00EC102E" w:rsidRDefault="00DF52AE">
      <w:pPr>
        <w:widowControl w:val="0"/>
        <w:spacing w:after="0" w:line="240" w:lineRule="auto"/>
        <w:ind w:right="110" w:firstLine="390"/>
        <w:jc w:val="both"/>
        <w:rPr>
          <w:rFonts w:ascii="Arial" w:eastAsia="Arial" w:hAnsi="Arial" w:cs="Arial"/>
          <w:sz w:val="24"/>
          <w:szCs w:val="24"/>
          <w:lang w:val="mn-MN"/>
        </w:rPr>
      </w:pPr>
      <w:bookmarkStart w:id="14" w:name="_heading=h.rh0w5z6tskae" w:colFirst="0" w:colLast="0"/>
      <w:bookmarkEnd w:id="14"/>
      <w:r w:rsidRPr="00EC102E">
        <w:rPr>
          <w:rFonts w:ascii="Arial" w:eastAsia="Arial" w:hAnsi="Arial" w:cs="Arial"/>
          <w:sz w:val="24"/>
          <w:szCs w:val="24"/>
          <w:lang w:val="mn-MN"/>
        </w:rPr>
        <w:t>Хүүхдүүд чөлөөт цагаа зөв, аюулгүй орчинд өнгөрөөх нөхцөлгүй байх нь тэднийг гэмт хэрэгт өртөх, оролцох эрсдэлд хүргэдэг. Иймээс хүүхдийн хөгжлийн орчныг тэлэх, дугуйлан, сургалт, соёл, спортын үйл ажиллагааг хүртээмжтэй, тогтвортой байлгах нь гэмт хэргээс урьдчилан сэргийлэх бодлогын үндэс суурь болдог төдийгүй хувь хүний хөгжил төлөвшилд чухал ач холбогдолтой юм.</w:t>
      </w:r>
    </w:p>
    <w:p w14:paraId="61769AE1"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15" w:name="_heading=h.mlw5wwx2t44k" w:colFirst="0" w:colLast="0"/>
      <w:bookmarkEnd w:id="15"/>
    </w:p>
    <w:p w14:paraId="1E208886" w14:textId="77777777" w:rsidR="000A6E31" w:rsidRPr="00EC102E" w:rsidRDefault="00DF52AE">
      <w:pPr>
        <w:widowControl w:val="0"/>
        <w:spacing w:after="0" w:line="240" w:lineRule="auto"/>
        <w:ind w:right="110" w:firstLine="390"/>
        <w:jc w:val="both"/>
        <w:rPr>
          <w:rFonts w:ascii="Arial" w:eastAsia="Arial" w:hAnsi="Arial" w:cs="Arial"/>
          <w:sz w:val="24"/>
          <w:szCs w:val="24"/>
          <w:lang w:val="mn-MN"/>
        </w:rPr>
      </w:pPr>
      <w:bookmarkStart w:id="16" w:name="_heading=h.owc98telld07" w:colFirst="0" w:colLast="0"/>
      <w:bookmarkEnd w:id="16"/>
      <w:r w:rsidRPr="00EC102E">
        <w:rPr>
          <w:rFonts w:ascii="Arial" w:eastAsia="Arial" w:hAnsi="Arial" w:cs="Arial"/>
          <w:sz w:val="24"/>
          <w:szCs w:val="24"/>
          <w:lang w:val="mn-MN"/>
        </w:rPr>
        <w:t xml:space="preserve">Эцэг, эхчүүдийн үзэж буйгаар хичээлээс гадуурх үйл ажиллагаанд ихэнх тохиолдолд хүүхдийнхээ хүсэл,  сонирхлыг нь нэн тэргүүнд харгалзан үздэг бөгөөд, мэдээж багшийн ур чадварыг судалж үздэг байна. Түүнчлэн спортын сонгон, секц, дугуйланд  хамруулах сонирхолтой байдаг нь хүүхдийн төлөвшил, бие даах чадвар,  хариуцлагатай бие хүн болж төлөвших боломжуудыг нээн хөгжүүлдэг гэж  үздэгтэй холбоотой хэмээжээ.  </w:t>
      </w:r>
    </w:p>
    <w:p w14:paraId="61224DE6"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17" w:name="_heading=h.3gnaqvljcz1r" w:colFirst="0" w:colLast="0"/>
      <w:bookmarkEnd w:id="17"/>
    </w:p>
    <w:p w14:paraId="7C136CDB" w14:textId="77777777" w:rsidR="000A6E31" w:rsidRPr="00EC102E" w:rsidRDefault="00DF52AE">
      <w:pPr>
        <w:widowControl w:val="0"/>
        <w:spacing w:after="0" w:line="240" w:lineRule="auto"/>
        <w:ind w:right="110" w:firstLine="390"/>
        <w:jc w:val="both"/>
        <w:rPr>
          <w:rFonts w:ascii="Arial" w:eastAsia="Arial" w:hAnsi="Arial" w:cs="Arial"/>
          <w:sz w:val="24"/>
          <w:szCs w:val="24"/>
          <w:lang w:val="mn-MN"/>
        </w:rPr>
      </w:pPr>
      <w:bookmarkStart w:id="18" w:name="_heading=h.c51hxbnhcoqk" w:colFirst="0" w:colLast="0"/>
      <w:bookmarkEnd w:id="18"/>
      <w:r w:rsidRPr="00EC102E">
        <w:rPr>
          <w:rFonts w:ascii="Arial" w:eastAsia="Arial" w:hAnsi="Arial" w:cs="Arial"/>
          <w:sz w:val="24"/>
          <w:szCs w:val="24"/>
          <w:lang w:val="mn-MN"/>
        </w:rPr>
        <w:t xml:space="preserve">Дугуйлан, сонгон, секц хичээллүүлж буй удирдлагын хувьд багш  хувиараа хичээллүүлж байгаа сургалт, сонгонууд бол харьцангуй чанартай  явагддаг гэж боддог байна. Учир нь тэнд тодорхой хэмжээний төлбөр авдаг,  тэр утгаараа аль аль талдаа хариуцлагатай байдаг гэсэн судалгааны үр дүн гарсан бөгөөд энэ нь зөвхөн тухайн сургуулийн үндсэн үйл ажиллагаанд хамруулаад орхихгүй тодорхой санхүүжилтийг нь шийдвэрлэснээр илүү үр дүнтэй хэрэгжих нөхцөл боломж бүрдэх юм. </w:t>
      </w:r>
    </w:p>
    <w:p w14:paraId="10441AE0"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19" w:name="_heading=h.xygafil31wgz" w:colFirst="0" w:colLast="0"/>
      <w:bookmarkEnd w:id="19"/>
    </w:p>
    <w:p w14:paraId="1FC7CD08" w14:textId="77777777" w:rsidR="000A6E31" w:rsidRPr="00EC102E" w:rsidRDefault="00DF52AE">
      <w:pPr>
        <w:widowControl w:val="0"/>
        <w:spacing w:after="0" w:line="240" w:lineRule="auto"/>
        <w:ind w:right="110" w:firstLine="390"/>
        <w:jc w:val="both"/>
        <w:rPr>
          <w:rFonts w:ascii="Arial" w:eastAsia="Arial" w:hAnsi="Arial" w:cs="Arial"/>
          <w:sz w:val="24"/>
          <w:szCs w:val="24"/>
          <w:lang w:val="mn-MN"/>
        </w:rPr>
      </w:pPr>
      <w:bookmarkStart w:id="20" w:name="_heading=h.2212fr9mfy5r" w:colFirst="0" w:colLast="0"/>
      <w:bookmarkEnd w:id="20"/>
      <w:r w:rsidRPr="00EC102E">
        <w:rPr>
          <w:rFonts w:ascii="Arial" w:eastAsia="Arial" w:hAnsi="Arial" w:cs="Arial"/>
          <w:sz w:val="24"/>
          <w:szCs w:val="24"/>
          <w:lang w:val="mn-MN"/>
        </w:rPr>
        <w:t xml:space="preserve">ҮСХ-ноос Монгол Улсын ядуурлын түвшний үзүүлэлтийг 2022 оны байдлаар 2024 онд танилцуулахад нийт хүн амын 27,1 хувьтай байгаа нь тэр бүр гэр бүлүүд хүүхдийнхээ хөгжилд санхүүжилт зарцуулах боломжгүй нөхцөл байдалтай байна. </w:t>
      </w:r>
    </w:p>
    <w:p w14:paraId="4F117496"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21" w:name="_heading=h.edgliosljhn1" w:colFirst="0" w:colLast="0"/>
      <w:bookmarkEnd w:id="21"/>
    </w:p>
    <w:p w14:paraId="6BB27FAC" w14:textId="5715EC81" w:rsidR="000A6E31" w:rsidRPr="00EC102E" w:rsidRDefault="00DF52AE">
      <w:pPr>
        <w:widowControl w:val="0"/>
        <w:spacing w:after="0" w:line="240" w:lineRule="auto"/>
        <w:ind w:right="110" w:firstLine="390"/>
        <w:jc w:val="both"/>
        <w:rPr>
          <w:rFonts w:ascii="Arial" w:eastAsia="Arial" w:hAnsi="Arial" w:cs="Arial"/>
          <w:sz w:val="24"/>
          <w:szCs w:val="24"/>
          <w:lang w:val="mn-MN"/>
        </w:rPr>
      </w:pPr>
      <w:bookmarkStart w:id="22" w:name="_heading=h.2hq4wc7ewijf" w:colFirst="0" w:colLast="0"/>
      <w:bookmarkEnd w:id="22"/>
      <w:r w:rsidRPr="00EC102E">
        <w:rPr>
          <w:rFonts w:ascii="Arial" w:eastAsia="Arial" w:hAnsi="Arial" w:cs="Arial"/>
          <w:sz w:val="24"/>
          <w:szCs w:val="24"/>
          <w:lang w:val="mn-MN"/>
        </w:rPr>
        <w:t xml:space="preserve">Дээр дурдсанчлан төрийн зүгээс хүүхдийн суурь боловсрол болон хүүхдийн эрхийн хамгаалал чиглэлд төрийн бодлогын хэрэгжилтийг чиглүүлэхийн зэрэгцээ улс орны ирээдүй болсон хүүхдийн хөгжилд чиглэсэн тусгайлсан хууль эрх зүйн орчин бүрдүүлж бодлого боловсруулж хэрэгжүүлэх нь улс орны хөгжлийн чухал зорилгын нэг болоод байна. </w:t>
      </w:r>
    </w:p>
    <w:p w14:paraId="39D8D9E1" w14:textId="77777777" w:rsidR="000A6E31" w:rsidRPr="00EC102E" w:rsidRDefault="000A6E31">
      <w:pPr>
        <w:widowControl w:val="0"/>
        <w:spacing w:after="0" w:line="240" w:lineRule="auto"/>
        <w:ind w:right="110" w:firstLine="390"/>
        <w:jc w:val="both"/>
        <w:rPr>
          <w:rFonts w:ascii="Arial" w:eastAsia="Arial" w:hAnsi="Arial" w:cs="Arial"/>
          <w:sz w:val="24"/>
          <w:szCs w:val="24"/>
          <w:lang w:val="mn-MN"/>
        </w:rPr>
      </w:pPr>
      <w:bookmarkStart w:id="23" w:name="_heading=h.cr2yr386o1lx" w:colFirst="0" w:colLast="0"/>
      <w:bookmarkEnd w:id="23"/>
    </w:p>
    <w:p w14:paraId="4F2B51E6" w14:textId="5491239E"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Хүүхэд эрхээ хэрэгжүүлэхэд төрөөс дэмжлэг үзүүлж, төсөв хөрөнгө гаргах талаар зохицуулалтуудыг тусгасан хэдий ч хэрэгжилт төдийлөн хангалтгүй байгаа бөгөөд </w:t>
      </w:r>
      <w:r w:rsidR="0076763C">
        <w:rPr>
          <w:rFonts w:ascii="Arial" w:eastAsia="Arial" w:hAnsi="Arial" w:cs="Arial"/>
          <w:sz w:val="24"/>
          <w:szCs w:val="24"/>
          <w:lang w:val="mn-MN"/>
        </w:rPr>
        <w:t>х</w:t>
      </w:r>
      <w:r w:rsidRPr="00EC102E">
        <w:rPr>
          <w:rFonts w:ascii="Arial" w:eastAsia="Arial" w:hAnsi="Arial" w:cs="Arial"/>
          <w:sz w:val="24"/>
          <w:szCs w:val="24"/>
          <w:lang w:val="mn-MN"/>
        </w:rPr>
        <w:t xml:space="preserve">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аврах, хамгаалах зэрэг үйл ажиллагаанд чиглэж байгаа бөгөөд хүүхдийг зөв хүмүүжил төлөвшилтэй бие хүн болгох, бие бялдарыг хөгжүүлэх, авьяас чадварыг нь </w:t>
      </w:r>
      <w:r w:rsidRPr="00EC102E">
        <w:rPr>
          <w:rFonts w:ascii="Arial" w:eastAsia="Arial" w:hAnsi="Arial" w:cs="Arial"/>
          <w:sz w:val="24"/>
          <w:szCs w:val="24"/>
          <w:lang w:val="mn-MN"/>
        </w:rPr>
        <w:lastRenderedPageBreak/>
        <w:t>хөгжүүлэх чиглэлд дорвитой арга хэмжээ авахгүй, төсөв хөрөнгө зарцуулахгүй байна.</w:t>
      </w:r>
    </w:p>
    <w:p w14:paraId="4BF1B122"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Хүүхдийн хөгжлийн чиглэлээр бие даасан хууль боловсруулж хууль тогтоомжийн шинэчлэлийг хийх шаардлагатай байна. Энэхүү шинэчлэл нь хүүхдийн авьяас чадвар, чөлөөт цаг, сэтгэлзүй, нийгэмшлийг дэмжих зорилгоор төрөөс хариуцлага хүлээхүйц зохицуулалт, хөрөнгө оруулалтын тогтолцоо бий болгож, боловсрол, соёл, спорт, нийгмийн хамгаалал зэрэг салбар хоорондын хамтын ажиллагаанд суурилсан нэгдсэн бодлогын шинэ орчин бүрдүүлэх, орон нутгийн төрийн захиргааны байгууллага болон хувийн хэвшлийн хамтын ажиллагааны үндсэн дээр хэрэгжүүлэхэд чиглэнэ.</w:t>
      </w:r>
    </w:p>
    <w:p w14:paraId="12253142" w14:textId="77777777" w:rsidR="000A6E31" w:rsidRPr="00EC102E" w:rsidRDefault="000A6E31">
      <w:pPr>
        <w:spacing w:line="240" w:lineRule="auto"/>
        <w:jc w:val="center"/>
        <w:rPr>
          <w:rFonts w:ascii="Arial" w:eastAsia="Arial" w:hAnsi="Arial" w:cs="Arial"/>
          <w:b/>
          <w:sz w:val="24"/>
          <w:szCs w:val="24"/>
          <w:lang w:val="mn-MN"/>
        </w:rPr>
      </w:pPr>
    </w:p>
    <w:p w14:paraId="37DF6487" w14:textId="77777777" w:rsidR="000A6E31" w:rsidRPr="00EC102E" w:rsidRDefault="00DF52AE">
      <w:pPr>
        <w:spacing w:line="240" w:lineRule="auto"/>
        <w:jc w:val="center"/>
        <w:rPr>
          <w:rFonts w:ascii="Arial" w:eastAsia="Arial" w:hAnsi="Arial" w:cs="Arial"/>
          <w:b/>
          <w:sz w:val="24"/>
          <w:szCs w:val="24"/>
          <w:lang w:val="mn-MN"/>
        </w:rPr>
      </w:pPr>
      <w:r w:rsidRPr="00EC102E">
        <w:rPr>
          <w:rFonts w:ascii="Arial" w:eastAsia="Arial" w:hAnsi="Arial" w:cs="Arial"/>
          <w:b/>
          <w:sz w:val="24"/>
          <w:szCs w:val="24"/>
          <w:lang w:val="mn-MN"/>
        </w:rPr>
        <w:t>ХОЁР. АСУУДАЛ ҮҮССЭН ШАЛТГААН, НӨХЦӨЛ</w:t>
      </w:r>
    </w:p>
    <w:p w14:paraId="102067B0" w14:textId="1C861A6D"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CF312D">
        <w:rPr>
          <w:rFonts w:ascii="Arial" w:eastAsia="Arial" w:hAnsi="Arial" w:cs="Arial"/>
          <w:sz w:val="24"/>
          <w:szCs w:val="24"/>
          <w:lang w:val="mn-MN"/>
        </w:rPr>
        <w:t>У</w:t>
      </w:r>
      <w:r w:rsidRPr="00EC102E">
        <w:rPr>
          <w:rFonts w:ascii="Arial" w:eastAsia="Arial" w:hAnsi="Arial" w:cs="Arial"/>
          <w:sz w:val="24"/>
          <w:szCs w:val="24"/>
          <w:lang w:val="mn-MN"/>
        </w:rPr>
        <w:t xml:space="preserve">лсад Хүүхдийн хөгжлийн бие даасан бодлого, хууль тогтоомжуудийн хэрэгжилт хүүхдийн хөгжлийн чиглэлээр хэрэгжихгүй байгаа нь төрийн бодлогын, зохион байгуулалтын, санхүүгийн, болон хууль эрх зүйн хүрээний олон хүчин зүйлтэй холбоотой. </w:t>
      </w:r>
    </w:p>
    <w:p w14:paraId="463679D8" w14:textId="30E6350E"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b/>
          <w:sz w:val="24"/>
          <w:szCs w:val="24"/>
          <w:lang w:val="mn-MN"/>
        </w:rPr>
        <w:t>Нэгдүгээрт</w:t>
      </w:r>
      <w:r w:rsidRPr="00EC102E">
        <w:rPr>
          <w:rFonts w:ascii="Arial" w:eastAsia="Arial" w:hAnsi="Arial" w:cs="Arial"/>
          <w:sz w:val="24"/>
          <w:szCs w:val="24"/>
          <w:lang w:val="mn-MN"/>
        </w:rPr>
        <w:t xml:space="preserve">, өнөөг хүртэл Монгол </w:t>
      </w:r>
      <w:r w:rsidR="00EA4210">
        <w:rPr>
          <w:rFonts w:ascii="Arial" w:eastAsia="Arial" w:hAnsi="Arial" w:cs="Arial"/>
          <w:sz w:val="24"/>
          <w:szCs w:val="24"/>
          <w:lang w:val="mn-MN"/>
        </w:rPr>
        <w:t>У</w:t>
      </w:r>
      <w:r w:rsidRPr="00EC102E">
        <w:rPr>
          <w:rFonts w:ascii="Arial" w:eastAsia="Arial" w:hAnsi="Arial" w:cs="Arial"/>
          <w:sz w:val="24"/>
          <w:szCs w:val="24"/>
          <w:lang w:val="mn-MN"/>
        </w:rPr>
        <w:t xml:space="preserve">лс Хүүхдийн хөгжлийн бие даасан бодлого боловсруулж хэрэгжүүлээгүй бөгөөд  боловсрол, соёл, спорт, нийгмийн хамгаалал, эрүүл мэнд гэх мэт олон салбарт тус асуудлыг харъяалуулдаг боловч  Монгол </w:t>
      </w:r>
      <w:r w:rsidR="005E05B9">
        <w:rPr>
          <w:rFonts w:ascii="Arial" w:eastAsia="Arial" w:hAnsi="Arial" w:cs="Arial"/>
          <w:sz w:val="24"/>
          <w:szCs w:val="24"/>
          <w:lang w:val="mn-MN"/>
        </w:rPr>
        <w:t>У</w:t>
      </w:r>
      <w:r w:rsidRPr="00EC102E">
        <w:rPr>
          <w:rFonts w:ascii="Arial" w:eastAsia="Arial" w:hAnsi="Arial" w:cs="Arial"/>
          <w:sz w:val="24"/>
          <w:szCs w:val="24"/>
          <w:lang w:val="mn-MN"/>
        </w:rPr>
        <w:t>лс монгол хүнээ бэлтгэх боловсруулах чиглэлээр бие даасан бодлого, уялдаатай төлөвлөлт дутмаг байна. Мөн дээрх салбар хоорондын хариуцлага тодорхойгүй, харилцан уялдаагүйгээс хэрэгжилт саардаг.</w:t>
      </w:r>
    </w:p>
    <w:p w14:paraId="32ED2212"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b/>
          <w:sz w:val="24"/>
          <w:szCs w:val="24"/>
          <w:lang w:val="mn-MN"/>
        </w:rPr>
        <w:t>Хоёрдугаарт</w:t>
      </w:r>
      <w:r w:rsidRPr="00EC102E">
        <w:rPr>
          <w:rFonts w:ascii="Arial" w:eastAsia="Arial" w:hAnsi="Arial" w:cs="Arial"/>
          <w:sz w:val="24"/>
          <w:szCs w:val="24"/>
          <w:lang w:val="mn-MN"/>
        </w:rPr>
        <w:t>,  санхүүжилтийн тогтвортой эх үүсвэр байхгүй байна. Тухайлбал хүүхдийн хөгжлийн чиглэлээр тогтмол хөрөнгө оруулалт хийх тогтолцоо байхгүй. Орон нутаг, сургуулиудад хичээлээс гадуурх үйл ажиллагаа, хөгжлийн дугуйлан, чөлөөт цагийн орчин бүрдүүлэх хөрөнгө мөнгө хангалтгүй. Хандив, төсөл хөтөлбөрөөс хамааралтай учир тогтвортой бус, урт хугацаанд хэрэгжихгүй байна.</w:t>
      </w:r>
    </w:p>
    <w:p w14:paraId="4E40D4C5" w14:textId="35AFF27F"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b/>
          <w:sz w:val="24"/>
          <w:szCs w:val="24"/>
          <w:lang w:val="mn-MN"/>
        </w:rPr>
        <w:t>Гуравдугаарт,</w:t>
      </w:r>
      <w:r w:rsidRPr="00EC102E">
        <w:rPr>
          <w:rFonts w:ascii="Arial" w:eastAsia="Arial" w:hAnsi="Arial" w:cs="Arial"/>
          <w:sz w:val="24"/>
          <w:szCs w:val="24"/>
          <w:lang w:val="mn-MN"/>
        </w:rPr>
        <w:t xml:space="preserve"> Хүүхдийн эрх, хүүхэд хамгаалал, боловсролын чиглэлээр хууль тогтоомжууд байгаа боловч эдгээр нь түлхүү хүүхдийн эрх, зөрчигдсөн эрх нь хамгаалагдах чиглэлээрх зохицуулалтыг агуулдаг. Эдгээр хууль тогтоомжид хүүхдийн хөгжлийн асуудлыг хангалттай тусгаагүй, тунхагийн шинжтэй тусгаж түүнийг хэрэгжүүлэх арга замыг тодорхойлоогүйгээс хүүхдийн хөгжлийн чиглэлээр төрийн байгууллага бодитой ажиллах хууль эрх зүйн орчин бүрдээгүй байна. Мөн орон нутгийн түвшинд хүүхдийн хөгжлийн чиглэлээр хэрэгжүүлэх бодлого, чиг үүрэг тодорхойгүй байна. </w:t>
      </w:r>
    </w:p>
    <w:p w14:paraId="282F674E"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b/>
          <w:sz w:val="24"/>
          <w:szCs w:val="24"/>
          <w:lang w:val="mn-MN"/>
        </w:rPr>
        <w:t>Дөрөвдүгээрт,</w:t>
      </w:r>
      <w:r w:rsidRPr="00EC102E">
        <w:rPr>
          <w:rFonts w:ascii="Arial" w:eastAsia="Arial" w:hAnsi="Arial" w:cs="Arial"/>
          <w:sz w:val="24"/>
          <w:szCs w:val="24"/>
          <w:lang w:val="mn-MN"/>
        </w:rPr>
        <w:t xml:space="preserve"> Хүүхдийн хөгжлийн чиглэлээр ажиллах мэргэжлийн боловсон хүчин хомс, ялангуяа орон нутагт сургууль, цэцэрлэгийн багш нарын ажлын ачаалал өндөр, нэмэлт хөгжлийн үйл ажиллагаа зохион байгуулах боломжгүй, сургалтын хөтөлбөр, арга зүй шинэчлэгдээгүй, орчин үеийн хүүхдүүдийн хэрэгцээг шаардлага сонирхлыг хангахгүй байна. Мөн санхүүжилтийн хөшүүрэг байхгүйгээс хүүхдийг хөгжүүлэх чиглэлээр боловсон хүчин бэлтгэгдэх, чадавхжуулах боломж бүрдэхгүй байна. </w:t>
      </w:r>
    </w:p>
    <w:p w14:paraId="3D9AD7BB"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b/>
          <w:sz w:val="24"/>
          <w:szCs w:val="24"/>
          <w:lang w:val="mn-MN"/>
        </w:rPr>
        <w:t>Тавдугаарт,</w:t>
      </w:r>
      <w:r w:rsidRPr="00EC102E">
        <w:rPr>
          <w:rFonts w:ascii="Arial" w:eastAsia="Arial" w:hAnsi="Arial" w:cs="Arial"/>
          <w:sz w:val="24"/>
          <w:szCs w:val="24"/>
          <w:lang w:val="mn-MN"/>
        </w:rPr>
        <w:t xml:space="preserve"> Хүүхдийн хөгжилд чиглэсэн хөтөлбөр, үйл ажиллагааны үр дүнг хэмжих шалгуур үзүүлэлтүүд бүрдээгүй. Хууль, бодлогын хэрэгжилтэд төрийн </w:t>
      </w:r>
      <w:r w:rsidRPr="00EC102E">
        <w:rPr>
          <w:rFonts w:ascii="Arial" w:eastAsia="Arial" w:hAnsi="Arial" w:cs="Arial"/>
          <w:sz w:val="24"/>
          <w:szCs w:val="24"/>
          <w:lang w:val="mn-MN"/>
        </w:rPr>
        <w:lastRenderedPageBreak/>
        <w:t xml:space="preserve">болон олон нийтийн хяналт сул, мэдээллийн ил тод байдал хангалтгүй буюу хууль тогтоомж бодлогын хэрэгжилтийн хяналт үнэлгээний механизм сул байна. </w:t>
      </w:r>
    </w:p>
    <w:p w14:paraId="1EFBB72D" w14:textId="4355BB9B" w:rsidR="000A6E31" w:rsidRPr="00EC102E" w:rsidRDefault="00DF52AE" w:rsidP="004C10EB">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Төгсгөлд нь дурдахад Монгол </w:t>
      </w:r>
      <w:r w:rsidR="00BF4E66">
        <w:rPr>
          <w:rFonts w:ascii="Arial" w:eastAsia="Arial" w:hAnsi="Arial" w:cs="Arial"/>
          <w:sz w:val="24"/>
          <w:szCs w:val="24"/>
          <w:lang w:val="mn-MN"/>
        </w:rPr>
        <w:t>У</w:t>
      </w:r>
      <w:r w:rsidRPr="00EC102E">
        <w:rPr>
          <w:rFonts w:ascii="Arial" w:eastAsia="Arial" w:hAnsi="Arial" w:cs="Arial"/>
          <w:sz w:val="24"/>
          <w:szCs w:val="24"/>
          <w:lang w:val="mn-MN"/>
        </w:rPr>
        <w:t>лс ирээдүй хойч үе төдийгүй одоо үеийг тодорхойлох хүүхдүүд рүү чиглэсэн бодлого, хууль тогтоомжийг боловсруулах, хэрэгжүүлэхдээ хүүхдүүдийн санаа бодлогыг тусгах тогтолцоо сул байна. Хүүхдийг “</w:t>
      </w:r>
      <w:r w:rsidRPr="00EC102E">
        <w:rPr>
          <w:rFonts w:ascii="Arial" w:eastAsia="Arial" w:hAnsi="Arial" w:cs="Arial"/>
          <w:b/>
          <w:sz w:val="24"/>
          <w:szCs w:val="24"/>
          <w:lang w:val="mn-MN"/>
        </w:rPr>
        <w:t>хамгаалах</w:t>
      </w:r>
      <w:r w:rsidRPr="00EC102E">
        <w:rPr>
          <w:rFonts w:ascii="Arial" w:eastAsia="Arial" w:hAnsi="Arial" w:cs="Arial"/>
          <w:sz w:val="24"/>
          <w:szCs w:val="24"/>
          <w:lang w:val="mn-MN"/>
        </w:rPr>
        <w:t xml:space="preserve">” субьект гэж хардаг хандлага давамгайлж, </w:t>
      </w:r>
      <w:r w:rsidRPr="00EC102E">
        <w:rPr>
          <w:rFonts w:ascii="Arial" w:eastAsia="Arial" w:hAnsi="Arial" w:cs="Arial"/>
          <w:b/>
          <w:sz w:val="24"/>
          <w:szCs w:val="24"/>
          <w:lang w:val="mn-MN"/>
        </w:rPr>
        <w:t xml:space="preserve">“хөгжих, оролцох” </w:t>
      </w:r>
      <w:r w:rsidRPr="00EC102E">
        <w:rPr>
          <w:rFonts w:ascii="Arial" w:eastAsia="Arial" w:hAnsi="Arial" w:cs="Arial"/>
          <w:sz w:val="24"/>
          <w:szCs w:val="24"/>
          <w:lang w:val="mn-MN"/>
        </w:rPr>
        <w:t xml:space="preserve">эрхийг бүрэн ойлгож хэрэгжүүлдэггүй. Хүүхдийг хувь хүн болж төлөвших, хүсэл сонирхлоо хөгжүүлэхэд зорьсон бодлогыг цогцоор хэрэгжүүлэхгүй байгаатай холбоотой гэж үзэж байна. </w:t>
      </w:r>
      <w:r w:rsidRPr="00EC102E">
        <w:rPr>
          <w:rFonts w:ascii="Arial" w:eastAsia="Arial" w:hAnsi="Arial" w:cs="Arial"/>
          <w:sz w:val="24"/>
          <w:szCs w:val="24"/>
          <w:lang w:val="mn-MN"/>
        </w:rPr>
        <w:br/>
      </w:r>
    </w:p>
    <w:p w14:paraId="39AF0DCB" w14:textId="77777777" w:rsidR="000A6E31" w:rsidRPr="00EC102E" w:rsidRDefault="00DF52AE">
      <w:pPr>
        <w:widowControl w:val="0"/>
        <w:spacing w:after="0" w:line="240" w:lineRule="auto"/>
        <w:jc w:val="center"/>
        <w:rPr>
          <w:rFonts w:ascii="Arial" w:eastAsia="Arial" w:hAnsi="Arial" w:cs="Arial"/>
          <w:b/>
          <w:sz w:val="24"/>
          <w:szCs w:val="24"/>
          <w:lang w:val="mn-MN"/>
        </w:rPr>
      </w:pPr>
      <w:r w:rsidRPr="00EC102E">
        <w:rPr>
          <w:rFonts w:ascii="Arial" w:eastAsia="Arial" w:hAnsi="Arial" w:cs="Arial"/>
          <w:b/>
          <w:sz w:val="24"/>
          <w:szCs w:val="24"/>
          <w:lang w:val="mn-MN"/>
        </w:rPr>
        <w:t>ГУРАВ. АСУУДЛЫГ ШИЙДВЭРЛЭХ ЗОРИЛГЫГ ТОМЬЁОЛОХ</w:t>
      </w:r>
    </w:p>
    <w:p w14:paraId="1E774570" w14:textId="2E4B1652" w:rsidR="000A6E31" w:rsidRPr="00EC102E" w:rsidRDefault="00DF52AE" w:rsidP="009C05A5">
      <w:pPr>
        <w:widowControl w:val="0"/>
        <w:spacing w:before="240" w:after="24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Монго</w:t>
      </w:r>
      <w:r w:rsidR="004C10EB">
        <w:rPr>
          <w:rFonts w:ascii="Arial" w:eastAsia="Arial" w:hAnsi="Arial" w:cs="Arial"/>
          <w:sz w:val="24"/>
          <w:szCs w:val="24"/>
          <w:lang w:val="mn-MN"/>
        </w:rPr>
        <w:t>л</w:t>
      </w:r>
      <w:r w:rsidRPr="00EC102E">
        <w:rPr>
          <w:rFonts w:ascii="Arial" w:eastAsia="Arial" w:hAnsi="Arial" w:cs="Arial"/>
          <w:sz w:val="24"/>
          <w:szCs w:val="24"/>
          <w:lang w:val="mn-MN"/>
        </w:rPr>
        <w:t xml:space="preserve"> </w:t>
      </w:r>
      <w:r w:rsidR="004C10EB">
        <w:rPr>
          <w:rFonts w:ascii="Arial" w:eastAsia="Arial" w:hAnsi="Arial" w:cs="Arial"/>
          <w:sz w:val="24"/>
          <w:szCs w:val="24"/>
          <w:lang w:val="mn-MN"/>
        </w:rPr>
        <w:t>У</w:t>
      </w:r>
      <w:r w:rsidRPr="00EC102E">
        <w:rPr>
          <w:rFonts w:ascii="Arial" w:eastAsia="Arial" w:hAnsi="Arial" w:cs="Arial"/>
          <w:sz w:val="24"/>
          <w:szCs w:val="24"/>
          <w:lang w:val="mn-MN"/>
        </w:rPr>
        <w:t xml:space="preserve">лсад Хүүхдийн хөгжлийг дэмжих үр дүнтэй бие даасан тогтолцоог бий болгохын тулд хүүхдийн танин мэдэхүй, сэтгэл зүй, бие бялдар, авьяас, нийгмийн ур чадварын тэнцвэртэй хөгжилд чиглэсэн дараах зорилгуудыг тавьж ажиллах нь зүйтэй байна. </w:t>
      </w:r>
    </w:p>
    <w:p w14:paraId="60AF8CF0" w14:textId="77777777" w:rsidR="000A6E31" w:rsidRPr="00EC102E" w:rsidRDefault="00DF52AE">
      <w:pPr>
        <w:widowControl w:val="0"/>
        <w:spacing w:before="240" w:after="24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Зорилт 1. Хүүхдийн хөгжлийг дэмжих бие даасан хууль эрх зүйн орчныг бүрдүүлэх.</w:t>
      </w:r>
    </w:p>
    <w:p w14:paraId="49BEB651" w14:textId="77777777" w:rsidR="000A6E31" w:rsidRPr="00EC102E" w:rsidRDefault="00DF52AE">
      <w:pPr>
        <w:spacing w:after="0" w:line="240" w:lineRule="auto"/>
        <w:ind w:firstLine="720"/>
        <w:jc w:val="both"/>
        <w:rPr>
          <w:rFonts w:ascii="Arial" w:eastAsia="Arial" w:hAnsi="Arial" w:cs="Arial"/>
          <w:b/>
          <w:sz w:val="24"/>
          <w:szCs w:val="24"/>
          <w:lang w:val="mn-MN"/>
        </w:rPr>
      </w:pPr>
      <w:r w:rsidRPr="00EC102E">
        <w:rPr>
          <w:rFonts w:ascii="Arial" w:eastAsia="Arial" w:hAnsi="Arial" w:cs="Arial"/>
          <w:sz w:val="24"/>
          <w:szCs w:val="24"/>
          <w:lang w:val="mn-MN"/>
        </w:rPr>
        <w:t>Хүүхдийн эрхийн тухай хууль, Хүүхэд хамгааллын тухай хууль, Гэр бүлийн тухай, Гэр бүлийн хүчирхийлэлтэй тэмцэх тухай хууль, Нийгмийн халамжийн тухай хууль, Боловсролын ерөнхий  хууль, Сургуулийн өмнө болон Ерөнхий боловсролын тухай хуулиар хүүхдийн эрх, хамгаалал, боловсрол, хүүхдийн хөгжлийг дэмжих зорилго, ерөнхий чиг үүрэг туссан  ч хэрэгжилтийг хангах механизм дутмаг, тодорхойгүй байна.</w:t>
      </w:r>
      <w:r w:rsidRPr="00EC102E">
        <w:rPr>
          <w:rFonts w:ascii="Arial" w:eastAsia="Arial" w:hAnsi="Arial" w:cs="Arial"/>
          <w:b/>
          <w:sz w:val="24"/>
          <w:szCs w:val="24"/>
          <w:lang w:val="mn-MN"/>
        </w:rPr>
        <w:t xml:space="preserve"> </w:t>
      </w:r>
    </w:p>
    <w:p w14:paraId="3465272E" w14:textId="77777777" w:rsidR="000A6E31" w:rsidRPr="00EC102E" w:rsidRDefault="000A6E31">
      <w:pPr>
        <w:spacing w:after="0" w:line="240" w:lineRule="auto"/>
        <w:ind w:firstLine="720"/>
        <w:jc w:val="both"/>
        <w:rPr>
          <w:rFonts w:ascii="Arial" w:eastAsia="Arial" w:hAnsi="Arial" w:cs="Arial"/>
          <w:b/>
          <w:sz w:val="24"/>
          <w:szCs w:val="24"/>
          <w:lang w:val="mn-MN"/>
        </w:rPr>
      </w:pPr>
    </w:p>
    <w:p w14:paraId="279CDCD0"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 шаардлагатай байна.</w:t>
      </w:r>
    </w:p>
    <w:p w14:paraId="47CFEDE1" w14:textId="77777777" w:rsidR="000A6E31" w:rsidRPr="00EC102E" w:rsidRDefault="000A6E31">
      <w:pPr>
        <w:spacing w:after="0" w:line="240" w:lineRule="auto"/>
        <w:jc w:val="both"/>
        <w:rPr>
          <w:rFonts w:ascii="Arial" w:eastAsia="Arial" w:hAnsi="Arial" w:cs="Arial"/>
          <w:sz w:val="24"/>
          <w:szCs w:val="24"/>
          <w:lang w:val="mn-MN"/>
        </w:rPr>
      </w:pPr>
    </w:p>
    <w:p w14:paraId="0EE5B42C" w14:textId="5730A221"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ab/>
        <w:t>Монгол Улсын Их Хурлын 2020 оны 52 дугаар тогтоолоор баталсан “Алсын хараа-2050 урт хугацааны хөгжлийн бодлогын баримт бичиг” болон “Алсын хараа-2050 Монгол улсын урт хугацааны хөгжлийн бодлогын хүрээнд 2021-2030 онд хэрэгжүүлэх үйл ажиллагаа”-нд хүүхдийн хөгжлийг дэмжих зорилгоор “Хүүхдийн эрх, хөгжил, хамгааллын тогтолцоог бэхжүүлж, хүүхэд, гэр бүлд ээлтэй, тэгш боломж бүхий нийгмийн хамгааллын бодлогыг хэрэгжүүлэн, олон үндэстний гэр бүлээс гаралтай, хөгжлийн бэрхшээлтэй, шилжин суурьшигчид, эмзэг болон эрсдэлт бүлгийн гэр бүлийн хүүхдүүдийн тэгш эрх, аюулгүй байдлыг хангана”, “Хүүхдийн тоо, наснаас хамааруулан хөнгөлөлт эдлүүлэх, хуримтлал бий болгох тогтолцоог бүрдүүлнэ”, “Хүүхэд, залуучуудын авьяасыг нээх, шилдэг тамирчдыг бэлтгэх, хөгжүүлэх тогтолцоог боловсронгуй болгоно”, “Сургууль бүрд спорт, урлагийн заал, номын сан бүхий хүүхдийн цогц хөгжлийн төвийг үе шаттайгаар байгуулна”</w:t>
      </w:r>
      <w:r w:rsidR="00362422">
        <w:rPr>
          <w:rFonts w:ascii="Arial" w:eastAsia="Arial" w:hAnsi="Arial" w:cs="Arial"/>
          <w:sz w:val="24"/>
          <w:szCs w:val="24"/>
          <w:lang w:val="mn-MN"/>
        </w:rPr>
        <w:t xml:space="preserve">, </w:t>
      </w:r>
      <w:r w:rsidRPr="00EC102E">
        <w:rPr>
          <w:rFonts w:ascii="Arial" w:eastAsia="Arial" w:hAnsi="Arial" w:cs="Arial"/>
          <w:sz w:val="24"/>
          <w:szCs w:val="24"/>
          <w:lang w:val="mn-MN"/>
        </w:rPr>
        <w:t xml:space="preserve">“Биеийн тамирыг бүх нийтийн хөдөлгөөн болгох, иргэн, гэр бүлийн </w:t>
      </w:r>
      <w:r w:rsidRPr="00EC102E">
        <w:rPr>
          <w:rFonts w:ascii="Arial" w:eastAsia="Arial" w:hAnsi="Arial" w:cs="Arial"/>
          <w:sz w:val="24"/>
          <w:szCs w:val="24"/>
          <w:lang w:val="mn-MN"/>
        </w:rPr>
        <w:lastRenderedPageBreak/>
        <w:t>хэрэгцээнд нийцсэн идэвхтэй амьдралын дадал хэвшил төлөвшүүлэх насан туршийн боловсролын хөтөлбөр боловсруулж хэрэгжүүлнэ” хэмээн тусгасан.</w:t>
      </w:r>
    </w:p>
    <w:p w14:paraId="1D3DB0E3" w14:textId="77777777" w:rsidR="000A6E31" w:rsidRPr="00EC102E" w:rsidRDefault="000A6E31">
      <w:pPr>
        <w:spacing w:after="0" w:line="240" w:lineRule="auto"/>
        <w:ind w:firstLine="720"/>
        <w:jc w:val="both"/>
        <w:rPr>
          <w:rFonts w:ascii="Arial" w:eastAsia="Arial" w:hAnsi="Arial" w:cs="Arial"/>
          <w:sz w:val="24"/>
          <w:szCs w:val="24"/>
          <w:lang w:val="mn-MN"/>
        </w:rPr>
      </w:pPr>
    </w:p>
    <w:p w14:paraId="62B7B114" w14:textId="224108F9"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Мөн Монгол </w:t>
      </w:r>
      <w:r w:rsidR="004F2AB7">
        <w:rPr>
          <w:rFonts w:ascii="Arial" w:eastAsia="Arial" w:hAnsi="Arial" w:cs="Arial"/>
          <w:sz w:val="24"/>
          <w:szCs w:val="24"/>
          <w:lang w:val="mn-MN"/>
        </w:rPr>
        <w:t>У</w:t>
      </w:r>
      <w:r w:rsidRPr="00EC102E">
        <w:rPr>
          <w:rFonts w:ascii="Arial" w:eastAsia="Arial" w:hAnsi="Arial" w:cs="Arial"/>
          <w:sz w:val="24"/>
          <w:szCs w:val="24"/>
          <w:lang w:val="mn-MN"/>
        </w:rPr>
        <w:t xml:space="preserve">лсын Засгийн газрын 2024-28 оны үйл ажиллагааны хөтөлбөрт “Нийгмийн бүхий л орчинд хүүхдийн сайн сайхан байдлыг хангаж, гэр бүл төвтэй, салбар дундын хүүхэд хамгааллын үндэсний тогтолцоог бэхжүүлнэ”, “Хүүхдийг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“Сум, хороо бүрд хүүхэд, гэр бүлийн нийгмийн ажилтан ажиллуулж, хүүхдийн хөгжих таатай орчныг бүрдүүлж, эрүүл мэнд, боловсрол, хөгжил, хамгааллын үйлчилгээг чанартай, хүртээмжтэй хүргэнэ”, “Хүүхэд харах үйлчилгээ, өдөр өнжүүлэх үйлчилгээний хууль, эрх зүйн орчныг бүрдүүлж, эмэгтэйчүүдийн болон ганц бие эх, эцгийн хөдөлмөр эрхлэлт, асрахуйн эдийн засгийг дэмжих бодлого баримтална”,  “Хичээлээс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 гэж тодорхой тусгасан. </w:t>
      </w:r>
    </w:p>
    <w:p w14:paraId="3C114A72" w14:textId="77777777" w:rsidR="000A6E31" w:rsidRPr="00EC102E" w:rsidRDefault="000A6E31">
      <w:pPr>
        <w:spacing w:after="0" w:line="240" w:lineRule="auto"/>
        <w:ind w:firstLine="720"/>
        <w:jc w:val="both"/>
        <w:rPr>
          <w:rFonts w:ascii="Arial" w:eastAsia="Arial" w:hAnsi="Arial" w:cs="Arial"/>
          <w:sz w:val="24"/>
          <w:szCs w:val="24"/>
          <w:lang w:val="mn-MN"/>
        </w:rPr>
      </w:pPr>
    </w:p>
    <w:p w14:paraId="7E61CCC1" w14:textId="77777777" w:rsidR="000A6E31" w:rsidRPr="00EC102E" w:rsidRDefault="00DF52AE">
      <w:pPr>
        <w:spacing w:after="0" w:line="240" w:lineRule="auto"/>
        <w:ind w:firstLine="720"/>
        <w:jc w:val="both"/>
        <w:rPr>
          <w:rFonts w:ascii="Arial" w:eastAsia="Arial" w:hAnsi="Arial" w:cs="Arial"/>
          <w:b/>
          <w:sz w:val="24"/>
          <w:szCs w:val="24"/>
          <w:lang w:val="mn-MN"/>
        </w:rPr>
      </w:pPr>
      <w:r w:rsidRPr="00EC102E">
        <w:rPr>
          <w:rFonts w:ascii="Arial" w:eastAsia="Arial" w:hAnsi="Arial" w:cs="Arial"/>
          <w:sz w:val="24"/>
          <w:szCs w:val="24"/>
          <w:lang w:val="mn-MN"/>
        </w:rPr>
        <w:t xml:space="preserve">Эдгээр бодлогын баримт бичгийн хэрэгжилтийг хангахад хүүхдийн хөгжлийг дэмжих тэр дундаа сургуулийн өмнөх болон ерөнхий боловсролоос гадуурх хөгжлийн үйл ажиллагаа/үйлчилгээг төрийн бодлогоор дэмжихэд шаардлагатай хууль эрх зүйн механизмыг тодорхой болгож өгөх нь зүйтэй байгаа тул “Хүүхдийн хөгжлийг дэмжих тухай хууль” баталж, хүүхдийн хөгжилд чиглэсэн төрийн үүрэг, байгууллагын хариуцлага, санхүүжилтийн тогтолцоог хуульчилна.  Одоогийн “Хүүхдийн эрхийг хамгаалах тухай”, “Боловсролын тухай”, “Нийгмийн хамгааллын тухай” хуулиудад уялдаа холбоотой нэмэлт оруулна. </w:t>
      </w:r>
      <w:r w:rsidRPr="00EC102E">
        <w:rPr>
          <w:rFonts w:ascii="Arial" w:eastAsia="Arial" w:hAnsi="Arial" w:cs="Arial"/>
          <w:b/>
          <w:sz w:val="24"/>
          <w:szCs w:val="24"/>
          <w:lang w:val="mn-MN"/>
        </w:rPr>
        <w:br/>
      </w:r>
    </w:p>
    <w:p w14:paraId="08F9040C" w14:textId="77777777" w:rsidR="000A6E31" w:rsidRPr="00EC102E" w:rsidRDefault="000A6E31">
      <w:pPr>
        <w:spacing w:after="0" w:line="240" w:lineRule="auto"/>
        <w:ind w:firstLine="720"/>
        <w:jc w:val="both"/>
        <w:rPr>
          <w:rFonts w:ascii="Arial" w:eastAsia="Arial" w:hAnsi="Arial" w:cs="Arial"/>
          <w:b/>
          <w:sz w:val="24"/>
          <w:szCs w:val="24"/>
          <w:lang w:val="mn-MN"/>
        </w:rPr>
      </w:pPr>
    </w:p>
    <w:p w14:paraId="541D049E"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 xml:space="preserve">Зорилт 2. Хүүхдийн хөгжлийг дэмжихэд төрөөс баримтлах бодлого хэрэгжилтийн механизм, санхүүжилтийг тогтолцоог сайжруулах. </w:t>
      </w:r>
    </w:p>
    <w:p w14:paraId="78470D71" w14:textId="77777777" w:rsidR="000A6E31" w:rsidRPr="00EC102E" w:rsidRDefault="000A6E31">
      <w:pPr>
        <w:spacing w:after="0" w:line="240" w:lineRule="auto"/>
        <w:jc w:val="both"/>
        <w:rPr>
          <w:rFonts w:ascii="Arial" w:eastAsia="Arial" w:hAnsi="Arial" w:cs="Arial"/>
          <w:b/>
          <w:sz w:val="24"/>
          <w:szCs w:val="24"/>
          <w:lang w:val="mn-MN"/>
        </w:rPr>
      </w:pPr>
    </w:p>
    <w:p w14:paraId="58DBA568" w14:textId="3652F775"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Дээр дурдсанчлан Монгол </w:t>
      </w:r>
      <w:r w:rsidR="00D725CE">
        <w:rPr>
          <w:rFonts w:ascii="Arial" w:eastAsia="Arial" w:hAnsi="Arial" w:cs="Arial"/>
          <w:sz w:val="24"/>
          <w:szCs w:val="24"/>
          <w:lang w:val="mn-MN"/>
        </w:rPr>
        <w:t>У</w:t>
      </w:r>
      <w:r w:rsidRPr="00EC102E">
        <w:rPr>
          <w:rFonts w:ascii="Arial" w:eastAsia="Arial" w:hAnsi="Arial" w:cs="Arial"/>
          <w:sz w:val="24"/>
          <w:szCs w:val="24"/>
          <w:lang w:val="mn-MN"/>
        </w:rPr>
        <w:t xml:space="preserve">лсын урт болон дунд хугацааны бодлогын баримт бичгүүд болон холбогдох хууль тогтоомжид хүүхдийн хөгжлийн чиглэлээр зорилт, зохицуулалтууд байгаа боловч түүнийг хэрэгжүүлэх арга зам нь тодорхойгүй орхигдсон байна. </w:t>
      </w:r>
    </w:p>
    <w:p w14:paraId="7D655C45" w14:textId="77777777" w:rsidR="000A6E31" w:rsidRPr="00EC102E" w:rsidRDefault="000A6E31">
      <w:pPr>
        <w:spacing w:after="0" w:line="240" w:lineRule="auto"/>
        <w:ind w:firstLine="720"/>
        <w:jc w:val="both"/>
        <w:rPr>
          <w:rFonts w:ascii="Arial" w:eastAsia="Arial" w:hAnsi="Arial" w:cs="Arial"/>
          <w:sz w:val="24"/>
          <w:szCs w:val="24"/>
          <w:lang w:val="mn-MN"/>
        </w:rPr>
      </w:pPr>
    </w:p>
    <w:p w14:paraId="3491CCEF"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Аливаа зорилт хөтөлбөрийг хэрэгжүүлэхэд дэд бүтэц, санхүүжилт, боловсон хүчний болон менежментийн нөөц хамгийн чухал ач холбогдолтой эдгээр асуудлыг шийдвэрлэхгүй бол монгол улсын хойч ирээдүй болсон хүүхдийн хөгжлийн асуудал дорвитой ахиц гарахгүй тунхаглалын шинжтэй болж үлдэнэ. </w:t>
      </w:r>
    </w:p>
    <w:p w14:paraId="586FCF0E" w14:textId="77777777" w:rsidR="000A6E31" w:rsidRPr="00EC102E" w:rsidRDefault="000A6E31">
      <w:pPr>
        <w:spacing w:after="0" w:line="240" w:lineRule="auto"/>
        <w:ind w:firstLine="720"/>
        <w:jc w:val="both"/>
        <w:rPr>
          <w:rFonts w:ascii="Arial" w:eastAsia="Arial" w:hAnsi="Arial" w:cs="Arial"/>
          <w:sz w:val="24"/>
          <w:szCs w:val="24"/>
          <w:lang w:val="mn-MN"/>
        </w:rPr>
      </w:pPr>
    </w:p>
    <w:p w14:paraId="54672AF2" w14:textId="110AB30C"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3B7B40">
        <w:rPr>
          <w:rFonts w:ascii="Arial" w:eastAsia="Arial" w:hAnsi="Arial" w:cs="Arial"/>
          <w:sz w:val="24"/>
          <w:szCs w:val="24"/>
          <w:lang w:val="mn-MN"/>
        </w:rPr>
        <w:t>У</w:t>
      </w:r>
      <w:r w:rsidRPr="00EC102E">
        <w:rPr>
          <w:rFonts w:ascii="Arial" w:eastAsia="Arial" w:hAnsi="Arial" w:cs="Arial"/>
          <w:sz w:val="24"/>
          <w:szCs w:val="24"/>
          <w:lang w:val="mn-MN"/>
        </w:rPr>
        <w:t xml:space="preserve">лс нь 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зорилгоор Үндэсний баялгийн сангийн тухай хуулийг 2024 оны 4 сарын 19-нд баталсан. Тус хуулийн хүрээнд Ирээдүйн өв сан, Хуримтлалын сан, Хөгжлийн сан гэсэн 3 төрөлжсөн сантай байх бөгөөд үйл ажиллагааны зарчим нь газрын хэвлийн баялгийн үр өгөөжийг одоо ба ирээдүй үеийн иргэн бүрд тэгш, шударга хүртээх, Монгол Улсын урт, дунд хугацааны хөгжлийн бодлогод тулгуурласан байхаар  тусгасан. </w:t>
      </w:r>
    </w:p>
    <w:p w14:paraId="14E75E1C" w14:textId="77777777" w:rsidR="000A6E31" w:rsidRPr="00EC102E" w:rsidRDefault="000A6E31">
      <w:pPr>
        <w:spacing w:after="0" w:line="240" w:lineRule="auto"/>
        <w:ind w:firstLine="720"/>
        <w:jc w:val="both"/>
        <w:rPr>
          <w:rFonts w:ascii="Arial" w:eastAsia="Arial" w:hAnsi="Arial" w:cs="Arial"/>
          <w:sz w:val="24"/>
          <w:szCs w:val="24"/>
          <w:lang w:val="mn-MN"/>
        </w:rPr>
      </w:pPr>
    </w:p>
    <w:p w14:paraId="0B1203A2"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lastRenderedPageBreak/>
        <w:t xml:space="preserve">Үндэсний баялгийн сангийн тухай хуульд Улсын Их хуралд “Монгол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 эрхийг олгосон тул тус зохицуулалтын хүрээнд хүүхдийн хөгжлийг дэмжих сургалт, хөтөлбөрүүдийг санхүүжүүлэх механизмийг тодорхойлсон хууль тогтоомжийг баталж, түүнийг санхүүжүүлэх арга замыг Баялгийн сангаас шийдвэрлэх хууль эрх зүйн орчин бүрдсэн байна. </w:t>
      </w:r>
    </w:p>
    <w:p w14:paraId="4D221ED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ab/>
      </w:r>
    </w:p>
    <w:p w14:paraId="3104FDE9"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Хичээлээс гадуурх хүүхэд хөгжүүлэх секц, дугуйлан, сургалтын төвүүдийг дэмжихэд барилга байгууламж, тоног төхөөрөмжийн дэд бүтцийг төрөөс нэгдсэн бодлогоор дэмжихээс гадна тогтмол үйл ажиллагаа явуулахад хамгийн том дэмжлэг нь сургалтын төлбөрийн дэмжлэг үзүүлэх явдал юм. </w:t>
      </w:r>
    </w:p>
    <w:p w14:paraId="278DA026" w14:textId="77777777" w:rsidR="000A6E31" w:rsidRPr="00EC102E" w:rsidRDefault="000A6E31">
      <w:pPr>
        <w:spacing w:after="0" w:line="240" w:lineRule="auto"/>
        <w:ind w:firstLine="720"/>
        <w:jc w:val="both"/>
        <w:rPr>
          <w:rFonts w:ascii="Arial" w:eastAsia="Arial" w:hAnsi="Arial" w:cs="Arial"/>
          <w:sz w:val="24"/>
          <w:szCs w:val="24"/>
          <w:lang w:val="mn-MN"/>
        </w:rPr>
      </w:pPr>
    </w:p>
    <w:p w14:paraId="7F4596BC"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Үндэсний баялгийн сангийн тухай хуулийн 10.1.2-т заасны дагуу Хуримтлалын сан нь газрын хэвлийн баялгийн үр өгөөжийг одоо үеийн Монгол Улсын иргэн бүрд тэгш, шударга хүртээх зорилгоор иргэний эрүүл мэнд, боловсрол, орон сууцны зориулалтаар дэмжлэг үзүүлэх зорилготой тул хүүхдүүдийн хөгжих эрхийг хангах сургалтын төлбөрийг төрөөс дэмжих боломж бүрдэж байна. </w:t>
      </w:r>
    </w:p>
    <w:p w14:paraId="2BB4AEB2" w14:textId="77777777" w:rsidR="000A6E31" w:rsidRPr="00EC102E" w:rsidRDefault="000A6E31">
      <w:pPr>
        <w:spacing w:after="0" w:line="240" w:lineRule="auto"/>
        <w:ind w:firstLine="720"/>
        <w:jc w:val="both"/>
        <w:rPr>
          <w:rFonts w:ascii="Arial" w:eastAsia="Arial" w:hAnsi="Arial" w:cs="Arial"/>
          <w:sz w:val="24"/>
          <w:szCs w:val="24"/>
          <w:lang w:val="mn-MN"/>
        </w:rPr>
      </w:pPr>
    </w:p>
    <w:p w14:paraId="4D9EBB01" w14:textId="1890C961"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2024 оны байдлаар </w:t>
      </w:r>
      <w:r w:rsidR="00662912">
        <w:rPr>
          <w:rFonts w:ascii="Arial" w:eastAsia="Arial" w:hAnsi="Arial" w:cs="Arial"/>
          <w:sz w:val="24"/>
          <w:szCs w:val="24"/>
          <w:lang w:val="mn-MN"/>
        </w:rPr>
        <w:t>У</w:t>
      </w:r>
      <w:r w:rsidRPr="00EC102E">
        <w:rPr>
          <w:rFonts w:ascii="Arial" w:eastAsia="Arial" w:hAnsi="Arial" w:cs="Arial"/>
          <w:sz w:val="24"/>
          <w:szCs w:val="24"/>
          <w:lang w:val="mn-MN"/>
        </w:rPr>
        <w:t xml:space="preserve">лаанбаатар хотод англи хэлний сургалтын төлбөр дундажаар 1 сарын 200-250 мянган төгрөг, бүжгийн сургалт, сагсны сургалт дундажаар 1 сарын 80-100 мянган төгрөг, хөдөө орон нутагт 1 сарын 100-150 мянган төгрөг, бүжгийн сургалт, сагсны сургалт дундажаар 1 сарын 50-80 мянган төгрөг байна. </w:t>
      </w:r>
    </w:p>
    <w:p w14:paraId="5D78F51F" w14:textId="77777777" w:rsidR="000A6E31" w:rsidRPr="00EC102E" w:rsidRDefault="000A6E31">
      <w:pPr>
        <w:spacing w:after="0" w:line="240" w:lineRule="auto"/>
        <w:ind w:firstLine="720"/>
        <w:jc w:val="both"/>
        <w:rPr>
          <w:rFonts w:ascii="Arial" w:eastAsia="Arial" w:hAnsi="Arial" w:cs="Arial"/>
          <w:sz w:val="24"/>
          <w:szCs w:val="24"/>
          <w:lang w:val="mn-MN"/>
        </w:rPr>
      </w:pPr>
    </w:p>
    <w:p w14:paraId="0460855A" w14:textId="362F71F5"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w:t>
      </w:r>
      <w:r w:rsidR="0014109D">
        <w:rPr>
          <w:rFonts w:ascii="Arial" w:eastAsia="Arial" w:hAnsi="Arial" w:cs="Arial"/>
          <w:sz w:val="24"/>
          <w:szCs w:val="24"/>
          <w:lang w:val="mn-MN"/>
        </w:rPr>
        <w:t>У</w:t>
      </w:r>
      <w:r w:rsidRPr="00EC102E">
        <w:rPr>
          <w:rFonts w:ascii="Arial" w:eastAsia="Arial" w:hAnsi="Arial" w:cs="Arial"/>
          <w:sz w:val="24"/>
          <w:szCs w:val="24"/>
          <w:lang w:val="mn-MN"/>
        </w:rPr>
        <w:t xml:space="preserve">лсад 6-16 насны 800 мянга орчим хүүхэд байгаа бөгөөд эдгээр хүүхдүүдийн 1 сарын хичээлээс гадуурх сургалтын зардлыг дунджаар 50,000 төгрөг байхаар төлөвлөж 6 сарын хугацаанд хамрагдах төсөвт өртгийн 300,000 төгрөгийг төрийн зүгээс дэмжлэг үзүүлж Хуримтлалын сангаас гаргаж, үлдсэн хэсгийг эцэг, эх, асран хамгаалагч нар нь гаргах байдлаар сургалтын төлбөрийн санхүүжилтийг шийдвэрлэх боломжтой юм. Ингэснээр жилдээ 240 орчим тэрбум төгрөгийг Ирээдүйн өв сан болон Хуримтлалын сангаас зарцуулах шаардлага гарна. </w:t>
      </w:r>
    </w:p>
    <w:p w14:paraId="05E86E11" w14:textId="77777777" w:rsidR="000A6E31" w:rsidRPr="00EC102E" w:rsidRDefault="000A6E31">
      <w:pPr>
        <w:spacing w:after="0" w:line="240" w:lineRule="auto"/>
        <w:ind w:firstLine="720"/>
        <w:jc w:val="both"/>
        <w:rPr>
          <w:rFonts w:ascii="Arial" w:eastAsia="Arial" w:hAnsi="Arial" w:cs="Arial"/>
          <w:sz w:val="24"/>
          <w:szCs w:val="24"/>
          <w:lang w:val="mn-MN"/>
        </w:rPr>
      </w:pPr>
    </w:p>
    <w:p w14:paraId="40D347A2" w14:textId="6E49E2A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Үндэсний баялгийн сангийн 2025 оны төсвийн тухай хуульд зааснаар 507 орчим тэрбум төгрөг байхаар тусгасан байна. Энэ нь 5-18 насны хүүхэд </w:t>
      </w:r>
      <w:r w:rsidR="00806CBD">
        <w:rPr>
          <w:rFonts w:ascii="Arial" w:eastAsia="Arial" w:hAnsi="Arial" w:cs="Arial"/>
          <w:sz w:val="24"/>
          <w:szCs w:val="24"/>
          <w:lang w:val="mn-MN"/>
        </w:rPr>
        <w:t>М</w:t>
      </w:r>
      <w:r w:rsidRPr="00EC102E">
        <w:rPr>
          <w:rFonts w:ascii="Arial" w:eastAsia="Arial" w:hAnsi="Arial" w:cs="Arial"/>
          <w:sz w:val="24"/>
          <w:szCs w:val="24"/>
          <w:lang w:val="mn-MN"/>
        </w:rPr>
        <w:t xml:space="preserve">онголын нийт хүний амын 30 орчим хувийн эзэлж байгаа тул Үндэсний баялгийн сангийн тухай хуульд заасан газрын хэвлийн баялгийг одоо үеийн Монгол Улсын иргэн бүрд тэгш, шударга хүртээх зорилгоор иргэний эрүүл мэнд, боловсрол, орон сууцны зориулалтаар дэмжлэг үзүүлэх гэсэнтэй нийцэх юм. </w:t>
      </w:r>
    </w:p>
    <w:p w14:paraId="046FFA4E" w14:textId="77777777" w:rsidR="000A6E31" w:rsidRPr="00EC102E" w:rsidRDefault="000A6E31">
      <w:pPr>
        <w:spacing w:after="0" w:line="240" w:lineRule="auto"/>
        <w:ind w:firstLine="720"/>
        <w:jc w:val="both"/>
        <w:rPr>
          <w:rFonts w:ascii="Arial" w:eastAsia="Arial" w:hAnsi="Arial" w:cs="Arial"/>
          <w:sz w:val="24"/>
          <w:szCs w:val="24"/>
          <w:lang w:val="mn-MN"/>
        </w:rPr>
      </w:pPr>
    </w:p>
    <w:p w14:paraId="56E23DC1"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Сургалтын төв, хөгжлийн төвүүдийг барилга байгууламж, дэд бүтцийг Төсвийн тухай хууль, Хөгжлийн бодлого, төлөвлөлт, түүний удирдлагын тухай хууль, Монгол Улсын Засаг захиргаа, нутаг дэвсгэрийн нэгж, түүний удирдлагын тухай хууль,Төрийн болон орон нутгийн өмчийн тухай хууль, Төрийн болон орон нутгийн өмчийн хөрөнгөөр бараа, ажил, үйлчилгээ худалдан авах тухай хуульд нийцүүлэн Сангийн сайдын 2021 оны 05 дугаар сарын 24-ний өдрийн 86 дугаар тушаалаар батлагдсан “Орон нутгийн хөгжлийн сангийн үйл ажиллагааны журам” нийцүүлэн шийдвэрлэх боломжтой. </w:t>
      </w:r>
    </w:p>
    <w:p w14:paraId="4067F087" w14:textId="77777777" w:rsidR="000A6E31" w:rsidRPr="00EC102E" w:rsidRDefault="000A6E31">
      <w:pPr>
        <w:spacing w:after="0" w:line="240" w:lineRule="auto"/>
        <w:ind w:firstLine="720"/>
        <w:jc w:val="both"/>
        <w:rPr>
          <w:rFonts w:ascii="Arial" w:eastAsia="Arial" w:hAnsi="Arial" w:cs="Arial"/>
          <w:sz w:val="24"/>
          <w:szCs w:val="24"/>
          <w:lang w:val="mn-MN"/>
        </w:rPr>
      </w:pPr>
    </w:p>
    <w:p w14:paraId="6E833598"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Учир нь Орон нутгийн хөгжлийн сангийн хөрөнгөөр санхүүжүүлэх хөрөнгө оруулалт, хөтөлбөр, төсөл, арга хэмжээ нь Хөгжлийн бодлого төлөвлөлт, түүний удирдлагын тухай хуулийн 6 дугаар зүйлд заасан урт, дунд болон богино хугацааны хөгжлийн бодлогын баримт бичгүүдтэй уялдсан байх, иргэдийн эрүүл мэндийг хамгаалах, боловсрол, соёл, инновац, шинжлэх ухаан, цахим технологийг дэмжсэн байхыг шаарддаг тул тухай орон нутгийн хөгжлийн сангаас тухайн жилд хэрэгжүүлэх хүүхдийн хөгжлийг дэмжих барилга байгууламж, дэд бүтэц, тоног төхөөрөмжийг зардлыг тодорхой тусгаж өгөхийг хуулиар зохицуулна. </w:t>
      </w:r>
    </w:p>
    <w:p w14:paraId="3AABFE28" w14:textId="77777777" w:rsidR="000A6E31" w:rsidRPr="00EC102E" w:rsidRDefault="000A6E31">
      <w:pPr>
        <w:spacing w:after="0" w:line="240" w:lineRule="auto"/>
        <w:ind w:firstLine="720"/>
        <w:jc w:val="both"/>
        <w:rPr>
          <w:rFonts w:ascii="Arial" w:eastAsia="Arial" w:hAnsi="Arial" w:cs="Arial"/>
          <w:sz w:val="24"/>
          <w:szCs w:val="24"/>
          <w:lang w:val="mn-MN"/>
        </w:rPr>
      </w:pPr>
    </w:p>
    <w:p w14:paraId="73421AC5" w14:textId="77777777" w:rsidR="000A6E31" w:rsidRPr="00EC102E" w:rsidRDefault="00DF52AE">
      <w:pPr>
        <w:shd w:val="clear" w:color="auto" w:fill="FFFFFF"/>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ab/>
        <w:t xml:space="preserve">2021 онд Засгийн газрын тусгай сангийн тухай хуульд Хүүхдийн төлөө санг нэмсэн бөгөөд тус сан нь Хүүхдэд зориулсан бүтээн байгуулалтын хөрөнгөд, олон улсын уралдаан, тэмцээнд оролцон тэргүүн байр эзэлж, амжилт үзүүлсэн хүүхдүүдийг урамшуулахад, олон улсын тэмцээнд оролцох болзол хангасан хөгжлийн бэрхшээлтэй хүүхдүүдийг дэмжихэд зарцуулагддаг тул тус сангаас тодорхой хэсэг барилга, байгууламж, дэд бүтцийн бүтээн байгуулалтыг дэмжих боломжтой юм. Хүүхдийн төлөө санд 2024 оны  байдлаар 14 тэрбум төгрөг хуримтлагдсан байна. </w:t>
      </w:r>
    </w:p>
    <w:p w14:paraId="4A09FA64" w14:textId="77777777" w:rsidR="000A6E31" w:rsidRPr="00EC102E" w:rsidRDefault="000A6E31">
      <w:pPr>
        <w:shd w:val="clear" w:color="auto" w:fill="FFFFFF"/>
        <w:spacing w:after="0" w:line="240" w:lineRule="auto"/>
        <w:jc w:val="both"/>
        <w:rPr>
          <w:rFonts w:ascii="Arial" w:eastAsia="Arial" w:hAnsi="Arial" w:cs="Arial"/>
          <w:sz w:val="24"/>
          <w:szCs w:val="24"/>
          <w:lang w:val="mn-MN"/>
        </w:rPr>
      </w:pPr>
    </w:p>
    <w:p w14:paraId="7BD7ADDC" w14:textId="77777777" w:rsidR="000A6E31" w:rsidRPr="00EC102E" w:rsidRDefault="00DF52AE">
      <w:pPr>
        <w:shd w:val="clear" w:color="auto" w:fill="FFFFFF"/>
        <w:spacing w:after="0" w:line="240" w:lineRule="auto"/>
        <w:jc w:val="both"/>
        <w:rPr>
          <w:rFonts w:ascii="Arial" w:eastAsia="Arial" w:hAnsi="Arial" w:cs="Arial"/>
          <w:b/>
          <w:sz w:val="24"/>
          <w:szCs w:val="24"/>
          <w:lang w:val="mn-MN"/>
        </w:rPr>
      </w:pPr>
      <w:r w:rsidRPr="00EC102E">
        <w:rPr>
          <w:rFonts w:ascii="Arial" w:eastAsia="Arial" w:hAnsi="Arial" w:cs="Arial"/>
          <w:sz w:val="24"/>
          <w:szCs w:val="24"/>
          <w:lang w:val="mn-MN"/>
        </w:rPr>
        <w:tab/>
      </w:r>
      <w:r w:rsidRPr="00EC102E">
        <w:rPr>
          <w:rFonts w:ascii="Arial" w:eastAsia="Arial" w:hAnsi="Arial" w:cs="Arial"/>
          <w:b/>
          <w:sz w:val="24"/>
          <w:szCs w:val="24"/>
          <w:lang w:val="mn-MN"/>
        </w:rPr>
        <w:t xml:space="preserve">Зорилт.3 Хүүхдийн хөгжлийг дэмжих тогтолцоог төр, хувийн хэвшлийн хамтын ажиллагааны түншлэл дээр тулгуурлан хэрэгжүүлнэ. </w:t>
      </w:r>
    </w:p>
    <w:p w14:paraId="1C35C177" w14:textId="77777777" w:rsidR="000A6E31" w:rsidRPr="00EC102E" w:rsidRDefault="000A6E31">
      <w:pPr>
        <w:shd w:val="clear" w:color="auto" w:fill="FFFFFF"/>
        <w:spacing w:after="0" w:line="240" w:lineRule="auto"/>
        <w:jc w:val="both"/>
        <w:rPr>
          <w:rFonts w:ascii="Arial" w:eastAsia="Arial" w:hAnsi="Arial" w:cs="Arial"/>
          <w:b/>
          <w:sz w:val="24"/>
          <w:szCs w:val="24"/>
          <w:lang w:val="mn-MN"/>
        </w:rPr>
      </w:pPr>
    </w:p>
    <w:p w14:paraId="554BC57A" w14:textId="77777777" w:rsidR="000A6E31" w:rsidRPr="00EC102E" w:rsidRDefault="00DF52AE">
      <w:pPr>
        <w:shd w:val="clear" w:color="auto" w:fill="FFFFFF"/>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ab/>
        <w:t xml:space="preserve">Хүүхдийн хөгжлийг дэмжих нь урт хугацааны тогтвортой үйл ажиллагааг шаардаж байгаа бөгөөд өнөөдийн байдлаар Хүүхдийн эрхийн тухай хууль, Хүүхдийг хамгаалах тухай хууль болон Боловсролын хууль тогтоомжид тодорхой зорилго зорилтуудыг тусгасан боловч бодитой, үр дүнтэй хэрэгжилтгүй байгаагийн нэг шалтгаан нь санхүүжилтийн механизм ба  тухайн үйл ажиллагааны менежменттэй шууд холбоотой. Дээр дурдсан хууль тогтоомжид хүүхдийн хөгжил, хүүхэд хамгаалал, хичээлээс гадуурх үйл ажиллагааг төрийн байгууллагын нэг дайвар чиг үүрэг болгон оруулж, хэрэгжилтийг нь хангуулах зохицуулалт хийсэн нь тус хөтөлбөрүүд бодитой хэрэгжихгүй байгаагийн нэг шалтгаан юм. </w:t>
      </w:r>
      <w:r w:rsidRPr="00EC102E">
        <w:rPr>
          <w:rFonts w:ascii="Arial" w:eastAsia="Arial" w:hAnsi="Arial" w:cs="Arial"/>
          <w:sz w:val="24"/>
          <w:szCs w:val="24"/>
          <w:lang w:val="mn-MN"/>
        </w:rPr>
        <w:tab/>
      </w:r>
    </w:p>
    <w:p w14:paraId="56E3AB97" w14:textId="77777777" w:rsidR="000A6E31" w:rsidRPr="00EC102E" w:rsidRDefault="000A6E31">
      <w:pPr>
        <w:shd w:val="clear" w:color="auto" w:fill="FFFFFF"/>
        <w:spacing w:after="0" w:line="240" w:lineRule="auto"/>
        <w:jc w:val="both"/>
        <w:rPr>
          <w:rFonts w:ascii="Arial" w:eastAsia="Arial" w:hAnsi="Arial" w:cs="Arial"/>
          <w:sz w:val="24"/>
          <w:szCs w:val="24"/>
          <w:lang w:val="mn-MN"/>
        </w:rPr>
      </w:pPr>
    </w:p>
    <w:p w14:paraId="773AAAA0" w14:textId="77777777" w:rsidR="000A6E31" w:rsidRPr="00EC102E" w:rsidRDefault="00DF52AE">
      <w:pPr>
        <w:shd w:val="clear" w:color="auto" w:fill="FFFFFF"/>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ab/>
        <w:t xml:space="preserve">Хүүхдийн хөгжлийг дэмжих гол дэмжлэг нь хичээлээс гадуур сургалтын хэлбэр тул түүнийг хэрэгжүүлэх чиг үүргийг төрийн захиргааны байгууллагын нэг чиг, үүрэг, эсхүл сургуулийн нэмэлт үйл ажиллагаа болгож орхихгүйгээр хувийн хэвшил бие даан хэрэгжүүлж, дэд бүтэц, санхүүжилтийн хүрээнд л төрийн бодлогоор дэмжих арга замыг хуулийн зохицуулалтаар тодорхойлно. </w:t>
      </w:r>
      <w:r w:rsidRPr="00EC102E">
        <w:rPr>
          <w:rFonts w:ascii="Arial" w:eastAsia="Arial" w:hAnsi="Arial" w:cs="Arial"/>
          <w:sz w:val="24"/>
          <w:szCs w:val="24"/>
          <w:lang w:val="mn-MN"/>
        </w:rPr>
        <w:tab/>
      </w:r>
    </w:p>
    <w:p w14:paraId="20B0B61C" w14:textId="129183C0" w:rsidR="000A6E31" w:rsidRPr="00EC102E" w:rsidRDefault="00DF52AE">
      <w:pPr>
        <w:shd w:val="clear" w:color="auto" w:fill="FFFFFF"/>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ab/>
        <w:t xml:space="preserve">Монгол </w:t>
      </w:r>
      <w:r w:rsidR="00CF3463">
        <w:rPr>
          <w:rFonts w:ascii="Arial" w:eastAsia="Arial" w:hAnsi="Arial" w:cs="Arial"/>
          <w:sz w:val="24"/>
          <w:szCs w:val="24"/>
          <w:lang w:val="mn-MN"/>
        </w:rPr>
        <w:t>У</w:t>
      </w:r>
      <w:r w:rsidRPr="00EC102E">
        <w:rPr>
          <w:rFonts w:ascii="Arial" w:eastAsia="Arial" w:hAnsi="Arial" w:cs="Arial"/>
          <w:sz w:val="24"/>
          <w:szCs w:val="24"/>
          <w:lang w:val="mn-MN"/>
        </w:rPr>
        <w:t xml:space="preserve">лс Төр хувийн хэвшлийн тухай хуулийг 2022 онд баталсан бөгөөд тус хуулийн гол зорилго нь нийтийн зориулалттай дэд бүтэц, төрийн үйлчилгээний салбарт төр, хувийн хэвшлийн түншлэлийн төслийг хэрэгжүүлэх,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хэрэгжүүлэх </w:t>
      </w:r>
      <w:r w:rsidR="00CF3463">
        <w:rPr>
          <w:rFonts w:ascii="Arial" w:eastAsia="Arial" w:hAnsi="Arial" w:cs="Arial"/>
          <w:sz w:val="24"/>
          <w:szCs w:val="24"/>
          <w:lang w:val="mn-MN"/>
        </w:rPr>
        <w:t>ю</w:t>
      </w:r>
      <w:r w:rsidRPr="00EC102E">
        <w:rPr>
          <w:rFonts w:ascii="Arial" w:eastAsia="Arial" w:hAnsi="Arial" w:cs="Arial"/>
          <w:sz w:val="24"/>
          <w:szCs w:val="24"/>
          <w:lang w:val="mn-MN"/>
        </w:rPr>
        <w:t xml:space="preserve">м. Иймд хүүхдийн хөгжлийг дэмжих сургалт, клубын дэд бүтцийг төр хувийн хэвшлийн хүрээнд бүтээн байгуулах, менежментийг нь хувийн хэвшлээр хийлгэх хууль эрх зүйн орчин аль хэдийн бүрдсэн байна. </w:t>
      </w:r>
    </w:p>
    <w:p w14:paraId="36471EEC" w14:textId="77777777" w:rsidR="000A6E31" w:rsidRPr="00EC102E" w:rsidRDefault="00DF52AE">
      <w:pPr>
        <w:shd w:val="clear" w:color="auto" w:fill="FFFFFF"/>
        <w:spacing w:after="0" w:line="240" w:lineRule="auto"/>
        <w:jc w:val="both"/>
        <w:rPr>
          <w:rFonts w:ascii="Arial" w:eastAsia="Arial" w:hAnsi="Arial" w:cs="Arial"/>
          <w:b/>
          <w:sz w:val="24"/>
          <w:szCs w:val="24"/>
          <w:lang w:val="mn-MN"/>
        </w:rPr>
      </w:pPr>
      <w:r w:rsidRPr="00EC102E">
        <w:rPr>
          <w:rFonts w:ascii="Arial" w:eastAsia="Arial" w:hAnsi="Arial" w:cs="Arial"/>
          <w:sz w:val="24"/>
          <w:szCs w:val="24"/>
          <w:lang w:val="mn-MN"/>
        </w:rPr>
        <w:tab/>
      </w:r>
    </w:p>
    <w:p w14:paraId="617A19E6" w14:textId="77777777" w:rsidR="000A6E31" w:rsidRPr="00EC102E" w:rsidRDefault="00DF52AE">
      <w:pPr>
        <w:widowControl w:val="0"/>
        <w:spacing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t>ДӨРӨВ. АСУУДЛЫГ ЗОХИЦУУЛАХ ХУВИЛБАРУУД,</w:t>
      </w:r>
    </w:p>
    <w:p w14:paraId="2440886A" w14:textId="77777777" w:rsidR="000A6E31" w:rsidRPr="00EC102E" w:rsidRDefault="00DF52AE">
      <w:pPr>
        <w:widowControl w:val="0"/>
        <w:spacing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t>ТЭДГЭЭРИЙН ЭЕРЭГ, СӨРӨГ ТАЛЫГ ХАРЬЦУУЛСАН БАЙДАЛ</w:t>
      </w:r>
    </w:p>
    <w:p w14:paraId="5ABE07A6" w14:textId="77777777" w:rsidR="000A6E31" w:rsidRPr="00EC102E" w:rsidRDefault="000A6E31">
      <w:pPr>
        <w:widowControl w:val="0"/>
        <w:spacing w:after="0" w:line="240" w:lineRule="auto"/>
        <w:ind w:firstLine="720"/>
        <w:jc w:val="center"/>
        <w:rPr>
          <w:rFonts w:ascii="Arial" w:eastAsia="Arial" w:hAnsi="Arial" w:cs="Arial"/>
          <w:b/>
          <w:sz w:val="24"/>
          <w:szCs w:val="24"/>
          <w:lang w:val="mn-MN"/>
        </w:rPr>
      </w:pPr>
    </w:p>
    <w:p w14:paraId="47384D89" w14:textId="77777777" w:rsidR="000A6E31" w:rsidRPr="00EC102E" w:rsidRDefault="00DF52AE">
      <w:pPr>
        <w:widowControl w:val="0"/>
        <w:spacing w:after="0" w:line="240" w:lineRule="auto"/>
        <w:ind w:right="70"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Асуудлыг шийдвэрлэх боломжтой хувилбаруудыг тогтоож, Аргачлалын 5-д </w:t>
      </w:r>
      <w:r w:rsidRPr="00EC102E">
        <w:rPr>
          <w:rFonts w:ascii="Arial" w:eastAsia="Arial" w:hAnsi="Arial" w:cs="Arial"/>
          <w:sz w:val="24"/>
          <w:szCs w:val="24"/>
          <w:lang w:val="mn-MN"/>
        </w:rPr>
        <w:lastRenderedPageBreak/>
        <w:t xml:space="preserve">заасны дагуу зорилгод хүрэх байдал буюу хоёрдугаар хэсэгт заасан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 </w:t>
      </w:r>
    </w:p>
    <w:p w14:paraId="56035FA1" w14:textId="77777777" w:rsidR="000A6E31" w:rsidRPr="00EC102E" w:rsidRDefault="000A6E31">
      <w:pPr>
        <w:widowControl w:val="0"/>
        <w:spacing w:after="0" w:line="240" w:lineRule="auto"/>
        <w:ind w:right="70" w:firstLine="720"/>
        <w:jc w:val="both"/>
        <w:rPr>
          <w:rFonts w:ascii="Arial" w:eastAsia="Arial" w:hAnsi="Arial" w:cs="Arial"/>
          <w:sz w:val="24"/>
          <w:szCs w:val="24"/>
          <w:lang w:val="mn-MN"/>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
        <w:gridCol w:w="1963"/>
        <w:gridCol w:w="2871"/>
        <w:gridCol w:w="2252"/>
        <w:gridCol w:w="1498"/>
      </w:tblGrid>
      <w:tr w:rsidR="000A6E31" w:rsidRPr="00EC102E" w14:paraId="19CCEA50" w14:textId="77777777">
        <w:tc>
          <w:tcPr>
            <w:tcW w:w="2395" w:type="dxa"/>
            <w:gridSpan w:val="2"/>
            <w:shd w:val="clear" w:color="auto" w:fill="E7E6E6"/>
          </w:tcPr>
          <w:p w14:paraId="5A787BAD" w14:textId="77777777" w:rsidR="000A6E31" w:rsidRPr="00EC102E" w:rsidRDefault="00DF52AE">
            <w:pPr>
              <w:widowControl w:val="0"/>
              <w:ind w:right="70"/>
              <w:jc w:val="center"/>
              <w:rPr>
                <w:rFonts w:ascii="Arial" w:eastAsia="Arial" w:hAnsi="Arial" w:cs="Arial"/>
                <w:b/>
                <w:sz w:val="24"/>
                <w:szCs w:val="24"/>
                <w:lang w:val="mn-MN"/>
              </w:rPr>
            </w:pPr>
            <w:r w:rsidRPr="00EC102E">
              <w:rPr>
                <w:rFonts w:ascii="Arial" w:eastAsia="Arial" w:hAnsi="Arial" w:cs="Arial"/>
                <w:b/>
                <w:sz w:val="24"/>
                <w:szCs w:val="24"/>
                <w:lang w:val="mn-MN"/>
              </w:rPr>
              <w:t>Хувилбар</w:t>
            </w:r>
          </w:p>
        </w:tc>
        <w:tc>
          <w:tcPr>
            <w:tcW w:w="2871" w:type="dxa"/>
            <w:shd w:val="clear" w:color="auto" w:fill="E7E6E6"/>
          </w:tcPr>
          <w:p w14:paraId="5B2D9408" w14:textId="77777777" w:rsidR="000A6E31" w:rsidRPr="00EC102E" w:rsidRDefault="00DF52AE">
            <w:pPr>
              <w:widowControl w:val="0"/>
              <w:ind w:right="70"/>
              <w:jc w:val="center"/>
              <w:rPr>
                <w:rFonts w:ascii="Arial" w:eastAsia="Arial" w:hAnsi="Arial" w:cs="Arial"/>
                <w:b/>
                <w:sz w:val="24"/>
                <w:szCs w:val="24"/>
                <w:lang w:val="mn-MN"/>
              </w:rPr>
            </w:pPr>
            <w:r w:rsidRPr="00EC102E">
              <w:rPr>
                <w:rFonts w:ascii="Arial" w:eastAsia="Arial" w:hAnsi="Arial" w:cs="Arial"/>
                <w:b/>
                <w:sz w:val="24"/>
                <w:szCs w:val="24"/>
                <w:lang w:val="mn-MN"/>
              </w:rPr>
              <w:t>Зорилгод хүрэх байдал</w:t>
            </w:r>
          </w:p>
        </w:tc>
        <w:tc>
          <w:tcPr>
            <w:tcW w:w="2252" w:type="dxa"/>
            <w:shd w:val="clear" w:color="auto" w:fill="E7E6E6"/>
          </w:tcPr>
          <w:p w14:paraId="7E94DE3B" w14:textId="77777777" w:rsidR="000A6E31" w:rsidRPr="00EC102E" w:rsidRDefault="00DF52AE">
            <w:pPr>
              <w:widowControl w:val="0"/>
              <w:ind w:right="70"/>
              <w:jc w:val="center"/>
              <w:rPr>
                <w:rFonts w:ascii="Arial" w:eastAsia="Arial" w:hAnsi="Arial" w:cs="Arial"/>
                <w:b/>
                <w:sz w:val="24"/>
                <w:szCs w:val="24"/>
                <w:lang w:val="mn-MN"/>
              </w:rPr>
            </w:pPr>
            <w:r w:rsidRPr="00EC102E">
              <w:rPr>
                <w:rFonts w:ascii="Arial" w:eastAsia="Arial" w:hAnsi="Arial" w:cs="Arial"/>
                <w:b/>
                <w:sz w:val="24"/>
                <w:szCs w:val="24"/>
                <w:lang w:val="mn-MN"/>
              </w:rPr>
              <w:t>Зардал үр өгөөжийн харьцаа</w:t>
            </w:r>
          </w:p>
        </w:tc>
        <w:tc>
          <w:tcPr>
            <w:tcW w:w="1498" w:type="dxa"/>
            <w:shd w:val="clear" w:color="auto" w:fill="E7E6E6"/>
          </w:tcPr>
          <w:p w14:paraId="301E69C8" w14:textId="77777777" w:rsidR="000A6E31" w:rsidRPr="00EC102E" w:rsidRDefault="00DF52AE">
            <w:pPr>
              <w:widowControl w:val="0"/>
              <w:ind w:right="70"/>
              <w:jc w:val="center"/>
              <w:rPr>
                <w:rFonts w:ascii="Arial" w:eastAsia="Arial" w:hAnsi="Arial" w:cs="Arial"/>
                <w:b/>
                <w:sz w:val="24"/>
                <w:szCs w:val="24"/>
                <w:lang w:val="mn-MN"/>
              </w:rPr>
            </w:pPr>
            <w:r w:rsidRPr="00EC102E">
              <w:rPr>
                <w:rFonts w:ascii="Arial" w:eastAsia="Arial" w:hAnsi="Arial" w:cs="Arial"/>
                <w:b/>
                <w:sz w:val="24"/>
                <w:szCs w:val="24"/>
                <w:lang w:val="mn-MN"/>
              </w:rPr>
              <w:t>Үр дүн</w:t>
            </w:r>
          </w:p>
        </w:tc>
      </w:tr>
      <w:tr w:rsidR="000A6E31" w:rsidRPr="00EC102E" w14:paraId="64A54876" w14:textId="77777777">
        <w:trPr>
          <w:trHeight w:val="3848"/>
        </w:trPr>
        <w:tc>
          <w:tcPr>
            <w:tcW w:w="432" w:type="dxa"/>
          </w:tcPr>
          <w:p w14:paraId="6545AB91"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1</w:t>
            </w:r>
          </w:p>
        </w:tc>
        <w:tc>
          <w:tcPr>
            <w:tcW w:w="1963" w:type="dxa"/>
          </w:tcPr>
          <w:p w14:paraId="560D56C6" w14:textId="77777777" w:rsidR="00F03570"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Тэг хувилбар </w:t>
            </w:r>
          </w:p>
          <w:p w14:paraId="3CD3D5D5" w14:textId="0B083CB3"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(ямар нэгэн арга хэмжээ авахгүй, одоогийн байдал хэвээр байх)</w:t>
            </w:r>
          </w:p>
        </w:tc>
        <w:tc>
          <w:tcPr>
            <w:tcW w:w="2871" w:type="dxa"/>
          </w:tcPr>
          <w:p w14:paraId="25BF2565"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хөгжлийг дэмжих механизмын үр нөлөөгүй,  тодорхойгүй байдал хэвээр үргэлжилнэ. Хүүхэд хичээлээс гадуур, өөрийн хүсэл сонирхлынхоо хүрээнд хөгжих боломжийг дэмжихэд тулгамдаад байгаа бодлогын болон санхүүгийн дэмжлэгийн асуудлууд шийдвэрлэгдэхгүй. </w:t>
            </w:r>
          </w:p>
        </w:tc>
        <w:tc>
          <w:tcPr>
            <w:tcW w:w="2252" w:type="dxa"/>
          </w:tcPr>
          <w:p w14:paraId="310A6570" w14:textId="5FD6850C"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Нэмэлт зардал гарахгүй ч </w:t>
            </w:r>
            <w:r w:rsidR="00F03570">
              <w:rPr>
                <w:rFonts w:ascii="Arial" w:eastAsia="Arial" w:hAnsi="Arial" w:cs="Arial"/>
                <w:sz w:val="24"/>
                <w:szCs w:val="24"/>
                <w:lang w:val="mn-MN"/>
              </w:rPr>
              <w:t>М</w:t>
            </w:r>
            <w:r w:rsidRPr="00EC102E">
              <w:rPr>
                <w:rFonts w:ascii="Arial" w:eastAsia="Arial" w:hAnsi="Arial" w:cs="Arial"/>
                <w:sz w:val="24"/>
                <w:szCs w:val="24"/>
                <w:lang w:val="mn-MN"/>
              </w:rPr>
              <w:t xml:space="preserve">онгол </w:t>
            </w:r>
            <w:r w:rsidR="00F03570">
              <w:rPr>
                <w:rFonts w:ascii="Arial" w:eastAsia="Arial" w:hAnsi="Arial" w:cs="Arial"/>
                <w:sz w:val="24"/>
                <w:szCs w:val="24"/>
                <w:lang w:val="mn-MN"/>
              </w:rPr>
              <w:t>У</w:t>
            </w:r>
            <w:r w:rsidRPr="00EC102E">
              <w:rPr>
                <w:rFonts w:ascii="Arial" w:eastAsia="Arial" w:hAnsi="Arial" w:cs="Arial"/>
                <w:sz w:val="24"/>
                <w:szCs w:val="24"/>
                <w:lang w:val="mn-MN"/>
              </w:rPr>
              <w:t xml:space="preserve">лсын ирээдүй хойч болсон хүүхдийн хөгжлийн асуудлууд шийдвэрлэгдэхгүй хэвээр байна. </w:t>
            </w:r>
          </w:p>
        </w:tc>
        <w:tc>
          <w:tcPr>
            <w:tcW w:w="1498" w:type="dxa"/>
          </w:tcPr>
          <w:p w14:paraId="76E25A0B"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Үр дүн сөрөг</w:t>
            </w:r>
          </w:p>
        </w:tc>
      </w:tr>
      <w:tr w:rsidR="000A6E31" w:rsidRPr="00EC102E" w14:paraId="1F81B7B3" w14:textId="77777777">
        <w:tc>
          <w:tcPr>
            <w:tcW w:w="432" w:type="dxa"/>
          </w:tcPr>
          <w:p w14:paraId="33D9C96F"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2</w:t>
            </w:r>
          </w:p>
        </w:tc>
        <w:tc>
          <w:tcPr>
            <w:tcW w:w="1963" w:type="dxa"/>
          </w:tcPr>
          <w:p w14:paraId="451176C0"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Хэвлэл мэдээллийн хэрэгслээр ухуулга, сурталчилгаа хийх</w:t>
            </w:r>
          </w:p>
        </w:tc>
        <w:tc>
          <w:tcPr>
            <w:tcW w:w="2871" w:type="dxa"/>
          </w:tcPr>
          <w:p w14:paraId="4A056BE8"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Нийтэд чиглэсэн ухуулга, сурталчилгааг олон нийтийн хэвлэл мэдээллийн хэрэгслээр явуулах, сонсгол, хэлэлцүүлэг зохион байгуулах, олон нийтийн цахим сүлжээ ашиглах, гарын авлага, мэдээллийн хуудас гаргах зэрэг нь хүүхдийн хөгжлийн чиглэлээр тулгамдаад байгаа бодлогын асуудлыг шийдвэрлэхгүй тул энэ хувилбар зорилгод хүрэх арга болж чадахгүй юм.</w:t>
            </w:r>
          </w:p>
        </w:tc>
        <w:tc>
          <w:tcPr>
            <w:tcW w:w="2252" w:type="dxa"/>
          </w:tcPr>
          <w:p w14:paraId="4D097A0C"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Тодорхой хэмжээний зардал гарна. Тулгамдаж байгаа асуудлыг шийдвэрлэхэд нөлөөлж, сөрөг үр дагаварыг бууруулж чадахгүй.</w:t>
            </w:r>
          </w:p>
        </w:tc>
        <w:tc>
          <w:tcPr>
            <w:tcW w:w="1498" w:type="dxa"/>
          </w:tcPr>
          <w:p w14:paraId="7F9C053B"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Үр дүн сөрөг</w:t>
            </w:r>
          </w:p>
        </w:tc>
      </w:tr>
      <w:tr w:rsidR="000A6E31" w:rsidRPr="00EC102E" w14:paraId="4E6C1552" w14:textId="77777777">
        <w:tc>
          <w:tcPr>
            <w:tcW w:w="432" w:type="dxa"/>
          </w:tcPr>
          <w:p w14:paraId="4E710CE4"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3</w:t>
            </w:r>
          </w:p>
        </w:tc>
        <w:tc>
          <w:tcPr>
            <w:tcW w:w="1963" w:type="dxa"/>
          </w:tcPr>
          <w:p w14:paraId="62086FE0"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Зах зээлийн эдийн засгийн хэрэгслүүдийг ашиглан төрөөс зохицуулалт хийх</w:t>
            </w:r>
          </w:p>
        </w:tc>
        <w:tc>
          <w:tcPr>
            <w:tcW w:w="2871" w:type="dxa"/>
          </w:tcPr>
          <w:p w14:paraId="78B8D789" w14:textId="255B9AE6"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хөгжил нь улс орны хөгжилд хамгийн чухал үүрэгтэй бөгөөд Монгол </w:t>
            </w:r>
            <w:r w:rsidR="00CD4089">
              <w:rPr>
                <w:rFonts w:ascii="Arial" w:eastAsia="Arial" w:hAnsi="Arial" w:cs="Arial"/>
                <w:sz w:val="24"/>
                <w:szCs w:val="24"/>
                <w:lang w:val="mn-MN"/>
              </w:rPr>
              <w:t>У</w:t>
            </w:r>
            <w:r w:rsidRPr="00EC102E">
              <w:rPr>
                <w:rFonts w:ascii="Arial" w:eastAsia="Arial" w:hAnsi="Arial" w:cs="Arial"/>
                <w:sz w:val="24"/>
                <w:szCs w:val="24"/>
                <w:lang w:val="mn-MN"/>
              </w:rPr>
              <w:t xml:space="preserve">лсын Үндсэн хуулинд хүүхдийн ашиг сонирхлыг төрөөс хамгаална гэсэн байгаа. </w:t>
            </w:r>
          </w:p>
          <w:p w14:paraId="6631A9F0"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Хүүхдийн хөгжлийг дэмжих чиглэлээр төрөөс бодлогоор дэмжихгүй бол тус асуудал нь зах зээлийн механизмаар шууд шийдэгдэх боломжгүй юм. Зах зээлийн механизмаар буюу татвар, хураамжийн бодлого, лиценз зөвшөөрөл болон квот зэрэг арга хэмжээ авч хэрэгжүүлэхээс илүү хууль эрх зүйн хүрээний зохицуулалтыг шийдэх шаардлагыг харуулж байгаа.</w:t>
            </w:r>
          </w:p>
        </w:tc>
        <w:tc>
          <w:tcPr>
            <w:tcW w:w="2252" w:type="dxa"/>
          </w:tcPr>
          <w:p w14:paraId="1A51501B"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 xml:space="preserve">Тодорхой хэмжээний зардал гарна. Асуудлыг үүсгэж буй шалтгаан, нөхцөлийг арилгаж, сөрөг үр дагаврыг бууруулж </w:t>
            </w:r>
            <w:r w:rsidRPr="00EC102E">
              <w:rPr>
                <w:rFonts w:ascii="Arial" w:eastAsia="Arial" w:hAnsi="Arial" w:cs="Arial"/>
                <w:sz w:val="24"/>
                <w:szCs w:val="24"/>
                <w:lang w:val="mn-MN"/>
              </w:rPr>
              <w:lastRenderedPageBreak/>
              <w:t>чадахгүй.</w:t>
            </w:r>
          </w:p>
        </w:tc>
        <w:tc>
          <w:tcPr>
            <w:tcW w:w="1498" w:type="dxa"/>
          </w:tcPr>
          <w:p w14:paraId="3C7ACF36"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Үр дүнд хүрэхгүй</w:t>
            </w:r>
          </w:p>
        </w:tc>
      </w:tr>
      <w:tr w:rsidR="000A6E31" w:rsidRPr="00EC102E" w14:paraId="6530D389" w14:textId="77777777">
        <w:tc>
          <w:tcPr>
            <w:tcW w:w="432" w:type="dxa"/>
          </w:tcPr>
          <w:p w14:paraId="237AC84D"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4</w:t>
            </w:r>
          </w:p>
        </w:tc>
        <w:tc>
          <w:tcPr>
            <w:tcW w:w="1963" w:type="dxa"/>
          </w:tcPr>
          <w:p w14:paraId="3862FFD3"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Төрөөс санхүүгийн интервенц хийх</w:t>
            </w:r>
          </w:p>
        </w:tc>
        <w:tc>
          <w:tcPr>
            <w:tcW w:w="2871" w:type="dxa"/>
          </w:tcPr>
          <w:p w14:paraId="48FD10ED" w14:textId="6F13A2BF"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хөгжлийн чиглэлийн бие даасан бодлого байхгүй, тус чиглэлээр хэрэгжүүлж байгаа тодорхой хөтөлбөрүүдийн хэрэгжилт муу байгаа нь санхүүжилтийн механизм тодорхойгүй байгаатай холбоотой. Тиймээс төрөөс тодорхой хэмжээний санхүүгийн дэмжлэгийг үзүүлэх нь зүйтэй гэж үзэж байна. </w:t>
            </w:r>
          </w:p>
          <w:p w14:paraId="2F7F34AE"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Тус дэмжлэгийг Үндэсний баялагын сан болон холбогдох сангуудаас шийдвэрлэх боломжтой юм. </w:t>
            </w:r>
          </w:p>
        </w:tc>
        <w:tc>
          <w:tcPr>
            <w:tcW w:w="2252" w:type="dxa"/>
          </w:tcPr>
          <w:p w14:paraId="3E14D638" w14:textId="77777777" w:rsidR="000A6E31" w:rsidRPr="00EC102E" w:rsidRDefault="00DF52AE">
            <w:pPr>
              <w:widowControl w:val="0"/>
              <w:tabs>
                <w:tab w:val="left" w:pos="561"/>
                <w:tab w:val="center" w:pos="842"/>
              </w:tabs>
              <w:ind w:right="70"/>
              <w:rPr>
                <w:rFonts w:ascii="Arial" w:eastAsia="Arial" w:hAnsi="Arial" w:cs="Arial"/>
                <w:sz w:val="24"/>
                <w:szCs w:val="24"/>
                <w:lang w:val="mn-MN"/>
              </w:rPr>
            </w:pPr>
            <w:r w:rsidRPr="00EC102E">
              <w:rPr>
                <w:rFonts w:ascii="Arial" w:eastAsia="Arial" w:hAnsi="Arial" w:cs="Arial"/>
                <w:sz w:val="24"/>
                <w:szCs w:val="24"/>
                <w:lang w:val="mn-MN"/>
              </w:rPr>
              <w:t>Тодорхой хэмжээний зардал гарна</w:t>
            </w:r>
          </w:p>
        </w:tc>
        <w:tc>
          <w:tcPr>
            <w:tcW w:w="1498" w:type="dxa"/>
          </w:tcPr>
          <w:p w14:paraId="406B0879"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Тодорхой үр дүнгүүд гарна. </w:t>
            </w:r>
          </w:p>
        </w:tc>
      </w:tr>
      <w:tr w:rsidR="000A6E31" w:rsidRPr="00EC102E" w14:paraId="5B1425A6" w14:textId="77777777">
        <w:tc>
          <w:tcPr>
            <w:tcW w:w="432" w:type="dxa"/>
          </w:tcPr>
          <w:p w14:paraId="1D3016D9"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5</w:t>
            </w:r>
          </w:p>
        </w:tc>
        <w:tc>
          <w:tcPr>
            <w:tcW w:w="1963" w:type="dxa"/>
          </w:tcPr>
          <w:p w14:paraId="58E941C5"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Төрийн бус байгууллага, хувийн хэвшлээр тодорхой чиг үүрэг гүйцэтгүүлэх</w:t>
            </w:r>
          </w:p>
        </w:tc>
        <w:tc>
          <w:tcPr>
            <w:tcW w:w="2871" w:type="dxa"/>
          </w:tcPr>
          <w:p w14:paraId="078D1297" w14:textId="703E015A"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Өнөөгийн хүчин төгөлдөр мөрдөгдөж байгаа хууль тогтоомж, бодлогын баримт бичгүүдэд хүүхдийн хөгжлийг дэмжих үйл ажиллагаа, сургалтыг Ерөнхий боловсролын сургалтын нэг чиг үүрэгт оруулаад </w:t>
            </w:r>
            <w:r w:rsidRPr="00EC102E">
              <w:rPr>
                <w:rFonts w:ascii="Arial" w:eastAsia="Arial" w:hAnsi="Arial" w:cs="Arial"/>
                <w:sz w:val="24"/>
                <w:szCs w:val="24"/>
                <w:lang w:val="mn-MN"/>
              </w:rPr>
              <w:lastRenderedPageBreak/>
              <w:t xml:space="preserve">орхисон, хэрэгжилтийн механизм, санхүүжилтийг нь тодорхойлоогүйгээс төрийн бус байгууллага, хувийн хэвшил тус үйл ажиллагаанд хэрхэн оролцох хууль зүйн зохицуулалт нь хангалттай бус байна. </w:t>
            </w:r>
          </w:p>
        </w:tc>
        <w:tc>
          <w:tcPr>
            <w:tcW w:w="2252" w:type="dxa"/>
          </w:tcPr>
          <w:p w14:paraId="4620E509" w14:textId="77777777" w:rsidR="005F29B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 xml:space="preserve">Тодорхой хэмжээний зардал гарна. </w:t>
            </w:r>
          </w:p>
          <w:p w14:paraId="3C8590CE" w14:textId="77777777" w:rsidR="005F29BE" w:rsidRDefault="005F29BE">
            <w:pPr>
              <w:widowControl w:val="0"/>
              <w:ind w:right="70"/>
              <w:jc w:val="both"/>
              <w:rPr>
                <w:rFonts w:ascii="Arial" w:eastAsia="Arial" w:hAnsi="Arial" w:cs="Arial"/>
                <w:sz w:val="24"/>
                <w:szCs w:val="24"/>
                <w:lang w:val="mn-MN"/>
              </w:rPr>
            </w:pPr>
          </w:p>
          <w:p w14:paraId="6A393CB3" w14:textId="6B10FE08" w:rsidR="00F926F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Асуудлыг үүсгэж байгаа шалтгааныг арилгахад цогцоор нөлөөлж, сөрөг </w:t>
            </w:r>
            <w:r w:rsidRPr="00EC102E">
              <w:rPr>
                <w:rFonts w:ascii="Arial" w:eastAsia="Arial" w:hAnsi="Arial" w:cs="Arial"/>
                <w:sz w:val="24"/>
                <w:szCs w:val="24"/>
                <w:lang w:val="mn-MN"/>
              </w:rPr>
              <w:lastRenderedPageBreak/>
              <w:t xml:space="preserve">үр дагаврыг бүрэн бууруулж чадахгүй. </w:t>
            </w:r>
          </w:p>
          <w:p w14:paraId="05EE78E3" w14:textId="77777777" w:rsidR="005F29BE" w:rsidRDefault="005F29BE">
            <w:pPr>
              <w:widowControl w:val="0"/>
              <w:ind w:right="70"/>
              <w:jc w:val="both"/>
              <w:rPr>
                <w:rFonts w:ascii="Arial" w:eastAsia="Arial" w:hAnsi="Arial" w:cs="Arial"/>
                <w:sz w:val="24"/>
                <w:szCs w:val="24"/>
                <w:lang w:val="mn-MN"/>
              </w:rPr>
            </w:pPr>
          </w:p>
          <w:p w14:paraId="4A0ECD2C" w14:textId="0EB8FFC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Мөн хуульд өөрчлөлт оруулах шаардлагатай болно.</w:t>
            </w:r>
          </w:p>
        </w:tc>
        <w:tc>
          <w:tcPr>
            <w:tcW w:w="1498" w:type="dxa"/>
          </w:tcPr>
          <w:p w14:paraId="34E1F22B" w14:textId="57ED58A3"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Шууд үр дүн гарахгүй.</w:t>
            </w:r>
          </w:p>
        </w:tc>
      </w:tr>
      <w:tr w:rsidR="000A6E31" w:rsidRPr="00EC102E" w14:paraId="522C734F" w14:textId="77777777">
        <w:trPr>
          <w:trHeight w:val="10095"/>
        </w:trPr>
        <w:tc>
          <w:tcPr>
            <w:tcW w:w="432" w:type="dxa"/>
          </w:tcPr>
          <w:p w14:paraId="2EF53CD4"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6</w:t>
            </w:r>
          </w:p>
        </w:tc>
        <w:tc>
          <w:tcPr>
            <w:tcW w:w="1963" w:type="dxa"/>
          </w:tcPr>
          <w:p w14:paraId="112B5D98"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Захиргааны шийдвэр гаргах</w:t>
            </w:r>
          </w:p>
        </w:tc>
        <w:tc>
          <w:tcPr>
            <w:tcW w:w="2871" w:type="dxa"/>
          </w:tcPr>
          <w:p w14:paraId="47B25C1F"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Хүүхдийн хөгжлийг дэмжихэд тулгамдаад байгаа асуудал нь санхүүжилт, түүнийг хэрэгжүүлэх арга замыг тодорхойлсон хууль тогтоомжийн зохицуулалт хангалтгүй байгаатай холбоотой. </w:t>
            </w:r>
          </w:p>
          <w:p w14:paraId="2084EB2E"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Энэ санхүүжилтийг зөвхөн нэг яам эсхүл төрийн захиргааны байгууллагад олгогдсон төсвийн хүрээнд шийдвэрлэх боломжгүй бөгөөд ирээдүй хойч үеийн хөгжилд хөрөнгө оруулалт хийх санхүүжилт болон үйл ажиллагааны төр болон хувийн хэвшлийн хамтын ажиллагааны шинэ механизмыг бий болгох шаардлагатай байгаа тул зөвхөн захиргааны акт, хэм хэмжээний акт гаргах замаар шийдвэрлэх боломжгүй бөгөөд хэд хэдэн хууль тогтоомжид өөрчлөлт оруулах шаардлагатай. </w:t>
            </w:r>
          </w:p>
        </w:tc>
        <w:tc>
          <w:tcPr>
            <w:tcW w:w="2252" w:type="dxa"/>
          </w:tcPr>
          <w:p w14:paraId="263EF5FD"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Асуудлыг үүсгэж байгаа шалтгааныг арилгахад цогцоор нөлөөлж, сөрөг үр дагаврыг бүрэн бууруулж чадахгүй.</w:t>
            </w:r>
          </w:p>
        </w:tc>
        <w:tc>
          <w:tcPr>
            <w:tcW w:w="1498" w:type="dxa"/>
          </w:tcPr>
          <w:p w14:paraId="586FC02D"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Зорилгод нийцсэн үр дүнд хүрэх боломжгүй</w:t>
            </w:r>
          </w:p>
        </w:tc>
      </w:tr>
      <w:tr w:rsidR="000A6E31" w:rsidRPr="00EC102E" w14:paraId="56165CD8" w14:textId="77777777">
        <w:tc>
          <w:tcPr>
            <w:tcW w:w="432" w:type="dxa"/>
          </w:tcPr>
          <w:p w14:paraId="0E508C4C"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7</w:t>
            </w:r>
          </w:p>
        </w:tc>
        <w:tc>
          <w:tcPr>
            <w:tcW w:w="1963" w:type="dxa"/>
          </w:tcPr>
          <w:p w14:paraId="4322F6FB"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t xml:space="preserve">Хууль тогтоомжийн </w:t>
            </w:r>
            <w:r w:rsidRPr="00EC102E">
              <w:rPr>
                <w:rFonts w:ascii="Arial" w:eastAsia="Arial" w:hAnsi="Arial" w:cs="Arial"/>
                <w:sz w:val="24"/>
                <w:szCs w:val="24"/>
                <w:lang w:val="mn-MN"/>
              </w:rPr>
              <w:lastRenderedPageBreak/>
              <w:t>төсөл боловсруулах</w:t>
            </w:r>
          </w:p>
        </w:tc>
        <w:tc>
          <w:tcPr>
            <w:tcW w:w="2871" w:type="dxa"/>
          </w:tcPr>
          <w:p w14:paraId="2F69DDF1"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 xml:space="preserve">Хүүхдийн хөгжлийг дэмжих үйл </w:t>
            </w:r>
            <w:r w:rsidRPr="00EC102E">
              <w:rPr>
                <w:rFonts w:ascii="Arial" w:eastAsia="Arial" w:hAnsi="Arial" w:cs="Arial"/>
                <w:sz w:val="24"/>
                <w:szCs w:val="24"/>
                <w:lang w:val="mn-MN"/>
              </w:rPr>
              <w:lastRenderedPageBreak/>
              <w:t xml:space="preserve">ажиллагаагаар тэдний хүсэл сонирхлыг нь дэмжиж, цагийг үр дүнтэй зөв өнгөрүүлэх боломжийг улс орон даяар тэгш хүртээмжтэй хүргэх тогтолцоог бий болгохын тул санхүүжилтийн дэмжлэгийн шинэ механизмийг бий болгох, түүнийг хэрэгжилтийг нь төрд үлдээх бус хувийн хэвшлийн үйл ажиллагаан дээр тулгуурлах зохицуулалтыг хууль тогтоомжийн шинэчлэл хийх замаар шийдвэрлэж зорилгодоо хүрэх боломжтой юм. </w:t>
            </w:r>
          </w:p>
        </w:tc>
        <w:tc>
          <w:tcPr>
            <w:tcW w:w="2252" w:type="dxa"/>
          </w:tcPr>
          <w:p w14:paraId="0B742977"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 xml:space="preserve">Зардал гарах боловч энэ нь </w:t>
            </w:r>
            <w:r w:rsidRPr="00EC102E">
              <w:rPr>
                <w:rFonts w:ascii="Arial" w:eastAsia="Arial" w:hAnsi="Arial" w:cs="Arial"/>
                <w:sz w:val="24"/>
                <w:szCs w:val="24"/>
                <w:lang w:val="mn-MN"/>
              </w:rPr>
              <w:lastRenderedPageBreak/>
              <w:t>асуудлуудыг шийдвэрлэхэд чухал нөлөө үзүүлнэ</w:t>
            </w:r>
          </w:p>
        </w:tc>
        <w:tc>
          <w:tcPr>
            <w:tcW w:w="1498" w:type="dxa"/>
          </w:tcPr>
          <w:p w14:paraId="02677594" w14:textId="77777777" w:rsidR="000A6E31" w:rsidRPr="00EC102E" w:rsidRDefault="00DF52AE">
            <w:pPr>
              <w:widowControl w:val="0"/>
              <w:ind w:right="70"/>
              <w:jc w:val="both"/>
              <w:rPr>
                <w:rFonts w:ascii="Arial" w:eastAsia="Arial" w:hAnsi="Arial" w:cs="Arial"/>
                <w:sz w:val="24"/>
                <w:szCs w:val="24"/>
                <w:lang w:val="mn-MN"/>
              </w:rPr>
            </w:pPr>
            <w:r w:rsidRPr="00EC102E">
              <w:rPr>
                <w:rFonts w:ascii="Arial" w:eastAsia="Arial" w:hAnsi="Arial" w:cs="Arial"/>
                <w:sz w:val="24"/>
                <w:szCs w:val="24"/>
                <w:lang w:val="mn-MN"/>
              </w:rPr>
              <w:lastRenderedPageBreak/>
              <w:t>Үр дүнтэй</w:t>
            </w:r>
          </w:p>
        </w:tc>
      </w:tr>
    </w:tbl>
    <w:p w14:paraId="32F4BF83" w14:textId="77777777" w:rsidR="000A6E31" w:rsidRPr="00EC102E" w:rsidRDefault="000A6E31">
      <w:pPr>
        <w:widowControl w:val="0"/>
        <w:spacing w:after="0" w:line="240" w:lineRule="auto"/>
        <w:ind w:right="70" w:firstLine="720"/>
        <w:jc w:val="both"/>
        <w:rPr>
          <w:rFonts w:ascii="Arial" w:eastAsia="Arial" w:hAnsi="Arial" w:cs="Arial"/>
          <w:sz w:val="24"/>
          <w:szCs w:val="24"/>
          <w:lang w:val="mn-MN"/>
        </w:rPr>
      </w:pPr>
    </w:p>
    <w:p w14:paraId="7263C46D" w14:textId="3E232520" w:rsidR="000A6E31" w:rsidRPr="00EC102E" w:rsidRDefault="00DF52AE">
      <w:pPr>
        <w:pBdr>
          <w:top w:val="nil"/>
          <w:left w:val="nil"/>
          <w:bottom w:val="nil"/>
          <w:right w:val="nil"/>
          <w:between w:val="nil"/>
        </w:pBdr>
        <w:shd w:val="clear" w:color="auto" w:fill="FFFFFF"/>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Хэвлэл</w:t>
      </w:r>
      <w:r w:rsidR="00FE5522">
        <w:rPr>
          <w:rFonts w:ascii="Arial" w:eastAsia="Arial" w:hAnsi="Arial" w:cs="Arial"/>
          <w:sz w:val="24"/>
          <w:szCs w:val="24"/>
          <w:lang w:val="mn-MN"/>
        </w:rPr>
        <w:t xml:space="preserve"> </w:t>
      </w:r>
      <w:r w:rsidRPr="00EC102E">
        <w:rPr>
          <w:rFonts w:ascii="Arial" w:eastAsia="Arial" w:hAnsi="Arial" w:cs="Arial"/>
          <w:sz w:val="24"/>
          <w:szCs w:val="24"/>
          <w:lang w:val="mn-MN"/>
        </w:rPr>
        <w:t xml:space="preserve">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захиргааны шийдвэр гаргаснаар тухайн асуудлыг үүсгэж байгаа гол шалтгааныг шийдвэрлэж, дэвшүүлсэн зорилгод хүрэх боломжгүй байна. Иймд асуудлын мөн чанар, цар хүрээ болон Хууль тогтоомжийн тухай хуулийн 23 дугаар зүйлийн 23.1 дэх заалтын дагуу </w:t>
      </w:r>
      <w:r w:rsidRPr="00EC102E">
        <w:rPr>
          <w:rFonts w:ascii="Arial" w:eastAsia="Arial" w:hAnsi="Arial" w:cs="Arial"/>
          <w:color w:val="333333"/>
          <w:sz w:val="24"/>
          <w:szCs w:val="24"/>
          <w:lang w:val="mn-MN"/>
        </w:rPr>
        <w:t xml:space="preserve">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w:t>
      </w:r>
      <w:r w:rsidRPr="00EC102E">
        <w:rPr>
          <w:rFonts w:ascii="Arial" w:eastAsia="Arial" w:hAnsi="Arial" w:cs="Arial"/>
          <w:sz w:val="24"/>
          <w:szCs w:val="24"/>
          <w:lang w:val="mn-MN"/>
        </w:rPr>
        <w:t xml:space="preserve">гэсний дагуу Хүүхдийн хөгжлийг дэмжих тухай анхдагч хууль болон түүнийг дагалдан гарах Үндэсний баялгийн санд нэмэлт өөрчлөлт оруулах тухай хууль, </w:t>
      </w:r>
      <w:r w:rsidRPr="00EC102E">
        <w:rPr>
          <w:rFonts w:ascii="Arial" w:eastAsia="Arial" w:hAnsi="Arial" w:cs="Arial"/>
          <w:color w:val="333333"/>
          <w:sz w:val="24"/>
          <w:szCs w:val="24"/>
          <w:lang w:val="mn-MN"/>
        </w:rPr>
        <w:t>Монгол Улсын засаг захиргаа, нутаг дэвсгэрийн нэгж, түүний удирдлагын тухай хуульд нэмэлт өөчлөлт оруулах тухай, Төр хувийн хэвшлийн түншлэлийн тухай хуульд нэмэлт өөрчлөлт оруулах тухай, Засгийн газрын тусгай сангийн тухай хуульд нэмэлт өөрчлөлт оруулах тухай хуулийн төслүүдий</w:t>
      </w:r>
      <w:r w:rsidRPr="00EC102E">
        <w:rPr>
          <w:rFonts w:ascii="Arial" w:eastAsia="Arial" w:hAnsi="Arial" w:cs="Arial"/>
          <w:sz w:val="24"/>
          <w:szCs w:val="24"/>
          <w:lang w:val="mn-MN"/>
        </w:rPr>
        <w:t xml:space="preserve">г боловсруулах нь зүйтэй гэж үзэж байна. Мөн цаашид түүнтэй нийцүүлэн дээрх хууль тогтоомжид нийцүүлэн гаргасан журмуудад нэмэлт өөрчлөлт оруулах хэрэгцээ шаардлага бий болно. </w:t>
      </w:r>
    </w:p>
    <w:p w14:paraId="78738081" w14:textId="77777777" w:rsidR="000A6E31" w:rsidRPr="00EC102E" w:rsidRDefault="000A6E31">
      <w:pPr>
        <w:widowControl w:val="0"/>
        <w:spacing w:after="0" w:line="240" w:lineRule="auto"/>
        <w:ind w:right="70" w:firstLine="720"/>
        <w:jc w:val="both"/>
        <w:rPr>
          <w:rFonts w:ascii="Arial" w:eastAsia="Arial" w:hAnsi="Arial" w:cs="Arial"/>
          <w:sz w:val="24"/>
          <w:szCs w:val="24"/>
          <w:lang w:val="mn-MN"/>
        </w:rPr>
      </w:pPr>
    </w:p>
    <w:p w14:paraId="0215DF43" w14:textId="77777777" w:rsidR="000A6E31" w:rsidRPr="00EC102E" w:rsidRDefault="000A6E31">
      <w:pPr>
        <w:widowControl w:val="0"/>
        <w:spacing w:after="0" w:line="240" w:lineRule="auto"/>
        <w:ind w:firstLine="720"/>
        <w:jc w:val="center"/>
        <w:rPr>
          <w:rFonts w:ascii="Arial" w:eastAsia="Arial" w:hAnsi="Arial" w:cs="Arial"/>
          <w:b/>
          <w:sz w:val="24"/>
          <w:szCs w:val="24"/>
          <w:lang w:val="mn-MN"/>
        </w:rPr>
      </w:pPr>
    </w:p>
    <w:p w14:paraId="1C22AD56" w14:textId="77777777" w:rsidR="000A6E31" w:rsidRPr="00EC102E" w:rsidRDefault="00DF52AE">
      <w:pPr>
        <w:widowControl w:val="0"/>
        <w:spacing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t>ТАВ. ЗОХИЦУУЛАЛТЫН ХУВИЛБАРУУДЫН ҮР НӨЛӨӨГ</w:t>
      </w:r>
    </w:p>
    <w:p w14:paraId="79608539" w14:textId="77777777" w:rsidR="000A6E31" w:rsidRPr="00EC102E" w:rsidRDefault="00DF52AE">
      <w:pPr>
        <w:widowControl w:val="0"/>
        <w:spacing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t>ТАНДАН СУДАЛСАН БАЙДАЛ</w:t>
      </w:r>
    </w:p>
    <w:p w14:paraId="06E3C968" w14:textId="77777777" w:rsidR="000A6E31" w:rsidRPr="00EC102E" w:rsidRDefault="000A6E31">
      <w:pPr>
        <w:widowControl w:val="0"/>
        <w:spacing w:after="0" w:line="240" w:lineRule="auto"/>
        <w:ind w:firstLine="720"/>
        <w:jc w:val="center"/>
        <w:rPr>
          <w:rFonts w:ascii="Arial" w:eastAsia="Arial" w:hAnsi="Arial" w:cs="Arial"/>
          <w:b/>
          <w:sz w:val="24"/>
          <w:szCs w:val="24"/>
          <w:lang w:val="mn-MN"/>
        </w:rPr>
      </w:pPr>
    </w:p>
    <w:p w14:paraId="6BB24B42" w14:textId="77777777" w:rsidR="000A6E31" w:rsidRPr="00EC102E" w:rsidRDefault="00DF52A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Сонгосон  хувилбар /хуулийн төсөл/ -ын үр нөлөөг Аргачлалын 6.2-т заасан ерөнхий асуултуудад хариулах замаар дүгнэлтийг нэгтгэн гаргалаа.</w:t>
      </w:r>
    </w:p>
    <w:p w14:paraId="31FE10D3" w14:textId="77777777" w:rsidR="000A6E31" w:rsidRPr="00EC102E" w:rsidRDefault="000A6E31">
      <w:pPr>
        <w:widowControl w:val="0"/>
        <w:spacing w:after="0" w:line="240" w:lineRule="auto"/>
        <w:ind w:firstLine="720"/>
        <w:jc w:val="both"/>
        <w:rPr>
          <w:rFonts w:ascii="Arial" w:eastAsia="Arial" w:hAnsi="Arial" w:cs="Arial"/>
          <w:sz w:val="24"/>
          <w:szCs w:val="24"/>
          <w:lang w:val="mn-MN"/>
        </w:rPr>
      </w:pPr>
    </w:p>
    <w:p w14:paraId="7AD82D37" w14:textId="77777777" w:rsidR="000A6E31" w:rsidRPr="00EC102E" w:rsidRDefault="00DF52AE">
      <w:pPr>
        <w:widowControl w:val="0"/>
        <w:spacing w:after="0" w:line="240" w:lineRule="auto"/>
        <w:ind w:firstLine="720"/>
        <w:jc w:val="both"/>
        <w:rPr>
          <w:rFonts w:ascii="Arial" w:eastAsia="Arial" w:hAnsi="Arial" w:cs="Arial"/>
          <w:b/>
          <w:i/>
          <w:sz w:val="24"/>
          <w:szCs w:val="24"/>
          <w:lang w:val="mn-MN"/>
        </w:rPr>
      </w:pPr>
      <w:r w:rsidRPr="00EC102E">
        <w:rPr>
          <w:rFonts w:ascii="Arial" w:eastAsia="Arial" w:hAnsi="Arial" w:cs="Arial"/>
          <w:i/>
          <w:sz w:val="24"/>
          <w:szCs w:val="24"/>
          <w:lang w:val="mn-MN"/>
        </w:rPr>
        <w:t>Жич: Хүний эрх, эдийн засаг, нийгэм, байгаль орчинд үзүүлэх үр нөлөөг шалгуур асуултын дагуу тандсан байдлыг хавсралтаас үзнэ үү.</w:t>
      </w:r>
      <w:r w:rsidRPr="00EC102E">
        <w:rPr>
          <w:rFonts w:ascii="Arial" w:eastAsia="Arial" w:hAnsi="Arial" w:cs="Arial"/>
          <w:b/>
          <w:i/>
          <w:sz w:val="24"/>
          <w:szCs w:val="24"/>
          <w:lang w:val="mn-MN"/>
        </w:rPr>
        <w:t xml:space="preserve"> </w:t>
      </w:r>
    </w:p>
    <w:p w14:paraId="524B8A85" w14:textId="77777777" w:rsidR="000A6E31" w:rsidRPr="00EC102E" w:rsidRDefault="000A6E31">
      <w:pPr>
        <w:widowControl w:val="0"/>
        <w:spacing w:after="0" w:line="240" w:lineRule="auto"/>
        <w:ind w:firstLine="720"/>
        <w:jc w:val="both"/>
        <w:rPr>
          <w:rFonts w:ascii="Arial" w:eastAsia="Arial" w:hAnsi="Arial" w:cs="Arial"/>
          <w:b/>
          <w:i/>
          <w:sz w:val="24"/>
          <w:szCs w:val="24"/>
          <w:lang w:val="mn-MN"/>
        </w:rPr>
      </w:pPr>
    </w:p>
    <w:p w14:paraId="370DEDC1" w14:textId="77777777" w:rsidR="000A6E31" w:rsidRPr="00EC102E" w:rsidRDefault="00DF52AE">
      <w:pPr>
        <w:widowControl w:val="0"/>
        <w:spacing w:after="0" w:line="240" w:lineRule="auto"/>
        <w:ind w:firstLine="720"/>
        <w:jc w:val="both"/>
        <w:rPr>
          <w:rFonts w:ascii="Arial" w:eastAsia="Arial" w:hAnsi="Arial" w:cs="Arial"/>
          <w:b/>
          <w:sz w:val="24"/>
          <w:szCs w:val="24"/>
          <w:lang w:val="mn-MN"/>
        </w:rPr>
      </w:pPr>
      <w:r w:rsidRPr="00EC102E">
        <w:rPr>
          <w:rFonts w:ascii="Arial" w:eastAsia="Arial" w:hAnsi="Arial" w:cs="Arial"/>
          <w:b/>
          <w:sz w:val="24"/>
          <w:szCs w:val="24"/>
          <w:lang w:val="mn-MN"/>
        </w:rPr>
        <w:t>4.1.Хүний эрхэд үзүүлэх үр нөлөө</w:t>
      </w:r>
    </w:p>
    <w:p w14:paraId="2C66CBFF" w14:textId="3B3CC77D" w:rsidR="000A6E31" w:rsidRPr="00EC102E" w:rsidRDefault="00DF52A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Хуулийн төсөл нь  хүний эрхийг хууль бусаар хязгаарлах, ялгаварлан гадуурхах зэрэг хүний эрхийн зөрчлийг агуулаагүй, харин  Монгол Улсын Үндсэн хуулийн арван зургадугаар зүйлийн 7-д “</w:t>
      </w:r>
      <w:r w:rsidR="00A55E69">
        <w:rPr>
          <w:rFonts w:ascii="Arial" w:eastAsia="Arial" w:hAnsi="Arial" w:cs="Arial"/>
          <w:sz w:val="24"/>
          <w:szCs w:val="24"/>
          <w:lang w:val="mn-MN"/>
        </w:rPr>
        <w:t>С</w:t>
      </w:r>
      <w:r w:rsidRPr="00EC102E">
        <w:rPr>
          <w:rFonts w:ascii="Arial" w:eastAsia="Arial" w:hAnsi="Arial" w:cs="Arial"/>
          <w:sz w:val="24"/>
          <w:szCs w:val="24"/>
          <w:lang w:val="mn-MN"/>
        </w:rPr>
        <w:t>урч боловсрох эрхтэй” болон 11-д “</w:t>
      </w:r>
      <w:r w:rsidRPr="00EC102E">
        <w:rPr>
          <w:rFonts w:ascii="Arial" w:eastAsia="Arial" w:hAnsi="Arial" w:cs="Arial"/>
          <w:color w:val="333333"/>
          <w:sz w:val="24"/>
          <w:szCs w:val="24"/>
          <w:lang w:val="mn-MN"/>
        </w:rPr>
        <w:t>Гэр бүл, эх нялхас, хүүхдийн ашиг сонирхлыг төр хамгаална</w:t>
      </w:r>
      <w:r w:rsidRPr="00EC102E">
        <w:rPr>
          <w:rFonts w:ascii="Arial" w:eastAsia="Arial" w:hAnsi="Arial" w:cs="Arial"/>
          <w:sz w:val="24"/>
          <w:szCs w:val="24"/>
          <w:lang w:val="mn-MN"/>
        </w:rPr>
        <w:t>”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хуульчилсныг хэрэгжүүлэх боломжийг бүрдүүлж байна.</w:t>
      </w:r>
    </w:p>
    <w:p w14:paraId="7EACC907" w14:textId="77777777" w:rsidR="000A6E31" w:rsidRPr="00EC102E" w:rsidRDefault="000A6E31">
      <w:pPr>
        <w:widowControl w:val="0"/>
        <w:spacing w:after="0" w:line="240" w:lineRule="auto"/>
        <w:ind w:firstLine="720"/>
        <w:rPr>
          <w:rFonts w:ascii="Arial" w:eastAsia="Arial" w:hAnsi="Arial" w:cs="Arial"/>
          <w:b/>
          <w:sz w:val="24"/>
          <w:szCs w:val="24"/>
          <w:lang w:val="mn-MN"/>
        </w:rPr>
      </w:pPr>
    </w:p>
    <w:p w14:paraId="45A9181D" w14:textId="77777777" w:rsidR="000A6E31" w:rsidRPr="00EC102E" w:rsidRDefault="00DF52AE">
      <w:pPr>
        <w:widowControl w:val="0"/>
        <w:spacing w:after="0" w:line="240" w:lineRule="auto"/>
        <w:ind w:firstLine="720"/>
        <w:rPr>
          <w:rFonts w:ascii="Arial" w:eastAsia="Arial" w:hAnsi="Arial" w:cs="Arial"/>
          <w:b/>
          <w:sz w:val="24"/>
          <w:szCs w:val="24"/>
          <w:lang w:val="mn-MN"/>
        </w:rPr>
      </w:pPr>
      <w:r w:rsidRPr="00EC102E">
        <w:rPr>
          <w:rFonts w:ascii="Arial" w:eastAsia="Arial" w:hAnsi="Arial" w:cs="Arial"/>
          <w:b/>
          <w:sz w:val="24"/>
          <w:szCs w:val="24"/>
          <w:lang w:val="mn-MN"/>
        </w:rPr>
        <w:t>4.2.Эдийн засагт үзүүлэх үр нөлөө</w:t>
      </w:r>
    </w:p>
    <w:p w14:paraId="6F8FA78B" w14:textId="7F25D65E" w:rsidR="000A6E31" w:rsidRPr="00EC102E" w:rsidRDefault="00DF52AE" w:rsidP="00120EB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Хуулийн төсөл нь  иргэн, хуулийн этгээдэд ямар нэгэн нэмэлт зардал үүсгэхгүй юм. </w:t>
      </w:r>
      <w:r w:rsidR="00120EBE">
        <w:rPr>
          <w:rFonts w:ascii="Arial" w:eastAsia="Arial" w:hAnsi="Arial" w:cs="Arial"/>
          <w:sz w:val="24"/>
          <w:szCs w:val="24"/>
          <w:lang w:val="mn-MN"/>
        </w:rPr>
        <w:t xml:space="preserve"> </w:t>
      </w:r>
      <w:r w:rsidRPr="00EC102E">
        <w:rPr>
          <w:rFonts w:ascii="Arial" w:eastAsia="Arial" w:hAnsi="Arial" w:cs="Arial"/>
          <w:sz w:val="24"/>
          <w:szCs w:val="24"/>
          <w:lang w:val="mn-MN"/>
        </w:rPr>
        <w:t>Хуулийн төсөл батлагдсанаар биеийн тамир, урлаг спорт болон олон төрлөөр өөрийгөө хөгжүүлэх нь хүүхдийг бие даасан хувь хүн болж төлөвших, өвчлөлөөс урьдчилан сэргийлэх боломж нэмэгдэж, улмаар хувь хүн болон нийгэм, эдийн засгийн хэмнэлт гаргах нөхцөл бүрдэх билээ. Хүүхэд чөлөөт цагаа үр ашигтай өнгөрүүлэх, өөрийгөө хөгжүүлэхэд зориулах тодорхой хэмжээний мөнгөн хөрөнгөтэй болж, хүүхдийн төлөө үйл ажиллагаа явуулж буй өмчийн бүх хэлбэрийн байгууллага, аж ахуйн нэгжүүд, боловсрол сургалтын байгууллагын хөгжилд эерэг нөлөө үзүүлнэ.</w:t>
      </w:r>
    </w:p>
    <w:p w14:paraId="751B6D91" w14:textId="77777777" w:rsidR="000A6E31" w:rsidRPr="00EC102E" w:rsidRDefault="000A6E31">
      <w:pPr>
        <w:widowControl w:val="0"/>
        <w:spacing w:after="0" w:line="240" w:lineRule="auto"/>
        <w:ind w:firstLine="720"/>
        <w:jc w:val="both"/>
        <w:rPr>
          <w:rFonts w:ascii="Arial" w:eastAsia="Arial" w:hAnsi="Arial" w:cs="Arial"/>
          <w:b/>
          <w:sz w:val="24"/>
          <w:szCs w:val="24"/>
          <w:lang w:val="mn-MN"/>
        </w:rPr>
      </w:pPr>
    </w:p>
    <w:p w14:paraId="38473E00" w14:textId="77777777" w:rsidR="000A6E31" w:rsidRPr="00EC102E" w:rsidRDefault="00DF52AE">
      <w:pPr>
        <w:widowControl w:val="0"/>
        <w:spacing w:after="0" w:line="240" w:lineRule="auto"/>
        <w:ind w:firstLine="720"/>
        <w:jc w:val="both"/>
        <w:rPr>
          <w:rFonts w:ascii="Arial" w:eastAsia="Arial" w:hAnsi="Arial" w:cs="Arial"/>
          <w:b/>
          <w:sz w:val="24"/>
          <w:szCs w:val="24"/>
          <w:lang w:val="mn-MN"/>
        </w:rPr>
      </w:pPr>
      <w:r w:rsidRPr="00EC102E">
        <w:rPr>
          <w:rFonts w:ascii="Arial" w:eastAsia="Arial" w:hAnsi="Arial" w:cs="Arial"/>
          <w:b/>
          <w:sz w:val="24"/>
          <w:szCs w:val="24"/>
          <w:lang w:val="mn-MN"/>
        </w:rPr>
        <w:t>4.3.Нийгэмд үзүүлэх үр нөлөө</w:t>
      </w:r>
    </w:p>
    <w:p w14:paraId="20225640" w14:textId="77777777" w:rsidR="000A6E31" w:rsidRPr="00EC102E" w:rsidRDefault="00DF52AE">
      <w:pPr>
        <w:widowControl w:val="0"/>
        <w:shd w:val="clear" w:color="auto" w:fill="FFFFFF"/>
        <w:spacing w:before="240" w:after="24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Хуулийн төсөлд туссан зохицуулалт нь нийгэмд эерэгээр нөлөөлнө. Хуулийн төсөл батлагдсанаар Монгол Улсын нэгдэн орсон олон улсын гэрээ болон үндэсний хууль тогтоомжийг хэрэгжүүлэх механизм бүрдэж, хүүхдийн хөгжлийг дэмжих үйл ажиллагааг төр, хувийн хэвшлийн түншлэлийн хүрээнд хэрэгжүүлэх эрх зүйн орчин бүрдэнэ.</w:t>
      </w:r>
    </w:p>
    <w:p w14:paraId="60539D54" w14:textId="77777777" w:rsidR="000A6E31" w:rsidRPr="00EC102E" w:rsidRDefault="00DF52AE">
      <w:pPr>
        <w:widowControl w:val="0"/>
        <w:shd w:val="clear" w:color="auto" w:fill="FFFFFF"/>
        <w:spacing w:before="240" w:after="240" w:line="240" w:lineRule="auto"/>
        <w:ind w:firstLine="720"/>
        <w:jc w:val="both"/>
        <w:rPr>
          <w:rFonts w:ascii="Arial" w:eastAsia="Arial" w:hAnsi="Arial" w:cs="Arial"/>
          <w:sz w:val="24"/>
          <w:szCs w:val="24"/>
          <w:lang w:val="mn-MN"/>
        </w:rPr>
      </w:pPr>
      <w:bookmarkStart w:id="24" w:name="_heading=h.76p7jdcchru3" w:colFirst="0" w:colLast="0"/>
      <w:bookmarkEnd w:id="24"/>
      <w:r w:rsidRPr="00EC102E">
        <w:rPr>
          <w:rFonts w:ascii="Arial" w:eastAsia="Arial" w:hAnsi="Arial" w:cs="Arial"/>
          <w:sz w:val="24"/>
          <w:szCs w:val="24"/>
          <w:lang w:val="mn-MN"/>
        </w:rPr>
        <w:t xml:space="preserve">Хуулийн төслийн нэмэлт өөрчлөлтөөр хүүхдийн хөгжлийг дэмжих сургалт, дугуйлангийн төлбөрийг Үндэсний баялгийн сангаас шийдвэрлэх, үйл ажиллагааны менежментийг хувийн хэвшил хэрэгжүүлэх хууль эрх зүйн орчин бүрдэнэ. Ингэснээр улсын хэмжээнд бүхий л хүүхдүүд хичээлээс гадуурх хөгжлийн үйл ажиллагаанд хамрагдан өөрийнхөө сонирхсон чиглэлээр хөгжих боломж бүрдэнэ. Хүүхдүүд чөлөөт цагаа зөв боловсон өнгөрүүлэх нөхцөл бүрдсэнээр насанд хүрээгүй хүний холбогдох гэмт хэргийн тоо буурна.  </w:t>
      </w:r>
    </w:p>
    <w:p w14:paraId="02C795AE" w14:textId="77777777" w:rsidR="000A6E31" w:rsidRPr="00EC102E" w:rsidRDefault="00DF52AE">
      <w:pPr>
        <w:widowControl w:val="0"/>
        <w:spacing w:after="0" w:line="240" w:lineRule="auto"/>
        <w:ind w:firstLine="720"/>
        <w:rPr>
          <w:rFonts w:ascii="Arial" w:eastAsia="Arial" w:hAnsi="Arial" w:cs="Arial"/>
          <w:b/>
          <w:sz w:val="24"/>
          <w:szCs w:val="24"/>
          <w:lang w:val="mn-MN"/>
        </w:rPr>
      </w:pPr>
      <w:r w:rsidRPr="00EC102E">
        <w:rPr>
          <w:rFonts w:ascii="Arial" w:eastAsia="Arial" w:hAnsi="Arial" w:cs="Arial"/>
          <w:b/>
          <w:sz w:val="24"/>
          <w:szCs w:val="24"/>
          <w:lang w:val="mn-MN"/>
        </w:rPr>
        <w:t>4.4.Байгаль орчинд үзүүлэх үр нөлөө</w:t>
      </w:r>
    </w:p>
    <w:p w14:paraId="3DC5F8D9" w14:textId="77777777" w:rsidR="000A6E31" w:rsidRPr="00EC102E" w:rsidRDefault="000A6E31">
      <w:pPr>
        <w:widowControl w:val="0"/>
        <w:spacing w:after="0" w:line="240" w:lineRule="auto"/>
        <w:ind w:firstLine="720"/>
        <w:rPr>
          <w:rFonts w:ascii="Arial" w:eastAsia="Arial" w:hAnsi="Arial" w:cs="Arial"/>
          <w:b/>
          <w:sz w:val="24"/>
          <w:szCs w:val="24"/>
          <w:lang w:val="mn-MN"/>
        </w:rPr>
      </w:pPr>
    </w:p>
    <w:p w14:paraId="6EE85EFE" w14:textId="77777777" w:rsidR="000A6E31" w:rsidRPr="00EC102E" w:rsidRDefault="00DF52AE">
      <w:pPr>
        <w:widowControl w:val="0"/>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Хуулийн төсөл байгаль орчинд ямар нэгэн шууд болон шууд бус сөрөг нөлөө үзүүлэхгүй. </w:t>
      </w:r>
    </w:p>
    <w:p w14:paraId="63913606" w14:textId="77777777" w:rsidR="000A6E31" w:rsidRPr="00EC102E" w:rsidRDefault="00DF52AE">
      <w:pPr>
        <w:widowControl w:val="0"/>
        <w:spacing w:before="240"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t>ЗУРГАА. ЗОХИЦУУЛАЛТЫН ХУВИЛБАРЫН ДҮГНЭЛТ</w:t>
      </w:r>
    </w:p>
    <w:p w14:paraId="54D278D8" w14:textId="77777777" w:rsidR="000A6E31" w:rsidRPr="00EC102E" w:rsidRDefault="00DF52AE">
      <w:pPr>
        <w:widowControl w:val="0"/>
        <w:spacing w:before="240"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Судалгааны явцад хуулийн төсөл боловсруулах нь хүүхдийн хөгжлийг дэмжих бие даасан хууль бий болгож, хүүхдийн хөгжлийн чиглэлээр гаргасан </w:t>
      </w:r>
      <w:r w:rsidRPr="00EC102E">
        <w:rPr>
          <w:rFonts w:ascii="Arial" w:eastAsia="Arial" w:hAnsi="Arial" w:cs="Arial"/>
          <w:sz w:val="24"/>
          <w:szCs w:val="24"/>
          <w:lang w:val="mn-MN"/>
        </w:rPr>
        <w:lastRenderedPageBreak/>
        <w:t>бодлого, хөтөлбөрүүдийн хэрэгжилтийн зогсонги байдлыг арилгах,  түүнчлэн эрх зүйн болон практик хэрэгжилтийн хүрээнд  тогтвортой байдлыг хангах боломжтой  үр нөлөөний хувьд давуу  хэмээн дүгнэсэн билээ.</w:t>
      </w:r>
    </w:p>
    <w:p w14:paraId="2972C931"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Монгол Улсад ойролцоогоор 6-18 насны 1 сая орчим хүүхэд байгаа бөгөөд тэдгээрийн 797,9 мянган хүүхэд нь 885 ерөнхий боловсролын сургуульд суралцаж байна. </w:t>
      </w:r>
    </w:p>
    <w:p w14:paraId="339D24A8" w14:textId="67D407D6"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2019 оны байдлаар Монгол </w:t>
      </w:r>
      <w:r w:rsidR="00120EBE">
        <w:rPr>
          <w:rFonts w:ascii="Arial" w:eastAsia="Arial" w:hAnsi="Arial" w:cs="Arial"/>
          <w:sz w:val="24"/>
          <w:szCs w:val="24"/>
          <w:lang w:val="mn-MN"/>
        </w:rPr>
        <w:t>У</w:t>
      </w:r>
      <w:r w:rsidRPr="00EC102E">
        <w:rPr>
          <w:rFonts w:ascii="Arial" w:eastAsia="Arial" w:hAnsi="Arial" w:cs="Arial"/>
          <w:sz w:val="24"/>
          <w:szCs w:val="24"/>
          <w:lang w:val="mn-MN"/>
        </w:rPr>
        <w:t xml:space="preserve">лсад нийт 593,200 сурагч байснаас 117,453 буюу 19,7 хувь нь хичээлээс гадуурх сургалт, хөгжлийн төвд хамрагдаж байсан байна. Эдгээрийн 30 орчим хувь нь Улаанбаатар хотод хамрагдаж байгаа үзүүлэлттэй байгаа бөгөөд бусад хэсэг нь 21 аймагт хуваагдсан нь хөдөө орон нутагт хүүхдийн хөгжлийн үйл ажиллагаанд хамрагдах боломж хязгаарлагдмал байгааг харуулж байна. </w:t>
      </w:r>
    </w:p>
    <w:p w14:paraId="2E94224A" w14:textId="77777777" w:rsidR="000A6E31" w:rsidRPr="00EC102E" w:rsidRDefault="00DF52AE">
      <w:pPr>
        <w:widowControl w:val="0"/>
        <w:spacing w:before="240"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Тиймээс хүүхдийн хөгжлийг дэмжих бие даасан эрх зүйн орчныг сайжруулах хууль эрх зүйн бодит дэмжлэгийг үзүүлэх байдлаар хууль зүйн шинэчлэл хийх нь тулгамдаад байгаа олон сөрөг үр дагаварыг бууруулж, нийгэм эдийн засгийн хувьд чухал ач холбогдолтой үр дүн гарна гэж үзэж байна. </w:t>
      </w:r>
    </w:p>
    <w:p w14:paraId="03F441E2" w14:textId="77777777" w:rsidR="000A6E31" w:rsidRPr="00EC102E" w:rsidRDefault="000A6E31">
      <w:pPr>
        <w:widowControl w:val="0"/>
        <w:spacing w:before="240" w:after="0" w:line="240" w:lineRule="auto"/>
        <w:ind w:firstLine="720"/>
        <w:jc w:val="both"/>
        <w:rPr>
          <w:rFonts w:ascii="Arial" w:eastAsia="Arial" w:hAnsi="Arial" w:cs="Arial"/>
          <w:sz w:val="24"/>
          <w:szCs w:val="24"/>
          <w:lang w:val="mn-MN"/>
        </w:rPr>
      </w:pPr>
    </w:p>
    <w:p w14:paraId="4C903C24" w14:textId="77777777" w:rsidR="000A6E31" w:rsidRPr="00EC102E" w:rsidRDefault="00DF52AE">
      <w:pPr>
        <w:widowControl w:val="0"/>
        <w:spacing w:after="0" w:line="240" w:lineRule="auto"/>
        <w:ind w:firstLine="720"/>
        <w:jc w:val="center"/>
        <w:rPr>
          <w:rFonts w:ascii="Arial" w:eastAsia="Arial" w:hAnsi="Arial" w:cs="Arial"/>
          <w:b/>
          <w:sz w:val="24"/>
          <w:szCs w:val="24"/>
          <w:lang w:val="mn-MN"/>
        </w:rPr>
      </w:pPr>
      <w:r w:rsidRPr="00EC102E">
        <w:rPr>
          <w:rFonts w:ascii="Arial" w:eastAsia="Arial" w:hAnsi="Arial" w:cs="Arial"/>
          <w:b/>
          <w:sz w:val="24"/>
          <w:szCs w:val="24"/>
          <w:lang w:val="mn-MN"/>
        </w:rPr>
        <w:t>ДОЛОО. ОЛОН УЛСЫН БОЛОН БУСАД УЛСЫН ХУУЛЬ ЭРХ ЗҮЙН ЗОХИЦУУЛАЛТТАЙ ХАРЬЦУУЛСАН БАЙДАЛ</w:t>
      </w:r>
    </w:p>
    <w:p w14:paraId="545FFE07" w14:textId="77777777" w:rsidR="000A6E31" w:rsidRPr="00EC102E" w:rsidRDefault="000A6E31">
      <w:pPr>
        <w:widowControl w:val="0"/>
        <w:spacing w:after="0" w:line="240" w:lineRule="auto"/>
        <w:ind w:firstLine="720"/>
        <w:jc w:val="center"/>
        <w:rPr>
          <w:rFonts w:ascii="Arial" w:eastAsia="Arial" w:hAnsi="Arial" w:cs="Arial"/>
          <w:sz w:val="24"/>
          <w:szCs w:val="24"/>
          <w:lang w:val="mn-MN"/>
        </w:rPr>
      </w:pPr>
    </w:p>
    <w:p w14:paraId="01A1414B" w14:textId="77777777" w:rsidR="000A6E31" w:rsidRPr="00EC102E" w:rsidRDefault="000A6E31">
      <w:pPr>
        <w:widowControl w:val="0"/>
        <w:tabs>
          <w:tab w:val="left" w:pos="509"/>
        </w:tabs>
        <w:spacing w:after="0" w:line="240" w:lineRule="auto"/>
        <w:rPr>
          <w:rFonts w:ascii="Arial" w:eastAsia="Arial" w:hAnsi="Arial" w:cs="Arial"/>
          <w:b/>
          <w:sz w:val="24"/>
          <w:szCs w:val="24"/>
          <w:lang w:val="mn-MN"/>
        </w:rPr>
      </w:pPr>
      <w:bookmarkStart w:id="25" w:name="_heading=h.f1d9ccv3lw0e" w:colFirst="0" w:colLast="0"/>
      <w:bookmarkEnd w:id="25"/>
    </w:p>
    <w:p w14:paraId="22527932" w14:textId="77777777" w:rsidR="000A6E31" w:rsidRPr="00EC102E" w:rsidRDefault="00DF52AE">
      <w:pPr>
        <w:spacing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Олон улсын туршлагуудыг харьцуулсан байдал</w:t>
      </w:r>
    </w:p>
    <w:p w14:paraId="51002751"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Олон улсын туршлагуудыг НҮБ-ын Боловсрол, шинжлэх ухаан, соёлын байгууллага (ЮНЕСКО), Эдийн засгийн хамтын ажиллагаа, хөгжлийн байгууллага (ЭЗХАХБ)-ын тайлангууд болон улс орнуудын мэдээлэлд үндэслэн боловсруулсан болно.  </w:t>
      </w:r>
    </w:p>
    <w:p w14:paraId="0DF11D97" w14:textId="77777777" w:rsidR="000A6E31" w:rsidRPr="00EC102E" w:rsidRDefault="00DF52AE">
      <w:pPr>
        <w:spacing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Эдийн засгийн хамтын ажиллагаа, хөгжлийн байгууллага (ЭЗХАХБ/ OECD) 3 жил тутам Боловсролын олон улсын чанарын үнэлгээ- Programme for International Student Assessment (PISA) тайлан гаргадаг бөгөөд боловсролын чанар, түвшинг өргөн хүрээнд дата мэдээлэлтэй үнэлдэг байна. Хамгийн сүүлд хийгдсэн тайлан нь 2022 оны байдлаар (2000 оноос хийгдэж эхэлсэн) бөгөөд энэ удаагийн тайланд математик, уран зохиол болон шинжлэн ухааны мэдлэгийг үнэлэхээс гадна бүтээлч байдалд анхаарсан байна. Тус үнэлгээнд 81 улсын 700,000 сурагчид хамрагдсан байна. Энэхүү үнэлгээ нь сурагчдын хэр сайн нарийн төвөгтэй асуудыг шийдвэрлэж чадаж байгаа, шүүмжлэлт сэтгэлгээтэй байгаа, мөн үр дүнтэй харилцаж чадаж байгаа эсэхийг үнэлдэг. Энэ нь боловсролын тогтолцоо нь сурагчдыг амьдралын сорилт болон ирээдүйн амжилтад хэр сайн бэлтгэж байгааг ойлгож, дүн шинжилгээ хийхэд тусалдаг.</w:t>
      </w:r>
    </w:p>
    <w:p w14:paraId="7608ECD7" w14:textId="77777777" w:rsidR="000A6E31" w:rsidRPr="00EC102E" w:rsidRDefault="00DF52AE">
      <w:pPr>
        <w:spacing w:line="240" w:lineRule="auto"/>
        <w:jc w:val="both"/>
        <w:rPr>
          <w:rFonts w:ascii="Arial" w:eastAsia="Arial" w:hAnsi="Arial" w:cs="Arial"/>
          <w:sz w:val="24"/>
          <w:szCs w:val="24"/>
          <w:lang w:val="mn-MN"/>
        </w:rPr>
      </w:pPr>
      <w:r w:rsidRPr="00EC102E">
        <w:rPr>
          <w:rFonts w:ascii="Arial" w:eastAsia="Arial" w:hAnsi="Arial" w:cs="Arial"/>
          <w:noProof/>
          <w:sz w:val="24"/>
          <w:szCs w:val="24"/>
          <w:lang w:val="mn-MN"/>
        </w:rPr>
        <w:lastRenderedPageBreak/>
        <w:drawing>
          <wp:inline distT="114300" distB="114300" distL="114300" distR="114300" wp14:anchorId="01E0AC71" wp14:editId="23440966">
            <wp:extent cx="5486400" cy="41148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486400" cy="4114800"/>
                    </a:xfrm>
                    <a:prstGeom prst="rect">
                      <a:avLst/>
                    </a:prstGeom>
                    <a:ln/>
                  </pic:spPr>
                </pic:pic>
              </a:graphicData>
            </a:graphic>
          </wp:inline>
        </w:drawing>
      </w:r>
    </w:p>
    <w:p w14:paraId="4F72DCC8" w14:textId="77777777" w:rsidR="000A6E31" w:rsidRPr="00EC102E" w:rsidRDefault="000A6E31">
      <w:pPr>
        <w:spacing w:line="240" w:lineRule="auto"/>
        <w:jc w:val="both"/>
        <w:rPr>
          <w:rFonts w:ascii="Arial" w:eastAsia="Arial" w:hAnsi="Arial" w:cs="Arial"/>
          <w:sz w:val="24"/>
          <w:szCs w:val="24"/>
          <w:lang w:val="mn-MN"/>
        </w:rPr>
      </w:pPr>
    </w:p>
    <w:p w14:paraId="048CB50F" w14:textId="77777777" w:rsidR="000A6E31" w:rsidRPr="00EC102E" w:rsidRDefault="00DF52AE">
      <w:pPr>
        <w:spacing w:line="240" w:lineRule="auto"/>
        <w:jc w:val="both"/>
        <w:rPr>
          <w:rFonts w:ascii="Arial" w:eastAsia="Arial" w:hAnsi="Arial" w:cs="Arial"/>
          <w:sz w:val="24"/>
          <w:szCs w:val="24"/>
          <w:lang w:val="mn-MN"/>
        </w:rPr>
      </w:pPr>
      <w:r w:rsidRPr="00EC102E">
        <w:rPr>
          <w:rFonts w:ascii="Arial" w:eastAsia="Arial" w:hAnsi="Arial" w:cs="Arial"/>
          <w:sz w:val="24"/>
          <w:szCs w:val="24"/>
          <w:lang w:val="mn-MN"/>
        </w:rPr>
        <w:t>Хүснэгт. Улс орнуудыг боловсролын чанараар харьцуулсан байдал</w:t>
      </w:r>
    </w:p>
    <w:p w14:paraId="250AB01B" w14:textId="77777777" w:rsidR="000A6E31" w:rsidRPr="00EC102E" w:rsidRDefault="000A6E31">
      <w:pPr>
        <w:spacing w:after="200" w:line="240" w:lineRule="auto"/>
        <w:rPr>
          <w:rFonts w:ascii="Arial" w:eastAsia="Arial" w:hAnsi="Arial" w:cs="Arial"/>
          <w:sz w:val="24"/>
          <w:szCs w:val="24"/>
          <w:lang w:val="mn-MN"/>
        </w:rPr>
      </w:pPr>
    </w:p>
    <w:tbl>
      <w:tblPr>
        <w:tblStyle w:val="a3"/>
        <w:tblW w:w="8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3"/>
        <w:gridCol w:w="1766"/>
        <w:gridCol w:w="1518"/>
        <w:gridCol w:w="1183"/>
        <w:gridCol w:w="1372"/>
        <w:gridCol w:w="2248"/>
      </w:tblGrid>
      <w:tr w:rsidR="000A6E31" w:rsidRPr="00EC102E" w14:paraId="28B79FC5" w14:textId="77777777">
        <w:trPr>
          <w:trHeight w:val="555"/>
        </w:trPr>
        <w:tc>
          <w:tcPr>
            <w:tcW w:w="554"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2612C35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w:t>
            </w:r>
          </w:p>
        </w:tc>
        <w:tc>
          <w:tcPr>
            <w:tcW w:w="1765"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38DDB288"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Улс/ Эдийн засаг</w:t>
            </w:r>
          </w:p>
        </w:tc>
        <w:tc>
          <w:tcPr>
            <w:tcW w:w="1517"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2C16ECE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Математик</w:t>
            </w:r>
          </w:p>
        </w:tc>
        <w:tc>
          <w:tcPr>
            <w:tcW w:w="1182"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068AA65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Уран зохиол</w:t>
            </w:r>
          </w:p>
        </w:tc>
        <w:tc>
          <w:tcPr>
            <w:tcW w:w="1371"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101D3F3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Шинжлэх ухаан</w:t>
            </w:r>
          </w:p>
        </w:tc>
        <w:tc>
          <w:tcPr>
            <w:tcW w:w="2247" w:type="dxa"/>
            <w:tcBorders>
              <w:top w:val="single" w:sz="8" w:space="0" w:color="000000"/>
              <w:bottom w:val="single" w:sz="8" w:space="0" w:color="000000"/>
              <w:right w:val="single" w:sz="8" w:space="0" w:color="000000"/>
            </w:tcBorders>
            <w:shd w:val="clear" w:color="auto" w:fill="C6D9F1"/>
            <w:tcMar>
              <w:top w:w="0" w:type="dxa"/>
              <w:left w:w="100" w:type="dxa"/>
              <w:bottom w:w="0" w:type="dxa"/>
              <w:right w:w="100" w:type="dxa"/>
            </w:tcMar>
          </w:tcPr>
          <w:p w14:paraId="4D0DE28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Дундаж үзүүлэлт</w:t>
            </w:r>
          </w:p>
        </w:tc>
      </w:tr>
      <w:tr w:rsidR="000A6E31" w:rsidRPr="00EC102E" w14:paraId="2A28503A" w14:textId="77777777">
        <w:trPr>
          <w:trHeight w:val="55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791CC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 </w:t>
            </w:r>
          </w:p>
        </w:tc>
        <w:tc>
          <w:tcPr>
            <w:tcW w:w="1765" w:type="dxa"/>
            <w:tcBorders>
              <w:bottom w:val="single" w:sz="8" w:space="0" w:color="000000"/>
              <w:right w:val="single" w:sz="8" w:space="0" w:color="000000"/>
            </w:tcBorders>
            <w:tcMar>
              <w:top w:w="0" w:type="dxa"/>
              <w:left w:w="100" w:type="dxa"/>
              <w:bottom w:w="0" w:type="dxa"/>
              <w:right w:w="100" w:type="dxa"/>
            </w:tcMar>
          </w:tcPr>
          <w:p w14:paraId="6C522B2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OECD-ийн дундаж</w:t>
            </w:r>
          </w:p>
        </w:tc>
        <w:tc>
          <w:tcPr>
            <w:tcW w:w="1517" w:type="dxa"/>
            <w:tcBorders>
              <w:bottom w:val="single" w:sz="8" w:space="0" w:color="000000"/>
              <w:right w:val="single" w:sz="8" w:space="0" w:color="000000"/>
            </w:tcBorders>
            <w:tcMar>
              <w:top w:w="0" w:type="dxa"/>
              <w:left w:w="100" w:type="dxa"/>
              <w:bottom w:w="0" w:type="dxa"/>
              <w:right w:w="100" w:type="dxa"/>
            </w:tcMar>
          </w:tcPr>
          <w:p w14:paraId="274E52B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472</w:t>
            </w:r>
          </w:p>
        </w:tc>
        <w:tc>
          <w:tcPr>
            <w:tcW w:w="1182" w:type="dxa"/>
            <w:tcBorders>
              <w:bottom w:val="single" w:sz="8" w:space="0" w:color="000000"/>
              <w:right w:val="single" w:sz="8" w:space="0" w:color="000000"/>
            </w:tcBorders>
            <w:tcMar>
              <w:top w:w="0" w:type="dxa"/>
              <w:left w:w="100" w:type="dxa"/>
              <w:bottom w:w="0" w:type="dxa"/>
              <w:right w:w="100" w:type="dxa"/>
            </w:tcMar>
          </w:tcPr>
          <w:p w14:paraId="02C8A89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476</w:t>
            </w:r>
          </w:p>
        </w:tc>
        <w:tc>
          <w:tcPr>
            <w:tcW w:w="1371" w:type="dxa"/>
            <w:tcBorders>
              <w:bottom w:val="single" w:sz="8" w:space="0" w:color="000000"/>
              <w:right w:val="single" w:sz="8" w:space="0" w:color="000000"/>
            </w:tcBorders>
            <w:tcMar>
              <w:top w:w="0" w:type="dxa"/>
              <w:left w:w="100" w:type="dxa"/>
              <w:bottom w:w="0" w:type="dxa"/>
              <w:right w:w="100" w:type="dxa"/>
            </w:tcMar>
          </w:tcPr>
          <w:p w14:paraId="66F7E4A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485</w:t>
            </w:r>
          </w:p>
        </w:tc>
        <w:tc>
          <w:tcPr>
            <w:tcW w:w="2247" w:type="dxa"/>
            <w:tcBorders>
              <w:bottom w:val="single" w:sz="8" w:space="0" w:color="000000"/>
              <w:right w:val="single" w:sz="8" w:space="0" w:color="000000"/>
            </w:tcBorders>
            <w:tcMar>
              <w:top w:w="0" w:type="dxa"/>
              <w:left w:w="100" w:type="dxa"/>
              <w:bottom w:w="0" w:type="dxa"/>
              <w:right w:w="100" w:type="dxa"/>
            </w:tcMar>
          </w:tcPr>
          <w:p w14:paraId="4F0C691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478</w:t>
            </w:r>
          </w:p>
        </w:tc>
      </w:tr>
      <w:tr w:rsidR="000A6E31" w:rsidRPr="00EC102E" w14:paraId="623EAE57"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9A95B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w:t>
            </w:r>
          </w:p>
        </w:tc>
        <w:tc>
          <w:tcPr>
            <w:tcW w:w="1765" w:type="dxa"/>
            <w:tcBorders>
              <w:bottom w:val="single" w:sz="8" w:space="0" w:color="000000"/>
              <w:right w:val="single" w:sz="8" w:space="0" w:color="000000"/>
            </w:tcBorders>
            <w:tcMar>
              <w:top w:w="0" w:type="dxa"/>
              <w:left w:w="100" w:type="dxa"/>
              <w:bottom w:w="0" w:type="dxa"/>
              <w:right w:w="100" w:type="dxa"/>
            </w:tcMar>
          </w:tcPr>
          <w:p w14:paraId="306F573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Сингапур</w:t>
            </w:r>
          </w:p>
        </w:tc>
        <w:tc>
          <w:tcPr>
            <w:tcW w:w="1517" w:type="dxa"/>
            <w:tcBorders>
              <w:bottom w:val="single" w:sz="8" w:space="0" w:color="000000"/>
              <w:right w:val="single" w:sz="8" w:space="0" w:color="000000"/>
            </w:tcBorders>
            <w:tcMar>
              <w:top w:w="0" w:type="dxa"/>
              <w:left w:w="100" w:type="dxa"/>
              <w:bottom w:w="0" w:type="dxa"/>
              <w:right w:w="100" w:type="dxa"/>
            </w:tcMar>
          </w:tcPr>
          <w:p w14:paraId="3A72A85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575</w:t>
            </w:r>
          </w:p>
        </w:tc>
        <w:tc>
          <w:tcPr>
            <w:tcW w:w="1182" w:type="dxa"/>
            <w:tcBorders>
              <w:bottom w:val="single" w:sz="8" w:space="0" w:color="000000"/>
              <w:right w:val="single" w:sz="8" w:space="0" w:color="000000"/>
            </w:tcBorders>
            <w:tcMar>
              <w:top w:w="0" w:type="dxa"/>
              <w:left w:w="100" w:type="dxa"/>
              <w:bottom w:w="0" w:type="dxa"/>
              <w:right w:w="100" w:type="dxa"/>
            </w:tcMar>
          </w:tcPr>
          <w:p w14:paraId="5BB1AC2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543</w:t>
            </w:r>
          </w:p>
        </w:tc>
        <w:tc>
          <w:tcPr>
            <w:tcW w:w="1371" w:type="dxa"/>
            <w:tcBorders>
              <w:bottom w:val="single" w:sz="8" w:space="0" w:color="000000"/>
              <w:right w:val="single" w:sz="8" w:space="0" w:color="000000"/>
            </w:tcBorders>
            <w:tcMar>
              <w:top w:w="0" w:type="dxa"/>
              <w:left w:w="100" w:type="dxa"/>
              <w:bottom w:w="0" w:type="dxa"/>
              <w:right w:w="100" w:type="dxa"/>
            </w:tcMar>
          </w:tcPr>
          <w:p w14:paraId="4A26797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561</w:t>
            </w:r>
          </w:p>
        </w:tc>
        <w:tc>
          <w:tcPr>
            <w:tcW w:w="2247" w:type="dxa"/>
            <w:tcBorders>
              <w:bottom w:val="single" w:sz="8" w:space="0" w:color="000000"/>
              <w:right w:val="single" w:sz="8" w:space="0" w:color="000000"/>
            </w:tcBorders>
            <w:tcMar>
              <w:top w:w="0" w:type="dxa"/>
              <w:left w:w="100" w:type="dxa"/>
              <w:bottom w:w="0" w:type="dxa"/>
              <w:right w:w="100" w:type="dxa"/>
            </w:tcMar>
          </w:tcPr>
          <w:p w14:paraId="410E722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560</w:t>
            </w:r>
          </w:p>
        </w:tc>
      </w:tr>
      <w:tr w:rsidR="000A6E31" w:rsidRPr="00EC102E" w14:paraId="09434E65" w14:textId="77777777">
        <w:trPr>
          <w:trHeight w:val="55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19B32DD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2</w:t>
            </w:r>
          </w:p>
        </w:tc>
        <w:tc>
          <w:tcPr>
            <w:tcW w:w="1765" w:type="dxa"/>
            <w:tcBorders>
              <w:bottom w:val="single" w:sz="8" w:space="0" w:color="000000"/>
              <w:right w:val="single" w:sz="8" w:space="0" w:color="000000"/>
            </w:tcBorders>
            <w:tcMar>
              <w:top w:w="0" w:type="dxa"/>
              <w:left w:w="100" w:type="dxa"/>
              <w:bottom w:w="0" w:type="dxa"/>
              <w:right w:w="100" w:type="dxa"/>
            </w:tcMar>
          </w:tcPr>
          <w:p w14:paraId="09F1D8E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Макао (БНХАУ)</w:t>
            </w:r>
          </w:p>
        </w:tc>
        <w:tc>
          <w:tcPr>
            <w:tcW w:w="1517" w:type="dxa"/>
            <w:tcBorders>
              <w:bottom w:val="single" w:sz="8" w:space="0" w:color="000000"/>
              <w:right w:val="single" w:sz="8" w:space="0" w:color="000000"/>
            </w:tcBorders>
            <w:tcMar>
              <w:top w:w="0" w:type="dxa"/>
              <w:left w:w="100" w:type="dxa"/>
              <w:bottom w:w="0" w:type="dxa"/>
              <w:right w:w="100" w:type="dxa"/>
            </w:tcMar>
          </w:tcPr>
          <w:p w14:paraId="1E1B33A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552</w:t>
            </w:r>
          </w:p>
        </w:tc>
        <w:tc>
          <w:tcPr>
            <w:tcW w:w="1182" w:type="dxa"/>
            <w:tcBorders>
              <w:bottom w:val="single" w:sz="8" w:space="0" w:color="000000"/>
              <w:right w:val="single" w:sz="8" w:space="0" w:color="000000"/>
            </w:tcBorders>
            <w:tcMar>
              <w:top w:w="0" w:type="dxa"/>
              <w:left w:w="100" w:type="dxa"/>
              <w:bottom w:w="0" w:type="dxa"/>
              <w:right w:w="100" w:type="dxa"/>
            </w:tcMar>
          </w:tcPr>
          <w:p w14:paraId="149901F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510</w:t>
            </w:r>
          </w:p>
        </w:tc>
        <w:tc>
          <w:tcPr>
            <w:tcW w:w="1371" w:type="dxa"/>
            <w:tcBorders>
              <w:bottom w:val="single" w:sz="8" w:space="0" w:color="000000"/>
              <w:right w:val="single" w:sz="8" w:space="0" w:color="000000"/>
            </w:tcBorders>
            <w:tcMar>
              <w:top w:w="0" w:type="dxa"/>
              <w:left w:w="100" w:type="dxa"/>
              <w:bottom w:w="0" w:type="dxa"/>
              <w:right w:w="100" w:type="dxa"/>
            </w:tcMar>
          </w:tcPr>
          <w:p w14:paraId="4CEDC72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543</w:t>
            </w:r>
          </w:p>
        </w:tc>
        <w:tc>
          <w:tcPr>
            <w:tcW w:w="2247" w:type="dxa"/>
            <w:tcBorders>
              <w:bottom w:val="single" w:sz="8" w:space="0" w:color="000000"/>
              <w:right w:val="single" w:sz="8" w:space="0" w:color="000000"/>
            </w:tcBorders>
            <w:tcMar>
              <w:top w:w="0" w:type="dxa"/>
              <w:left w:w="100" w:type="dxa"/>
              <w:bottom w:w="0" w:type="dxa"/>
              <w:right w:w="100" w:type="dxa"/>
            </w:tcMar>
          </w:tcPr>
          <w:p w14:paraId="58FD5218"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535</w:t>
            </w:r>
          </w:p>
        </w:tc>
      </w:tr>
      <w:tr w:rsidR="000A6E31" w:rsidRPr="00EC102E" w14:paraId="59D7E134"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6232CD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3</w:t>
            </w:r>
          </w:p>
        </w:tc>
        <w:tc>
          <w:tcPr>
            <w:tcW w:w="1765" w:type="dxa"/>
            <w:tcBorders>
              <w:bottom w:val="single" w:sz="8" w:space="0" w:color="000000"/>
              <w:right w:val="single" w:sz="8" w:space="0" w:color="000000"/>
            </w:tcBorders>
            <w:tcMar>
              <w:top w:w="0" w:type="dxa"/>
              <w:left w:w="100" w:type="dxa"/>
              <w:bottom w:w="0" w:type="dxa"/>
              <w:right w:w="100" w:type="dxa"/>
            </w:tcMar>
          </w:tcPr>
          <w:p w14:paraId="3E7C1E2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Япон</w:t>
            </w:r>
          </w:p>
        </w:tc>
        <w:tc>
          <w:tcPr>
            <w:tcW w:w="1517" w:type="dxa"/>
            <w:tcBorders>
              <w:bottom w:val="single" w:sz="8" w:space="0" w:color="000000"/>
              <w:right w:val="single" w:sz="8" w:space="0" w:color="000000"/>
            </w:tcBorders>
            <w:tcMar>
              <w:top w:w="0" w:type="dxa"/>
              <w:left w:w="100" w:type="dxa"/>
              <w:bottom w:w="0" w:type="dxa"/>
              <w:right w:w="100" w:type="dxa"/>
            </w:tcMar>
          </w:tcPr>
          <w:p w14:paraId="3A9CB2B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536</w:t>
            </w:r>
          </w:p>
        </w:tc>
        <w:tc>
          <w:tcPr>
            <w:tcW w:w="1182" w:type="dxa"/>
            <w:tcBorders>
              <w:bottom w:val="single" w:sz="8" w:space="0" w:color="000000"/>
              <w:right w:val="single" w:sz="8" w:space="0" w:color="000000"/>
            </w:tcBorders>
            <w:tcMar>
              <w:top w:w="0" w:type="dxa"/>
              <w:left w:w="100" w:type="dxa"/>
              <w:bottom w:w="0" w:type="dxa"/>
              <w:right w:w="100" w:type="dxa"/>
            </w:tcMar>
          </w:tcPr>
          <w:p w14:paraId="2881622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516</w:t>
            </w:r>
          </w:p>
        </w:tc>
        <w:tc>
          <w:tcPr>
            <w:tcW w:w="1371" w:type="dxa"/>
            <w:tcBorders>
              <w:bottom w:val="single" w:sz="8" w:space="0" w:color="000000"/>
              <w:right w:val="single" w:sz="8" w:space="0" w:color="000000"/>
            </w:tcBorders>
            <w:tcMar>
              <w:top w:w="0" w:type="dxa"/>
              <w:left w:w="100" w:type="dxa"/>
              <w:bottom w:w="0" w:type="dxa"/>
              <w:right w:w="100" w:type="dxa"/>
            </w:tcMar>
          </w:tcPr>
          <w:p w14:paraId="069EA70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547</w:t>
            </w:r>
          </w:p>
        </w:tc>
        <w:tc>
          <w:tcPr>
            <w:tcW w:w="2247" w:type="dxa"/>
            <w:tcBorders>
              <w:bottom w:val="single" w:sz="8" w:space="0" w:color="000000"/>
              <w:right w:val="single" w:sz="8" w:space="0" w:color="000000"/>
            </w:tcBorders>
            <w:tcMar>
              <w:top w:w="0" w:type="dxa"/>
              <w:left w:w="100" w:type="dxa"/>
              <w:bottom w:w="0" w:type="dxa"/>
              <w:right w:w="100" w:type="dxa"/>
            </w:tcMar>
          </w:tcPr>
          <w:p w14:paraId="0F7A172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533</w:t>
            </w:r>
          </w:p>
        </w:tc>
      </w:tr>
      <w:tr w:rsidR="000A6E31" w:rsidRPr="00EC102E" w14:paraId="4600D2CC" w14:textId="77777777">
        <w:trPr>
          <w:trHeight w:val="55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E7692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w:t>
            </w:r>
          </w:p>
        </w:tc>
        <w:tc>
          <w:tcPr>
            <w:tcW w:w="1765" w:type="dxa"/>
            <w:tcBorders>
              <w:bottom w:val="single" w:sz="8" w:space="0" w:color="000000"/>
              <w:right w:val="single" w:sz="8" w:space="0" w:color="000000"/>
            </w:tcBorders>
            <w:tcMar>
              <w:top w:w="0" w:type="dxa"/>
              <w:left w:w="100" w:type="dxa"/>
              <w:bottom w:w="0" w:type="dxa"/>
              <w:right w:w="100" w:type="dxa"/>
            </w:tcMar>
          </w:tcPr>
          <w:p w14:paraId="4DB9A7C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Тайвань (БНХАУ)</w:t>
            </w:r>
          </w:p>
        </w:tc>
        <w:tc>
          <w:tcPr>
            <w:tcW w:w="1517" w:type="dxa"/>
            <w:tcBorders>
              <w:bottom w:val="single" w:sz="8" w:space="0" w:color="000000"/>
              <w:right w:val="single" w:sz="8" w:space="0" w:color="000000"/>
            </w:tcBorders>
            <w:tcMar>
              <w:top w:w="0" w:type="dxa"/>
              <w:left w:w="100" w:type="dxa"/>
              <w:bottom w:w="0" w:type="dxa"/>
              <w:right w:w="100" w:type="dxa"/>
            </w:tcMar>
          </w:tcPr>
          <w:p w14:paraId="66674AD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547</w:t>
            </w:r>
          </w:p>
        </w:tc>
        <w:tc>
          <w:tcPr>
            <w:tcW w:w="1182" w:type="dxa"/>
            <w:tcBorders>
              <w:bottom w:val="single" w:sz="8" w:space="0" w:color="000000"/>
              <w:right w:val="single" w:sz="8" w:space="0" w:color="000000"/>
            </w:tcBorders>
            <w:tcMar>
              <w:top w:w="0" w:type="dxa"/>
              <w:left w:w="100" w:type="dxa"/>
              <w:bottom w:w="0" w:type="dxa"/>
              <w:right w:w="100" w:type="dxa"/>
            </w:tcMar>
          </w:tcPr>
          <w:p w14:paraId="23B0405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515</w:t>
            </w:r>
          </w:p>
        </w:tc>
        <w:tc>
          <w:tcPr>
            <w:tcW w:w="1371" w:type="dxa"/>
            <w:tcBorders>
              <w:bottom w:val="single" w:sz="8" w:space="0" w:color="000000"/>
              <w:right w:val="single" w:sz="8" w:space="0" w:color="000000"/>
            </w:tcBorders>
            <w:tcMar>
              <w:top w:w="0" w:type="dxa"/>
              <w:left w:w="100" w:type="dxa"/>
              <w:bottom w:w="0" w:type="dxa"/>
              <w:right w:w="100" w:type="dxa"/>
            </w:tcMar>
          </w:tcPr>
          <w:p w14:paraId="3BA09EE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537</w:t>
            </w:r>
          </w:p>
        </w:tc>
        <w:tc>
          <w:tcPr>
            <w:tcW w:w="2247" w:type="dxa"/>
            <w:tcBorders>
              <w:bottom w:val="single" w:sz="8" w:space="0" w:color="000000"/>
              <w:right w:val="single" w:sz="8" w:space="0" w:color="000000"/>
            </w:tcBorders>
            <w:tcMar>
              <w:top w:w="0" w:type="dxa"/>
              <w:left w:w="100" w:type="dxa"/>
              <w:bottom w:w="0" w:type="dxa"/>
              <w:right w:w="100" w:type="dxa"/>
            </w:tcMar>
          </w:tcPr>
          <w:p w14:paraId="1BFCA2D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533</w:t>
            </w:r>
          </w:p>
        </w:tc>
      </w:tr>
      <w:tr w:rsidR="000A6E31" w:rsidRPr="00EC102E" w14:paraId="2C665E57" w14:textId="77777777">
        <w:trPr>
          <w:trHeight w:val="55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8A3C62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w:t>
            </w:r>
          </w:p>
        </w:tc>
        <w:tc>
          <w:tcPr>
            <w:tcW w:w="1765" w:type="dxa"/>
            <w:tcBorders>
              <w:bottom w:val="single" w:sz="8" w:space="0" w:color="000000"/>
              <w:right w:val="single" w:sz="8" w:space="0" w:color="000000"/>
            </w:tcBorders>
            <w:tcMar>
              <w:top w:w="0" w:type="dxa"/>
              <w:left w:w="100" w:type="dxa"/>
              <w:bottom w:w="0" w:type="dxa"/>
              <w:right w:w="100" w:type="dxa"/>
            </w:tcMar>
          </w:tcPr>
          <w:p w14:paraId="2DF4E10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Өмнөд Солонгос</w:t>
            </w:r>
          </w:p>
        </w:tc>
        <w:tc>
          <w:tcPr>
            <w:tcW w:w="1517" w:type="dxa"/>
            <w:tcBorders>
              <w:bottom w:val="single" w:sz="8" w:space="0" w:color="000000"/>
              <w:right w:val="single" w:sz="8" w:space="0" w:color="000000"/>
            </w:tcBorders>
            <w:tcMar>
              <w:top w:w="0" w:type="dxa"/>
              <w:left w:w="100" w:type="dxa"/>
              <w:bottom w:w="0" w:type="dxa"/>
              <w:right w:w="100" w:type="dxa"/>
            </w:tcMar>
          </w:tcPr>
          <w:p w14:paraId="2669280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527</w:t>
            </w:r>
          </w:p>
        </w:tc>
        <w:tc>
          <w:tcPr>
            <w:tcW w:w="1182" w:type="dxa"/>
            <w:tcBorders>
              <w:bottom w:val="single" w:sz="8" w:space="0" w:color="000000"/>
              <w:right w:val="single" w:sz="8" w:space="0" w:color="000000"/>
            </w:tcBorders>
            <w:tcMar>
              <w:top w:w="0" w:type="dxa"/>
              <w:left w:w="100" w:type="dxa"/>
              <w:bottom w:w="0" w:type="dxa"/>
              <w:right w:w="100" w:type="dxa"/>
            </w:tcMar>
          </w:tcPr>
          <w:p w14:paraId="2B324D2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515</w:t>
            </w:r>
          </w:p>
        </w:tc>
        <w:tc>
          <w:tcPr>
            <w:tcW w:w="1371" w:type="dxa"/>
            <w:tcBorders>
              <w:bottom w:val="single" w:sz="8" w:space="0" w:color="000000"/>
              <w:right w:val="single" w:sz="8" w:space="0" w:color="000000"/>
            </w:tcBorders>
            <w:tcMar>
              <w:top w:w="0" w:type="dxa"/>
              <w:left w:w="100" w:type="dxa"/>
              <w:bottom w:w="0" w:type="dxa"/>
              <w:right w:w="100" w:type="dxa"/>
            </w:tcMar>
          </w:tcPr>
          <w:p w14:paraId="43C656C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528</w:t>
            </w:r>
          </w:p>
        </w:tc>
        <w:tc>
          <w:tcPr>
            <w:tcW w:w="2247" w:type="dxa"/>
            <w:tcBorders>
              <w:bottom w:val="single" w:sz="8" w:space="0" w:color="000000"/>
              <w:right w:val="single" w:sz="8" w:space="0" w:color="000000"/>
            </w:tcBorders>
            <w:tcMar>
              <w:top w:w="0" w:type="dxa"/>
              <w:left w:w="100" w:type="dxa"/>
              <w:bottom w:w="0" w:type="dxa"/>
              <w:right w:w="100" w:type="dxa"/>
            </w:tcMar>
          </w:tcPr>
          <w:p w14:paraId="2AFC4EC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523</w:t>
            </w:r>
          </w:p>
        </w:tc>
      </w:tr>
      <w:tr w:rsidR="000A6E31" w:rsidRPr="00EC102E" w14:paraId="5DD215A9" w14:textId="77777777">
        <w:trPr>
          <w:trHeight w:val="55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3DFEB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6</w:t>
            </w:r>
          </w:p>
        </w:tc>
        <w:tc>
          <w:tcPr>
            <w:tcW w:w="1765" w:type="dxa"/>
            <w:tcBorders>
              <w:bottom w:val="single" w:sz="8" w:space="0" w:color="000000"/>
              <w:right w:val="single" w:sz="8" w:space="0" w:color="000000"/>
            </w:tcBorders>
            <w:tcMar>
              <w:top w:w="0" w:type="dxa"/>
              <w:left w:w="100" w:type="dxa"/>
              <w:bottom w:w="0" w:type="dxa"/>
              <w:right w:w="100" w:type="dxa"/>
            </w:tcMar>
          </w:tcPr>
          <w:p w14:paraId="5B621E9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Хонг Конг (БНХАУ)</w:t>
            </w:r>
          </w:p>
        </w:tc>
        <w:tc>
          <w:tcPr>
            <w:tcW w:w="1517" w:type="dxa"/>
            <w:tcBorders>
              <w:bottom w:val="single" w:sz="8" w:space="0" w:color="000000"/>
              <w:right w:val="single" w:sz="8" w:space="0" w:color="000000"/>
            </w:tcBorders>
            <w:tcMar>
              <w:top w:w="0" w:type="dxa"/>
              <w:left w:w="100" w:type="dxa"/>
              <w:bottom w:w="0" w:type="dxa"/>
              <w:right w:w="100" w:type="dxa"/>
            </w:tcMar>
          </w:tcPr>
          <w:p w14:paraId="5E3BFB1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540</w:t>
            </w:r>
          </w:p>
        </w:tc>
        <w:tc>
          <w:tcPr>
            <w:tcW w:w="1182" w:type="dxa"/>
            <w:tcBorders>
              <w:bottom w:val="single" w:sz="8" w:space="0" w:color="000000"/>
              <w:right w:val="single" w:sz="8" w:space="0" w:color="000000"/>
            </w:tcBorders>
            <w:tcMar>
              <w:top w:w="0" w:type="dxa"/>
              <w:left w:w="100" w:type="dxa"/>
              <w:bottom w:w="0" w:type="dxa"/>
              <w:right w:w="100" w:type="dxa"/>
            </w:tcMar>
          </w:tcPr>
          <w:p w14:paraId="3E1C8DB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500</w:t>
            </w:r>
          </w:p>
        </w:tc>
        <w:tc>
          <w:tcPr>
            <w:tcW w:w="1371" w:type="dxa"/>
            <w:tcBorders>
              <w:bottom w:val="single" w:sz="8" w:space="0" w:color="000000"/>
              <w:right w:val="single" w:sz="8" w:space="0" w:color="000000"/>
            </w:tcBorders>
            <w:tcMar>
              <w:top w:w="0" w:type="dxa"/>
              <w:left w:w="100" w:type="dxa"/>
              <w:bottom w:w="0" w:type="dxa"/>
              <w:right w:w="100" w:type="dxa"/>
            </w:tcMar>
          </w:tcPr>
          <w:p w14:paraId="6874FEE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520</w:t>
            </w:r>
          </w:p>
        </w:tc>
        <w:tc>
          <w:tcPr>
            <w:tcW w:w="2247" w:type="dxa"/>
            <w:tcBorders>
              <w:bottom w:val="single" w:sz="8" w:space="0" w:color="000000"/>
              <w:right w:val="single" w:sz="8" w:space="0" w:color="000000"/>
            </w:tcBorders>
            <w:tcMar>
              <w:top w:w="0" w:type="dxa"/>
              <w:left w:w="100" w:type="dxa"/>
              <w:bottom w:w="0" w:type="dxa"/>
              <w:right w:w="100" w:type="dxa"/>
            </w:tcMar>
          </w:tcPr>
          <w:p w14:paraId="6B635C2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520</w:t>
            </w:r>
          </w:p>
        </w:tc>
      </w:tr>
      <w:tr w:rsidR="000A6E31" w:rsidRPr="00EC102E" w14:paraId="1091E92B"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95CCB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7</w:t>
            </w:r>
          </w:p>
        </w:tc>
        <w:tc>
          <w:tcPr>
            <w:tcW w:w="1765" w:type="dxa"/>
            <w:tcBorders>
              <w:bottom w:val="single" w:sz="8" w:space="0" w:color="000000"/>
              <w:right w:val="single" w:sz="8" w:space="0" w:color="000000"/>
            </w:tcBorders>
            <w:tcMar>
              <w:top w:w="0" w:type="dxa"/>
              <w:left w:w="100" w:type="dxa"/>
              <w:bottom w:w="0" w:type="dxa"/>
              <w:right w:w="100" w:type="dxa"/>
            </w:tcMar>
          </w:tcPr>
          <w:p w14:paraId="10DC280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Эстони</w:t>
            </w:r>
          </w:p>
        </w:tc>
        <w:tc>
          <w:tcPr>
            <w:tcW w:w="1517" w:type="dxa"/>
            <w:tcBorders>
              <w:bottom w:val="single" w:sz="8" w:space="0" w:color="000000"/>
              <w:right w:val="single" w:sz="8" w:space="0" w:color="000000"/>
            </w:tcBorders>
            <w:tcMar>
              <w:top w:w="0" w:type="dxa"/>
              <w:left w:w="100" w:type="dxa"/>
              <w:bottom w:w="0" w:type="dxa"/>
              <w:right w:w="100" w:type="dxa"/>
            </w:tcMar>
          </w:tcPr>
          <w:p w14:paraId="68F9802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510</w:t>
            </w:r>
          </w:p>
        </w:tc>
        <w:tc>
          <w:tcPr>
            <w:tcW w:w="1182" w:type="dxa"/>
            <w:tcBorders>
              <w:bottom w:val="single" w:sz="8" w:space="0" w:color="000000"/>
              <w:right w:val="single" w:sz="8" w:space="0" w:color="000000"/>
            </w:tcBorders>
            <w:tcMar>
              <w:top w:w="0" w:type="dxa"/>
              <w:left w:w="100" w:type="dxa"/>
              <w:bottom w:w="0" w:type="dxa"/>
              <w:right w:w="100" w:type="dxa"/>
            </w:tcMar>
          </w:tcPr>
          <w:p w14:paraId="46B6DEB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511</w:t>
            </w:r>
          </w:p>
        </w:tc>
        <w:tc>
          <w:tcPr>
            <w:tcW w:w="1371" w:type="dxa"/>
            <w:tcBorders>
              <w:bottom w:val="single" w:sz="8" w:space="0" w:color="000000"/>
              <w:right w:val="single" w:sz="8" w:space="0" w:color="000000"/>
            </w:tcBorders>
            <w:tcMar>
              <w:top w:w="0" w:type="dxa"/>
              <w:left w:w="100" w:type="dxa"/>
              <w:bottom w:w="0" w:type="dxa"/>
              <w:right w:w="100" w:type="dxa"/>
            </w:tcMar>
          </w:tcPr>
          <w:p w14:paraId="708AFE4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526</w:t>
            </w:r>
          </w:p>
        </w:tc>
        <w:tc>
          <w:tcPr>
            <w:tcW w:w="2247" w:type="dxa"/>
            <w:tcBorders>
              <w:bottom w:val="single" w:sz="8" w:space="0" w:color="000000"/>
              <w:right w:val="single" w:sz="8" w:space="0" w:color="000000"/>
            </w:tcBorders>
            <w:tcMar>
              <w:top w:w="0" w:type="dxa"/>
              <w:left w:w="100" w:type="dxa"/>
              <w:bottom w:w="0" w:type="dxa"/>
              <w:right w:w="100" w:type="dxa"/>
            </w:tcMar>
          </w:tcPr>
          <w:p w14:paraId="1F4AB86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516</w:t>
            </w:r>
          </w:p>
        </w:tc>
      </w:tr>
      <w:tr w:rsidR="000A6E31" w:rsidRPr="00EC102E" w14:paraId="67BFDE8C"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8AAD99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8</w:t>
            </w:r>
          </w:p>
        </w:tc>
        <w:tc>
          <w:tcPr>
            <w:tcW w:w="1765" w:type="dxa"/>
            <w:tcBorders>
              <w:bottom w:val="single" w:sz="8" w:space="0" w:color="000000"/>
              <w:right w:val="single" w:sz="8" w:space="0" w:color="000000"/>
            </w:tcBorders>
            <w:tcMar>
              <w:top w:w="0" w:type="dxa"/>
              <w:left w:w="100" w:type="dxa"/>
              <w:bottom w:w="0" w:type="dxa"/>
              <w:right w:w="100" w:type="dxa"/>
            </w:tcMar>
          </w:tcPr>
          <w:p w14:paraId="5D6AF7F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Канад</w:t>
            </w:r>
          </w:p>
        </w:tc>
        <w:tc>
          <w:tcPr>
            <w:tcW w:w="1517" w:type="dxa"/>
            <w:tcBorders>
              <w:bottom w:val="single" w:sz="8" w:space="0" w:color="000000"/>
              <w:right w:val="single" w:sz="8" w:space="0" w:color="000000"/>
            </w:tcBorders>
            <w:tcMar>
              <w:top w:w="0" w:type="dxa"/>
              <w:left w:w="100" w:type="dxa"/>
              <w:bottom w:w="0" w:type="dxa"/>
              <w:right w:w="100" w:type="dxa"/>
            </w:tcMar>
          </w:tcPr>
          <w:p w14:paraId="6BB84ED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497</w:t>
            </w:r>
          </w:p>
        </w:tc>
        <w:tc>
          <w:tcPr>
            <w:tcW w:w="1182" w:type="dxa"/>
            <w:tcBorders>
              <w:bottom w:val="single" w:sz="8" w:space="0" w:color="000000"/>
              <w:right w:val="single" w:sz="8" w:space="0" w:color="000000"/>
            </w:tcBorders>
            <w:tcMar>
              <w:top w:w="0" w:type="dxa"/>
              <w:left w:w="100" w:type="dxa"/>
              <w:bottom w:w="0" w:type="dxa"/>
              <w:right w:w="100" w:type="dxa"/>
            </w:tcMar>
          </w:tcPr>
          <w:p w14:paraId="18B6901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507</w:t>
            </w:r>
          </w:p>
        </w:tc>
        <w:tc>
          <w:tcPr>
            <w:tcW w:w="1371" w:type="dxa"/>
            <w:tcBorders>
              <w:bottom w:val="single" w:sz="8" w:space="0" w:color="000000"/>
              <w:right w:val="single" w:sz="8" w:space="0" w:color="000000"/>
            </w:tcBorders>
            <w:tcMar>
              <w:top w:w="0" w:type="dxa"/>
              <w:left w:w="100" w:type="dxa"/>
              <w:bottom w:w="0" w:type="dxa"/>
              <w:right w:w="100" w:type="dxa"/>
            </w:tcMar>
          </w:tcPr>
          <w:p w14:paraId="2EC1819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515</w:t>
            </w:r>
          </w:p>
        </w:tc>
        <w:tc>
          <w:tcPr>
            <w:tcW w:w="2247" w:type="dxa"/>
            <w:tcBorders>
              <w:bottom w:val="single" w:sz="8" w:space="0" w:color="000000"/>
              <w:right w:val="single" w:sz="8" w:space="0" w:color="000000"/>
            </w:tcBorders>
            <w:tcMar>
              <w:top w:w="0" w:type="dxa"/>
              <w:left w:w="100" w:type="dxa"/>
              <w:bottom w:w="0" w:type="dxa"/>
              <w:right w:w="100" w:type="dxa"/>
            </w:tcMar>
          </w:tcPr>
          <w:p w14:paraId="509463A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506</w:t>
            </w:r>
          </w:p>
        </w:tc>
      </w:tr>
      <w:tr w:rsidR="000A6E31" w:rsidRPr="00EC102E" w14:paraId="32EF77D8"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46C99BB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9</w:t>
            </w:r>
          </w:p>
        </w:tc>
        <w:tc>
          <w:tcPr>
            <w:tcW w:w="1765" w:type="dxa"/>
            <w:tcBorders>
              <w:bottom w:val="single" w:sz="8" w:space="0" w:color="000000"/>
              <w:right w:val="single" w:sz="8" w:space="0" w:color="000000"/>
            </w:tcBorders>
            <w:tcMar>
              <w:top w:w="0" w:type="dxa"/>
              <w:left w:w="100" w:type="dxa"/>
              <w:bottom w:w="0" w:type="dxa"/>
              <w:right w:w="100" w:type="dxa"/>
            </w:tcMar>
          </w:tcPr>
          <w:p w14:paraId="3F689DA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Ирланд</w:t>
            </w:r>
          </w:p>
        </w:tc>
        <w:tc>
          <w:tcPr>
            <w:tcW w:w="1517" w:type="dxa"/>
            <w:tcBorders>
              <w:bottom w:val="single" w:sz="8" w:space="0" w:color="000000"/>
              <w:right w:val="single" w:sz="8" w:space="0" w:color="000000"/>
            </w:tcBorders>
            <w:tcMar>
              <w:top w:w="0" w:type="dxa"/>
              <w:left w:w="100" w:type="dxa"/>
              <w:bottom w:w="0" w:type="dxa"/>
              <w:right w:w="100" w:type="dxa"/>
            </w:tcMar>
          </w:tcPr>
          <w:p w14:paraId="2B75743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492</w:t>
            </w:r>
          </w:p>
        </w:tc>
        <w:tc>
          <w:tcPr>
            <w:tcW w:w="1182" w:type="dxa"/>
            <w:tcBorders>
              <w:bottom w:val="single" w:sz="8" w:space="0" w:color="000000"/>
              <w:right w:val="single" w:sz="8" w:space="0" w:color="000000"/>
            </w:tcBorders>
            <w:tcMar>
              <w:top w:w="0" w:type="dxa"/>
              <w:left w:w="100" w:type="dxa"/>
              <w:bottom w:w="0" w:type="dxa"/>
              <w:right w:w="100" w:type="dxa"/>
            </w:tcMar>
          </w:tcPr>
          <w:p w14:paraId="53F7A28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516</w:t>
            </w:r>
          </w:p>
        </w:tc>
        <w:tc>
          <w:tcPr>
            <w:tcW w:w="1371" w:type="dxa"/>
            <w:tcBorders>
              <w:bottom w:val="single" w:sz="8" w:space="0" w:color="000000"/>
              <w:right w:val="single" w:sz="8" w:space="0" w:color="000000"/>
            </w:tcBorders>
            <w:tcMar>
              <w:top w:w="0" w:type="dxa"/>
              <w:left w:w="100" w:type="dxa"/>
              <w:bottom w:w="0" w:type="dxa"/>
              <w:right w:w="100" w:type="dxa"/>
            </w:tcMar>
          </w:tcPr>
          <w:p w14:paraId="5E22818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504</w:t>
            </w:r>
          </w:p>
        </w:tc>
        <w:tc>
          <w:tcPr>
            <w:tcW w:w="2247" w:type="dxa"/>
            <w:tcBorders>
              <w:bottom w:val="single" w:sz="8" w:space="0" w:color="000000"/>
              <w:right w:val="single" w:sz="8" w:space="0" w:color="000000"/>
            </w:tcBorders>
            <w:tcMar>
              <w:top w:w="0" w:type="dxa"/>
              <w:left w:w="100" w:type="dxa"/>
              <w:bottom w:w="0" w:type="dxa"/>
              <w:right w:w="100" w:type="dxa"/>
            </w:tcMar>
          </w:tcPr>
          <w:p w14:paraId="6CD1427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504</w:t>
            </w:r>
          </w:p>
        </w:tc>
      </w:tr>
      <w:tr w:rsidR="000A6E31" w:rsidRPr="00EC102E" w14:paraId="3AB466B7"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D55E5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10</w:t>
            </w:r>
          </w:p>
        </w:tc>
        <w:tc>
          <w:tcPr>
            <w:tcW w:w="1765" w:type="dxa"/>
            <w:tcBorders>
              <w:bottom w:val="single" w:sz="8" w:space="0" w:color="000000"/>
              <w:right w:val="single" w:sz="8" w:space="0" w:color="000000"/>
            </w:tcBorders>
            <w:tcMar>
              <w:top w:w="0" w:type="dxa"/>
              <w:left w:w="100" w:type="dxa"/>
              <w:bottom w:w="0" w:type="dxa"/>
              <w:right w:w="100" w:type="dxa"/>
            </w:tcMar>
          </w:tcPr>
          <w:p w14:paraId="3F90939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Швейцарь</w:t>
            </w:r>
          </w:p>
        </w:tc>
        <w:tc>
          <w:tcPr>
            <w:tcW w:w="1517" w:type="dxa"/>
            <w:tcBorders>
              <w:bottom w:val="single" w:sz="8" w:space="0" w:color="000000"/>
              <w:right w:val="single" w:sz="8" w:space="0" w:color="000000"/>
            </w:tcBorders>
            <w:tcMar>
              <w:top w:w="0" w:type="dxa"/>
              <w:left w:w="100" w:type="dxa"/>
              <w:bottom w:w="0" w:type="dxa"/>
              <w:right w:w="100" w:type="dxa"/>
            </w:tcMar>
          </w:tcPr>
          <w:p w14:paraId="287A978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508</w:t>
            </w:r>
          </w:p>
        </w:tc>
        <w:tc>
          <w:tcPr>
            <w:tcW w:w="1182" w:type="dxa"/>
            <w:tcBorders>
              <w:bottom w:val="single" w:sz="8" w:space="0" w:color="000000"/>
              <w:right w:val="single" w:sz="8" w:space="0" w:color="000000"/>
            </w:tcBorders>
            <w:tcMar>
              <w:top w:w="0" w:type="dxa"/>
              <w:left w:w="100" w:type="dxa"/>
              <w:bottom w:w="0" w:type="dxa"/>
              <w:right w:w="100" w:type="dxa"/>
            </w:tcMar>
          </w:tcPr>
          <w:p w14:paraId="02137B5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483</w:t>
            </w:r>
          </w:p>
        </w:tc>
        <w:tc>
          <w:tcPr>
            <w:tcW w:w="1371" w:type="dxa"/>
            <w:tcBorders>
              <w:bottom w:val="single" w:sz="8" w:space="0" w:color="000000"/>
              <w:right w:val="single" w:sz="8" w:space="0" w:color="000000"/>
            </w:tcBorders>
            <w:tcMar>
              <w:top w:w="0" w:type="dxa"/>
              <w:left w:w="100" w:type="dxa"/>
              <w:bottom w:w="0" w:type="dxa"/>
              <w:right w:w="100" w:type="dxa"/>
            </w:tcMar>
          </w:tcPr>
          <w:p w14:paraId="4070ABE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503</w:t>
            </w:r>
          </w:p>
        </w:tc>
        <w:tc>
          <w:tcPr>
            <w:tcW w:w="2247" w:type="dxa"/>
            <w:tcBorders>
              <w:bottom w:val="single" w:sz="8" w:space="0" w:color="000000"/>
              <w:right w:val="single" w:sz="8" w:space="0" w:color="000000"/>
            </w:tcBorders>
            <w:tcMar>
              <w:top w:w="0" w:type="dxa"/>
              <w:left w:w="100" w:type="dxa"/>
              <w:bottom w:w="0" w:type="dxa"/>
              <w:right w:w="100" w:type="dxa"/>
            </w:tcMar>
          </w:tcPr>
          <w:p w14:paraId="3D7E8B5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498</w:t>
            </w:r>
          </w:p>
        </w:tc>
      </w:tr>
      <w:tr w:rsidR="000A6E31" w:rsidRPr="00EC102E" w14:paraId="069AEF61"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5D559B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11</w:t>
            </w:r>
          </w:p>
        </w:tc>
        <w:tc>
          <w:tcPr>
            <w:tcW w:w="1765" w:type="dxa"/>
            <w:tcBorders>
              <w:bottom w:val="single" w:sz="8" w:space="0" w:color="000000"/>
              <w:right w:val="single" w:sz="8" w:space="0" w:color="000000"/>
            </w:tcBorders>
            <w:tcMar>
              <w:top w:w="0" w:type="dxa"/>
              <w:left w:w="100" w:type="dxa"/>
              <w:bottom w:w="0" w:type="dxa"/>
              <w:right w:w="100" w:type="dxa"/>
            </w:tcMar>
          </w:tcPr>
          <w:p w14:paraId="54DF962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Австрали</w:t>
            </w:r>
          </w:p>
        </w:tc>
        <w:tc>
          <w:tcPr>
            <w:tcW w:w="1517" w:type="dxa"/>
            <w:tcBorders>
              <w:bottom w:val="single" w:sz="8" w:space="0" w:color="000000"/>
              <w:right w:val="single" w:sz="8" w:space="0" w:color="000000"/>
            </w:tcBorders>
            <w:tcMar>
              <w:top w:w="0" w:type="dxa"/>
              <w:left w:w="100" w:type="dxa"/>
              <w:bottom w:w="0" w:type="dxa"/>
              <w:right w:w="100" w:type="dxa"/>
            </w:tcMar>
          </w:tcPr>
          <w:p w14:paraId="2090136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487</w:t>
            </w:r>
          </w:p>
        </w:tc>
        <w:tc>
          <w:tcPr>
            <w:tcW w:w="1182" w:type="dxa"/>
            <w:tcBorders>
              <w:bottom w:val="single" w:sz="8" w:space="0" w:color="000000"/>
              <w:right w:val="single" w:sz="8" w:space="0" w:color="000000"/>
            </w:tcBorders>
            <w:tcMar>
              <w:top w:w="0" w:type="dxa"/>
              <w:left w:w="100" w:type="dxa"/>
              <w:bottom w:w="0" w:type="dxa"/>
              <w:right w:w="100" w:type="dxa"/>
            </w:tcMar>
          </w:tcPr>
          <w:p w14:paraId="52447FC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498</w:t>
            </w:r>
          </w:p>
        </w:tc>
        <w:tc>
          <w:tcPr>
            <w:tcW w:w="1371" w:type="dxa"/>
            <w:tcBorders>
              <w:bottom w:val="single" w:sz="8" w:space="0" w:color="000000"/>
              <w:right w:val="single" w:sz="8" w:space="0" w:color="000000"/>
            </w:tcBorders>
            <w:tcMar>
              <w:top w:w="0" w:type="dxa"/>
              <w:left w:w="100" w:type="dxa"/>
              <w:bottom w:w="0" w:type="dxa"/>
              <w:right w:w="100" w:type="dxa"/>
            </w:tcMar>
          </w:tcPr>
          <w:p w14:paraId="28E7B63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507</w:t>
            </w:r>
          </w:p>
        </w:tc>
        <w:tc>
          <w:tcPr>
            <w:tcW w:w="2247" w:type="dxa"/>
            <w:tcBorders>
              <w:bottom w:val="single" w:sz="8" w:space="0" w:color="000000"/>
              <w:right w:val="single" w:sz="8" w:space="0" w:color="000000"/>
            </w:tcBorders>
            <w:tcMar>
              <w:top w:w="0" w:type="dxa"/>
              <w:left w:w="100" w:type="dxa"/>
              <w:bottom w:w="0" w:type="dxa"/>
              <w:right w:w="100" w:type="dxa"/>
            </w:tcMar>
          </w:tcPr>
          <w:p w14:paraId="5C460E2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497</w:t>
            </w:r>
          </w:p>
        </w:tc>
      </w:tr>
      <w:tr w:rsidR="000A6E31" w:rsidRPr="00EC102E" w14:paraId="7842E177"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0DE089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12</w:t>
            </w:r>
          </w:p>
        </w:tc>
        <w:tc>
          <w:tcPr>
            <w:tcW w:w="1765" w:type="dxa"/>
            <w:tcBorders>
              <w:bottom w:val="single" w:sz="8" w:space="0" w:color="000000"/>
              <w:right w:val="single" w:sz="8" w:space="0" w:color="000000"/>
            </w:tcBorders>
            <w:tcMar>
              <w:top w:w="0" w:type="dxa"/>
              <w:left w:w="100" w:type="dxa"/>
              <w:bottom w:w="0" w:type="dxa"/>
              <w:right w:w="100" w:type="dxa"/>
            </w:tcMar>
          </w:tcPr>
          <w:p w14:paraId="60FC9D7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Финлянд</w:t>
            </w:r>
          </w:p>
        </w:tc>
        <w:tc>
          <w:tcPr>
            <w:tcW w:w="1517" w:type="dxa"/>
            <w:tcBorders>
              <w:bottom w:val="single" w:sz="8" w:space="0" w:color="000000"/>
              <w:right w:val="single" w:sz="8" w:space="0" w:color="000000"/>
            </w:tcBorders>
            <w:tcMar>
              <w:top w:w="0" w:type="dxa"/>
              <w:left w:w="100" w:type="dxa"/>
              <w:bottom w:w="0" w:type="dxa"/>
              <w:right w:w="100" w:type="dxa"/>
            </w:tcMar>
          </w:tcPr>
          <w:p w14:paraId="5630B2F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484</w:t>
            </w:r>
          </w:p>
        </w:tc>
        <w:tc>
          <w:tcPr>
            <w:tcW w:w="1182" w:type="dxa"/>
            <w:tcBorders>
              <w:bottom w:val="single" w:sz="8" w:space="0" w:color="000000"/>
              <w:right w:val="single" w:sz="8" w:space="0" w:color="000000"/>
            </w:tcBorders>
            <w:tcMar>
              <w:top w:w="0" w:type="dxa"/>
              <w:left w:w="100" w:type="dxa"/>
              <w:bottom w:w="0" w:type="dxa"/>
              <w:right w:w="100" w:type="dxa"/>
            </w:tcMar>
          </w:tcPr>
          <w:p w14:paraId="254DCA6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490</w:t>
            </w:r>
          </w:p>
        </w:tc>
        <w:tc>
          <w:tcPr>
            <w:tcW w:w="1371" w:type="dxa"/>
            <w:tcBorders>
              <w:bottom w:val="single" w:sz="8" w:space="0" w:color="000000"/>
              <w:right w:val="single" w:sz="8" w:space="0" w:color="000000"/>
            </w:tcBorders>
            <w:tcMar>
              <w:top w:w="0" w:type="dxa"/>
              <w:left w:w="100" w:type="dxa"/>
              <w:bottom w:w="0" w:type="dxa"/>
              <w:right w:w="100" w:type="dxa"/>
            </w:tcMar>
          </w:tcPr>
          <w:p w14:paraId="3459A44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511</w:t>
            </w:r>
          </w:p>
        </w:tc>
        <w:tc>
          <w:tcPr>
            <w:tcW w:w="2247" w:type="dxa"/>
            <w:tcBorders>
              <w:bottom w:val="single" w:sz="8" w:space="0" w:color="000000"/>
              <w:right w:val="single" w:sz="8" w:space="0" w:color="000000"/>
            </w:tcBorders>
            <w:tcMar>
              <w:top w:w="0" w:type="dxa"/>
              <w:left w:w="100" w:type="dxa"/>
              <w:bottom w:w="0" w:type="dxa"/>
              <w:right w:w="100" w:type="dxa"/>
            </w:tcMar>
          </w:tcPr>
          <w:p w14:paraId="6DFF5A9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495</w:t>
            </w:r>
          </w:p>
        </w:tc>
      </w:tr>
      <w:tr w:rsidR="000A6E31" w:rsidRPr="00EC102E" w14:paraId="2F3E9A46" w14:textId="77777777">
        <w:trPr>
          <w:trHeight w:val="55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38D07C4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lastRenderedPageBreak/>
              <w:t>13</w:t>
            </w:r>
          </w:p>
        </w:tc>
        <w:tc>
          <w:tcPr>
            <w:tcW w:w="1765" w:type="dxa"/>
            <w:tcBorders>
              <w:bottom w:val="single" w:sz="8" w:space="0" w:color="000000"/>
              <w:right w:val="single" w:sz="8" w:space="0" w:color="000000"/>
            </w:tcBorders>
            <w:tcMar>
              <w:top w:w="0" w:type="dxa"/>
              <w:left w:w="100" w:type="dxa"/>
              <w:bottom w:w="0" w:type="dxa"/>
              <w:right w:w="100" w:type="dxa"/>
            </w:tcMar>
          </w:tcPr>
          <w:p w14:paraId="313BA45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Шинэ Зеланд</w:t>
            </w:r>
          </w:p>
        </w:tc>
        <w:tc>
          <w:tcPr>
            <w:tcW w:w="1517" w:type="dxa"/>
            <w:tcBorders>
              <w:bottom w:val="single" w:sz="8" w:space="0" w:color="000000"/>
              <w:right w:val="single" w:sz="8" w:space="0" w:color="000000"/>
            </w:tcBorders>
            <w:tcMar>
              <w:top w:w="0" w:type="dxa"/>
              <w:left w:w="100" w:type="dxa"/>
              <w:bottom w:w="0" w:type="dxa"/>
              <w:right w:w="100" w:type="dxa"/>
            </w:tcMar>
          </w:tcPr>
          <w:p w14:paraId="581CE94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479</w:t>
            </w:r>
          </w:p>
        </w:tc>
        <w:tc>
          <w:tcPr>
            <w:tcW w:w="1182" w:type="dxa"/>
            <w:tcBorders>
              <w:bottom w:val="single" w:sz="8" w:space="0" w:color="000000"/>
              <w:right w:val="single" w:sz="8" w:space="0" w:color="000000"/>
            </w:tcBorders>
            <w:tcMar>
              <w:top w:w="0" w:type="dxa"/>
              <w:left w:w="100" w:type="dxa"/>
              <w:bottom w:w="0" w:type="dxa"/>
              <w:right w:w="100" w:type="dxa"/>
            </w:tcMar>
          </w:tcPr>
          <w:p w14:paraId="682D7DA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501</w:t>
            </w:r>
          </w:p>
        </w:tc>
        <w:tc>
          <w:tcPr>
            <w:tcW w:w="1371" w:type="dxa"/>
            <w:tcBorders>
              <w:bottom w:val="single" w:sz="8" w:space="0" w:color="000000"/>
              <w:right w:val="single" w:sz="8" w:space="0" w:color="000000"/>
            </w:tcBorders>
            <w:tcMar>
              <w:top w:w="0" w:type="dxa"/>
              <w:left w:w="100" w:type="dxa"/>
              <w:bottom w:w="0" w:type="dxa"/>
              <w:right w:w="100" w:type="dxa"/>
            </w:tcMar>
          </w:tcPr>
          <w:p w14:paraId="3439CF4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504</w:t>
            </w:r>
          </w:p>
        </w:tc>
        <w:tc>
          <w:tcPr>
            <w:tcW w:w="2247" w:type="dxa"/>
            <w:tcBorders>
              <w:bottom w:val="single" w:sz="8" w:space="0" w:color="000000"/>
              <w:right w:val="single" w:sz="8" w:space="0" w:color="000000"/>
            </w:tcBorders>
            <w:tcMar>
              <w:top w:w="0" w:type="dxa"/>
              <w:left w:w="100" w:type="dxa"/>
              <w:bottom w:w="0" w:type="dxa"/>
              <w:right w:w="100" w:type="dxa"/>
            </w:tcMar>
          </w:tcPr>
          <w:p w14:paraId="28D284D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495</w:t>
            </w:r>
          </w:p>
        </w:tc>
      </w:tr>
      <w:tr w:rsidR="000A6E31" w:rsidRPr="00EC102E" w14:paraId="10F3ADC3"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FB1406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14</w:t>
            </w:r>
          </w:p>
        </w:tc>
        <w:tc>
          <w:tcPr>
            <w:tcW w:w="1765" w:type="dxa"/>
            <w:tcBorders>
              <w:bottom w:val="single" w:sz="8" w:space="0" w:color="000000"/>
              <w:right w:val="single" w:sz="8" w:space="0" w:color="000000"/>
            </w:tcBorders>
            <w:tcMar>
              <w:top w:w="0" w:type="dxa"/>
              <w:left w:w="100" w:type="dxa"/>
              <w:bottom w:w="0" w:type="dxa"/>
              <w:right w:w="100" w:type="dxa"/>
            </w:tcMar>
          </w:tcPr>
          <w:p w14:paraId="1E017D0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Их Британи</w:t>
            </w:r>
          </w:p>
        </w:tc>
        <w:tc>
          <w:tcPr>
            <w:tcW w:w="1517" w:type="dxa"/>
            <w:tcBorders>
              <w:bottom w:val="single" w:sz="8" w:space="0" w:color="000000"/>
              <w:right w:val="single" w:sz="8" w:space="0" w:color="000000"/>
            </w:tcBorders>
            <w:tcMar>
              <w:top w:w="0" w:type="dxa"/>
              <w:left w:w="100" w:type="dxa"/>
              <w:bottom w:w="0" w:type="dxa"/>
              <w:right w:w="100" w:type="dxa"/>
            </w:tcMar>
          </w:tcPr>
          <w:p w14:paraId="3A2535F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489</w:t>
            </w:r>
          </w:p>
        </w:tc>
        <w:tc>
          <w:tcPr>
            <w:tcW w:w="1182" w:type="dxa"/>
            <w:tcBorders>
              <w:bottom w:val="single" w:sz="8" w:space="0" w:color="000000"/>
              <w:right w:val="single" w:sz="8" w:space="0" w:color="000000"/>
            </w:tcBorders>
            <w:tcMar>
              <w:top w:w="0" w:type="dxa"/>
              <w:left w:w="100" w:type="dxa"/>
              <w:bottom w:w="0" w:type="dxa"/>
              <w:right w:w="100" w:type="dxa"/>
            </w:tcMar>
          </w:tcPr>
          <w:p w14:paraId="40939A0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494</w:t>
            </w:r>
          </w:p>
        </w:tc>
        <w:tc>
          <w:tcPr>
            <w:tcW w:w="1371" w:type="dxa"/>
            <w:tcBorders>
              <w:bottom w:val="single" w:sz="8" w:space="0" w:color="000000"/>
              <w:right w:val="single" w:sz="8" w:space="0" w:color="000000"/>
            </w:tcBorders>
            <w:tcMar>
              <w:top w:w="0" w:type="dxa"/>
              <w:left w:w="100" w:type="dxa"/>
              <w:bottom w:w="0" w:type="dxa"/>
              <w:right w:w="100" w:type="dxa"/>
            </w:tcMar>
          </w:tcPr>
          <w:p w14:paraId="79889D7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500</w:t>
            </w:r>
          </w:p>
        </w:tc>
        <w:tc>
          <w:tcPr>
            <w:tcW w:w="2247" w:type="dxa"/>
            <w:tcBorders>
              <w:bottom w:val="single" w:sz="8" w:space="0" w:color="000000"/>
              <w:right w:val="single" w:sz="8" w:space="0" w:color="000000"/>
            </w:tcBorders>
            <w:tcMar>
              <w:top w:w="0" w:type="dxa"/>
              <w:left w:w="100" w:type="dxa"/>
              <w:bottom w:w="0" w:type="dxa"/>
              <w:right w:w="100" w:type="dxa"/>
            </w:tcMar>
          </w:tcPr>
          <w:p w14:paraId="090E9EE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494</w:t>
            </w:r>
          </w:p>
        </w:tc>
      </w:tr>
      <w:tr w:rsidR="000A6E31" w:rsidRPr="00EC102E" w14:paraId="1F33866E"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6F5DC62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15</w:t>
            </w:r>
          </w:p>
        </w:tc>
        <w:tc>
          <w:tcPr>
            <w:tcW w:w="1765" w:type="dxa"/>
            <w:tcBorders>
              <w:bottom w:val="single" w:sz="8" w:space="0" w:color="000000"/>
              <w:right w:val="single" w:sz="8" w:space="0" w:color="000000"/>
            </w:tcBorders>
            <w:tcMar>
              <w:top w:w="0" w:type="dxa"/>
              <w:left w:w="100" w:type="dxa"/>
              <w:bottom w:w="0" w:type="dxa"/>
              <w:right w:w="100" w:type="dxa"/>
            </w:tcMar>
          </w:tcPr>
          <w:p w14:paraId="7B8724A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Польш</w:t>
            </w:r>
          </w:p>
        </w:tc>
        <w:tc>
          <w:tcPr>
            <w:tcW w:w="1517" w:type="dxa"/>
            <w:tcBorders>
              <w:bottom w:val="single" w:sz="8" w:space="0" w:color="000000"/>
              <w:right w:val="single" w:sz="8" w:space="0" w:color="000000"/>
            </w:tcBorders>
            <w:tcMar>
              <w:top w:w="0" w:type="dxa"/>
              <w:left w:w="100" w:type="dxa"/>
              <w:bottom w:w="0" w:type="dxa"/>
              <w:right w:w="100" w:type="dxa"/>
            </w:tcMar>
          </w:tcPr>
          <w:p w14:paraId="0A96D35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489</w:t>
            </w:r>
          </w:p>
        </w:tc>
        <w:tc>
          <w:tcPr>
            <w:tcW w:w="1182" w:type="dxa"/>
            <w:tcBorders>
              <w:bottom w:val="single" w:sz="8" w:space="0" w:color="000000"/>
              <w:right w:val="single" w:sz="8" w:space="0" w:color="000000"/>
            </w:tcBorders>
            <w:tcMar>
              <w:top w:w="0" w:type="dxa"/>
              <w:left w:w="100" w:type="dxa"/>
              <w:bottom w:w="0" w:type="dxa"/>
              <w:right w:w="100" w:type="dxa"/>
            </w:tcMar>
          </w:tcPr>
          <w:p w14:paraId="5736B05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489</w:t>
            </w:r>
          </w:p>
        </w:tc>
        <w:tc>
          <w:tcPr>
            <w:tcW w:w="1371" w:type="dxa"/>
            <w:tcBorders>
              <w:bottom w:val="single" w:sz="8" w:space="0" w:color="000000"/>
              <w:right w:val="single" w:sz="8" w:space="0" w:color="000000"/>
            </w:tcBorders>
            <w:tcMar>
              <w:top w:w="0" w:type="dxa"/>
              <w:left w:w="100" w:type="dxa"/>
              <w:bottom w:w="0" w:type="dxa"/>
              <w:right w:w="100" w:type="dxa"/>
            </w:tcMar>
          </w:tcPr>
          <w:p w14:paraId="681887A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499</w:t>
            </w:r>
          </w:p>
        </w:tc>
        <w:tc>
          <w:tcPr>
            <w:tcW w:w="2247" w:type="dxa"/>
            <w:tcBorders>
              <w:bottom w:val="single" w:sz="8" w:space="0" w:color="000000"/>
              <w:right w:val="single" w:sz="8" w:space="0" w:color="000000"/>
            </w:tcBorders>
            <w:tcMar>
              <w:top w:w="0" w:type="dxa"/>
              <w:left w:w="100" w:type="dxa"/>
              <w:bottom w:w="0" w:type="dxa"/>
              <w:right w:w="100" w:type="dxa"/>
            </w:tcMar>
          </w:tcPr>
          <w:p w14:paraId="1018B70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492</w:t>
            </w:r>
          </w:p>
        </w:tc>
      </w:tr>
      <w:tr w:rsidR="000A6E31" w:rsidRPr="00EC102E" w14:paraId="149A36B4"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16B8E47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16</w:t>
            </w:r>
          </w:p>
        </w:tc>
        <w:tc>
          <w:tcPr>
            <w:tcW w:w="1765" w:type="dxa"/>
            <w:tcBorders>
              <w:bottom w:val="single" w:sz="8" w:space="0" w:color="000000"/>
              <w:right w:val="single" w:sz="8" w:space="0" w:color="000000"/>
            </w:tcBorders>
            <w:tcMar>
              <w:top w:w="0" w:type="dxa"/>
              <w:left w:w="100" w:type="dxa"/>
              <w:bottom w:w="0" w:type="dxa"/>
              <w:right w:w="100" w:type="dxa"/>
            </w:tcMar>
          </w:tcPr>
          <w:p w14:paraId="4E22173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Чех</w:t>
            </w:r>
          </w:p>
        </w:tc>
        <w:tc>
          <w:tcPr>
            <w:tcW w:w="1517" w:type="dxa"/>
            <w:tcBorders>
              <w:bottom w:val="single" w:sz="8" w:space="0" w:color="000000"/>
              <w:right w:val="single" w:sz="8" w:space="0" w:color="000000"/>
            </w:tcBorders>
            <w:tcMar>
              <w:top w:w="0" w:type="dxa"/>
              <w:left w:w="100" w:type="dxa"/>
              <w:bottom w:w="0" w:type="dxa"/>
              <w:right w:w="100" w:type="dxa"/>
            </w:tcMar>
          </w:tcPr>
          <w:p w14:paraId="0CE0FB8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487</w:t>
            </w:r>
          </w:p>
        </w:tc>
        <w:tc>
          <w:tcPr>
            <w:tcW w:w="1182" w:type="dxa"/>
            <w:tcBorders>
              <w:bottom w:val="single" w:sz="8" w:space="0" w:color="000000"/>
              <w:right w:val="single" w:sz="8" w:space="0" w:color="000000"/>
            </w:tcBorders>
            <w:tcMar>
              <w:top w:w="0" w:type="dxa"/>
              <w:left w:w="100" w:type="dxa"/>
              <w:bottom w:w="0" w:type="dxa"/>
              <w:right w:w="100" w:type="dxa"/>
            </w:tcMar>
          </w:tcPr>
          <w:p w14:paraId="2E1E81D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489</w:t>
            </w:r>
          </w:p>
        </w:tc>
        <w:tc>
          <w:tcPr>
            <w:tcW w:w="1371" w:type="dxa"/>
            <w:tcBorders>
              <w:bottom w:val="single" w:sz="8" w:space="0" w:color="000000"/>
              <w:right w:val="single" w:sz="8" w:space="0" w:color="000000"/>
            </w:tcBorders>
            <w:tcMar>
              <w:top w:w="0" w:type="dxa"/>
              <w:left w:w="100" w:type="dxa"/>
              <w:bottom w:w="0" w:type="dxa"/>
              <w:right w:w="100" w:type="dxa"/>
            </w:tcMar>
          </w:tcPr>
          <w:p w14:paraId="63683BD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498</w:t>
            </w:r>
          </w:p>
        </w:tc>
        <w:tc>
          <w:tcPr>
            <w:tcW w:w="2247" w:type="dxa"/>
            <w:tcBorders>
              <w:bottom w:val="single" w:sz="8" w:space="0" w:color="000000"/>
              <w:right w:val="single" w:sz="8" w:space="0" w:color="000000"/>
            </w:tcBorders>
            <w:tcMar>
              <w:top w:w="0" w:type="dxa"/>
              <w:left w:w="100" w:type="dxa"/>
              <w:bottom w:w="0" w:type="dxa"/>
              <w:right w:w="100" w:type="dxa"/>
            </w:tcMar>
          </w:tcPr>
          <w:p w14:paraId="30CBC6E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491</w:t>
            </w:r>
          </w:p>
        </w:tc>
      </w:tr>
      <w:tr w:rsidR="000A6E31" w:rsidRPr="00EC102E" w14:paraId="072E07FC"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B31665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17</w:t>
            </w:r>
          </w:p>
        </w:tc>
        <w:tc>
          <w:tcPr>
            <w:tcW w:w="1765" w:type="dxa"/>
            <w:tcBorders>
              <w:bottom w:val="single" w:sz="8" w:space="0" w:color="000000"/>
              <w:right w:val="single" w:sz="8" w:space="0" w:color="000000"/>
            </w:tcBorders>
            <w:tcMar>
              <w:top w:w="0" w:type="dxa"/>
              <w:left w:w="100" w:type="dxa"/>
              <w:bottom w:w="0" w:type="dxa"/>
              <w:right w:w="100" w:type="dxa"/>
            </w:tcMar>
          </w:tcPr>
          <w:p w14:paraId="3130E8D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Дани</w:t>
            </w:r>
          </w:p>
        </w:tc>
        <w:tc>
          <w:tcPr>
            <w:tcW w:w="1517" w:type="dxa"/>
            <w:tcBorders>
              <w:bottom w:val="single" w:sz="8" w:space="0" w:color="000000"/>
              <w:right w:val="single" w:sz="8" w:space="0" w:color="000000"/>
            </w:tcBorders>
            <w:tcMar>
              <w:top w:w="0" w:type="dxa"/>
              <w:left w:w="100" w:type="dxa"/>
              <w:bottom w:w="0" w:type="dxa"/>
              <w:right w:w="100" w:type="dxa"/>
            </w:tcMar>
          </w:tcPr>
          <w:p w14:paraId="3C62092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489</w:t>
            </w:r>
          </w:p>
        </w:tc>
        <w:tc>
          <w:tcPr>
            <w:tcW w:w="1182" w:type="dxa"/>
            <w:tcBorders>
              <w:bottom w:val="single" w:sz="8" w:space="0" w:color="000000"/>
              <w:right w:val="single" w:sz="8" w:space="0" w:color="000000"/>
            </w:tcBorders>
            <w:tcMar>
              <w:top w:w="0" w:type="dxa"/>
              <w:left w:w="100" w:type="dxa"/>
              <w:bottom w:w="0" w:type="dxa"/>
              <w:right w:w="100" w:type="dxa"/>
            </w:tcMar>
          </w:tcPr>
          <w:p w14:paraId="1804FC3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489</w:t>
            </w:r>
          </w:p>
        </w:tc>
        <w:tc>
          <w:tcPr>
            <w:tcW w:w="1371" w:type="dxa"/>
            <w:tcBorders>
              <w:bottom w:val="single" w:sz="8" w:space="0" w:color="000000"/>
              <w:right w:val="single" w:sz="8" w:space="0" w:color="000000"/>
            </w:tcBorders>
            <w:tcMar>
              <w:top w:w="0" w:type="dxa"/>
              <w:left w:w="100" w:type="dxa"/>
              <w:bottom w:w="0" w:type="dxa"/>
              <w:right w:w="100" w:type="dxa"/>
            </w:tcMar>
          </w:tcPr>
          <w:p w14:paraId="124CEA4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494</w:t>
            </w:r>
          </w:p>
        </w:tc>
        <w:tc>
          <w:tcPr>
            <w:tcW w:w="2247" w:type="dxa"/>
            <w:tcBorders>
              <w:bottom w:val="single" w:sz="8" w:space="0" w:color="000000"/>
              <w:right w:val="single" w:sz="8" w:space="0" w:color="000000"/>
            </w:tcBorders>
            <w:tcMar>
              <w:top w:w="0" w:type="dxa"/>
              <w:left w:w="100" w:type="dxa"/>
              <w:bottom w:w="0" w:type="dxa"/>
              <w:right w:w="100" w:type="dxa"/>
            </w:tcMar>
          </w:tcPr>
          <w:p w14:paraId="2BC3876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491</w:t>
            </w:r>
          </w:p>
        </w:tc>
      </w:tr>
      <w:tr w:rsidR="000A6E31" w:rsidRPr="00EC102E" w14:paraId="7367D119"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BF4FD4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19</w:t>
            </w:r>
          </w:p>
        </w:tc>
        <w:tc>
          <w:tcPr>
            <w:tcW w:w="1765" w:type="dxa"/>
            <w:tcBorders>
              <w:bottom w:val="single" w:sz="8" w:space="0" w:color="000000"/>
              <w:right w:val="single" w:sz="8" w:space="0" w:color="000000"/>
            </w:tcBorders>
            <w:tcMar>
              <w:top w:w="0" w:type="dxa"/>
              <w:left w:w="100" w:type="dxa"/>
              <w:bottom w:w="0" w:type="dxa"/>
              <w:right w:w="100" w:type="dxa"/>
            </w:tcMar>
          </w:tcPr>
          <w:p w14:paraId="50A65A0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Швед</w:t>
            </w:r>
          </w:p>
        </w:tc>
        <w:tc>
          <w:tcPr>
            <w:tcW w:w="1517" w:type="dxa"/>
            <w:tcBorders>
              <w:bottom w:val="single" w:sz="8" w:space="0" w:color="000000"/>
              <w:right w:val="single" w:sz="8" w:space="0" w:color="000000"/>
            </w:tcBorders>
            <w:tcMar>
              <w:top w:w="0" w:type="dxa"/>
              <w:left w:w="100" w:type="dxa"/>
              <w:bottom w:w="0" w:type="dxa"/>
              <w:right w:w="100" w:type="dxa"/>
            </w:tcMar>
          </w:tcPr>
          <w:p w14:paraId="18D7827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475</w:t>
            </w:r>
          </w:p>
        </w:tc>
        <w:tc>
          <w:tcPr>
            <w:tcW w:w="1182" w:type="dxa"/>
            <w:tcBorders>
              <w:bottom w:val="single" w:sz="8" w:space="0" w:color="000000"/>
              <w:right w:val="single" w:sz="8" w:space="0" w:color="000000"/>
            </w:tcBorders>
            <w:tcMar>
              <w:top w:w="0" w:type="dxa"/>
              <w:left w:w="100" w:type="dxa"/>
              <w:bottom w:w="0" w:type="dxa"/>
              <w:right w:w="100" w:type="dxa"/>
            </w:tcMar>
          </w:tcPr>
          <w:p w14:paraId="1EB538F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496</w:t>
            </w:r>
          </w:p>
        </w:tc>
        <w:tc>
          <w:tcPr>
            <w:tcW w:w="1371" w:type="dxa"/>
            <w:tcBorders>
              <w:bottom w:val="single" w:sz="8" w:space="0" w:color="000000"/>
              <w:right w:val="single" w:sz="8" w:space="0" w:color="000000"/>
            </w:tcBorders>
            <w:tcMar>
              <w:top w:w="0" w:type="dxa"/>
              <w:left w:w="100" w:type="dxa"/>
              <w:bottom w:w="0" w:type="dxa"/>
              <w:right w:w="100" w:type="dxa"/>
            </w:tcMar>
          </w:tcPr>
          <w:p w14:paraId="29565F5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499</w:t>
            </w:r>
          </w:p>
        </w:tc>
        <w:tc>
          <w:tcPr>
            <w:tcW w:w="2247" w:type="dxa"/>
            <w:tcBorders>
              <w:bottom w:val="single" w:sz="8" w:space="0" w:color="000000"/>
              <w:right w:val="single" w:sz="8" w:space="0" w:color="000000"/>
            </w:tcBorders>
            <w:tcMar>
              <w:top w:w="0" w:type="dxa"/>
              <w:left w:w="100" w:type="dxa"/>
              <w:bottom w:w="0" w:type="dxa"/>
              <w:right w:w="100" w:type="dxa"/>
            </w:tcMar>
          </w:tcPr>
          <w:p w14:paraId="7194C57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490</w:t>
            </w:r>
          </w:p>
        </w:tc>
      </w:tr>
      <w:tr w:rsidR="000A6E31" w:rsidRPr="00EC102E" w14:paraId="4C510822"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70CDA3E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33</w:t>
            </w:r>
          </w:p>
        </w:tc>
        <w:tc>
          <w:tcPr>
            <w:tcW w:w="1765" w:type="dxa"/>
            <w:tcBorders>
              <w:bottom w:val="single" w:sz="8" w:space="0" w:color="000000"/>
              <w:right w:val="single" w:sz="8" w:space="0" w:color="000000"/>
            </w:tcBorders>
            <w:tcMar>
              <w:top w:w="0" w:type="dxa"/>
              <w:left w:w="100" w:type="dxa"/>
              <w:bottom w:w="0" w:type="dxa"/>
              <w:right w:w="100" w:type="dxa"/>
            </w:tcMar>
          </w:tcPr>
          <w:p w14:paraId="1C154CC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Норвеги</w:t>
            </w:r>
          </w:p>
        </w:tc>
        <w:tc>
          <w:tcPr>
            <w:tcW w:w="1517" w:type="dxa"/>
            <w:tcBorders>
              <w:bottom w:val="single" w:sz="8" w:space="0" w:color="000000"/>
              <w:right w:val="single" w:sz="8" w:space="0" w:color="000000"/>
            </w:tcBorders>
            <w:tcMar>
              <w:top w:w="0" w:type="dxa"/>
              <w:left w:w="100" w:type="dxa"/>
              <w:bottom w:w="0" w:type="dxa"/>
              <w:right w:w="100" w:type="dxa"/>
            </w:tcMar>
          </w:tcPr>
          <w:p w14:paraId="782E436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468</w:t>
            </w:r>
          </w:p>
        </w:tc>
        <w:tc>
          <w:tcPr>
            <w:tcW w:w="1182" w:type="dxa"/>
            <w:tcBorders>
              <w:bottom w:val="single" w:sz="8" w:space="0" w:color="000000"/>
              <w:right w:val="single" w:sz="8" w:space="0" w:color="000000"/>
            </w:tcBorders>
            <w:tcMar>
              <w:top w:w="0" w:type="dxa"/>
              <w:left w:w="100" w:type="dxa"/>
              <w:bottom w:w="0" w:type="dxa"/>
              <w:right w:w="100" w:type="dxa"/>
            </w:tcMar>
          </w:tcPr>
          <w:p w14:paraId="21DBD41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477</w:t>
            </w:r>
          </w:p>
        </w:tc>
        <w:tc>
          <w:tcPr>
            <w:tcW w:w="1371" w:type="dxa"/>
            <w:tcBorders>
              <w:bottom w:val="single" w:sz="8" w:space="0" w:color="000000"/>
              <w:right w:val="single" w:sz="8" w:space="0" w:color="000000"/>
            </w:tcBorders>
            <w:tcMar>
              <w:top w:w="0" w:type="dxa"/>
              <w:left w:w="100" w:type="dxa"/>
              <w:bottom w:w="0" w:type="dxa"/>
              <w:right w:w="100" w:type="dxa"/>
            </w:tcMar>
          </w:tcPr>
          <w:p w14:paraId="0963D63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478</w:t>
            </w:r>
          </w:p>
        </w:tc>
        <w:tc>
          <w:tcPr>
            <w:tcW w:w="2247" w:type="dxa"/>
            <w:tcBorders>
              <w:bottom w:val="single" w:sz="8" w:space="0" w:color="000000"/>
              <w:right w:val="single" w:sz="8" w:space="0" w:color="000000"/>
            </w:tcBorders>
            <w:tcMar>
              <w:top w:w="0" w:type="dxa"/>
              <w:left w:w="100" w:type="dxa"/>
              <w:bottom w:w="0" w:type="dxa"/>
              <w:right w:w="100" w:type="dxa"/>
            </w:tcMar>
          </w:tcPr>
          <w:p w14:paraId="561DB26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474</w:t>
            </w:r>
          </w:p>
        </w:tc>
      </w:tr>
      <w:tr w:rsidR="000A6E31" w:rsidRPr="00EC102E" w14:paraId="0394D720"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B1D27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51</w:t>
            </w:r>
          </w:p>
        </w:tc>
        <w:tc>
          <w:tcPr>
            <w:tcW w:w="1765" w:type="dxa"/>
            <w:tcBorders>
              <w:bottom w:val="single" w:sz="8" w:space="0" w:color="000000"/>
              <w:right w:val="single" w:sz="8" w:space="0" w:color="000000"/>
            </w:tcBorders>
            <w:tcMar>
              <w:top w:w="0" w:type="dxa"/>
              <w:left w:w="100" w:type="dxa"/>
              <w:bottom w:w="0" w:type="dxa"/>
              <w:right w:w="100" w:type="dxa"/>
            </w:tcMar>
          </w:tcPr>
          <w:p w14:paraId="4FE448C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Казахстан</w:t>
            </w:r>
          </w:p>
        </w:tc>
        <w:tc>
          <w:tcPr>
            <w:tcW w:w="1517" w:type="dxa"/>
            <w:tcBorders>
              <w:bottom w:val="single" w:sz="8" w:space="0" w:color="000000"/>
              <w:right w:val="single" w:sz="8" w:space="0" w:color="000000"/>
            </w:tcBorders>
            <w:tcMar>
              <w:top w:w="0" w:type="dxa"/>
              <w:left w:w="100" w:type="dxa"/>
              <w:bottom w:w="0" w:type="dxa"/>
              <w:right w:w="100" w:type="dxa"/>
            </w:tcMar>
          </w:tcPr>
          <w:p w14:paraId="03C96F9D"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425</w:t>
            </w:r>
          </w:p>
        </w:tc>
        <w:tc>
          <w:tcPr>
            <w:tcW w:w="1182" w:type="dxa"/>
            <w:tcBorders>
              <w:bottom w:val="single" w:sz="8" w:space="0" w:color="000000"/>
              <w:right w:val="single" w:sz="8" w:space="0" w:color="000000"/>
            </w:tcBorders>
            <w:tcMar>
              <w:top w:w="0" w:type="dxa"/>
              <w:left w:w="100" w:type="dxa"/>
              <w:bottom w:w="0" w:type="dxa"/>
              <w:right w:w="100" w:type="dxa"/>
            </w:tcMar>
          </w:tcPr>
          <w:p w14:paraId="61CB81AC"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386</w:t>
            </w:r>
          </w:p>
        </w:tc>
        <w:tc>
          <w:tcPr>
            <w:tcW w:w="1371" w:type="dxa"/>
            <w:tcBorders>
              <w:bottom w:val="single" w:sz="8" w:space="0" w:color="000000"/>
              <w:right w:val="single" w:sz="8" w:space="0" w:color="000000"/>
            </w:tcBorders>
            <w:tcMar>
              <w:top w:w="0" w:type="dxa"/>
              <w:left w:w="100" w:type="dxa"/>
              <w:bottom w:w="0" w:type="dxa"/>
              <w:right w:w="100" w:type="dxa"/>
            </w:tcMar>
          </w:tcPr>
          <w:p w14:paraId="573A80B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423</w:t>
            </w:r>
          </w:p>
        </w:tc>
        <w:tc>
          <w:tcPr>
            <w:tcW w:w="2247" w:type="dxa"/>
            <w:tcBorders>
              <w:bottom w:val="single" w:sz="8" w:space="0" w:color="000000"/>
              <w:right w:val="single" w:sz="8" w:space="0" w:color="000000"/>
            </w:tcBorders>
            <w:tcMar>
              <w:top w:w="0" w:type="dxa"/>
              <w:left w:w="100" w:type="dxa"/>
              <w:bottom w:w="0" w:type="dxa"/>
              <w:right w:w="100" w:type="dxa"/>
            </w:tcMar>
          </w:tcPr>
          <w:p w14:paraId="7A68050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411</w:t>
            </w:r>
          </w:p>
        </w:tc>
      </w:tr>
      <w:tr w:rsidR="000A6E31" w:rsidRPr="00EC102E" w14:paraId="77F544CE" w14:textId="77777777">
        <w:trPr>
          <w:trHeight w:val="285"/>
        </w:trPr>
        <w:tc>
          <w:tcPr>
            <w:tcW w:w="554" w:type="dxa"/>
            <w:tcBorders>
              <w:left w:val="single" w:sz="8" w:space="0" w:color="000000"/>
              <w:bottom w:val="single" w:sz="8" w:space="0" w:color="000000"/>
              <w:right w:val="single" w:sz="8" w:space="0" w:color="000000"/>
            </w:tcBorders>
            <w:tcMar>
              <w:top w:w="0" w:type="dxa"/>
              <w:left w:w="100" w:type="dxa"/>
              <w:bottom w:w="0" w:type="dxa"/>
              <w:right w:w="100" w:type="dxa"/>
            </w:tcMar>
          </w:tcPr>
          <w:p w14:paraId="000D9F8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53</w:t>
            </w:r>
          </w:p>
        </w:tc>
        <w:tc>
          <w:tcPr>
            <w:tcW w:w="1765" w:type="dxa"/>
            <w:tcBorders>
              <w:bottom w:val="single" w:sz="8" w:space="0" w:color="000000"/>
              <w:right w:val="single" w:sz="8" w:space="0" w:color="000000"/>
            </w:tcBorders>
            <w:tcMar>
              <w:top w:w="0" w:type="dxa"/>
              <w:left w:w="100" w:type="dxa"/>
              <w:bottom w:w="0" w:type="dxa"/>
              <w:right w:w="100" w:type="dxa"/>
            </w:tcMar>
          </w:tcPr>
          <w:p w14:paraId="25AC9FCF"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Монгол Улс</w:t>
            </w:r>
          </w:p>
        </w:tc>
        <w:tc>
          <w:tcPr>
            <w:tcW w:w="1517" w:type="dxa"/>
            <w:tcBorders>
              <w:bottom w:val="single" w:sz="8" w:space="0" w:color="000000"/>
              <w:right w:val="single" w:sz="8" w:space="0" w:color="000000"/>
            </w:tcBorders>
            <w:tcMar>
              <w:top w:w="0" w:type="dxa"/>
              <w:left w:w="100" w:type="dxa"/>
              <w:bottom w:w="0" w:type="dxa"/>
              <w:right w:w="100" w:type="dxa"/>
            </w:tcMar>
          </w:tcPr>
          <w:p w14:paraId="6A7B856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425</w:t>
            </w:r>
          </w:p>
        </w:tc>
        <w:tc>
          <w:tcPr>
            <w:tcW w:w="1182" w:type="dxa"/>
            <w:tcBorders>
              <w:bottom w:val="single" w:sz="8" w:space="0" w:color="000000"/>
              <w:right w:val="single" w:sz="8" w:space="0" w:color="000000"/>
            </w:tcBorders>
            <w:tcMar>
              <w:top w:w="0" w:type="dxa"/>
              <w:left w:w="100" w:type="dxa"/>
              <w:bottom w:w="0" w:type="dxa"/>
              <w:right w:w="100" w:type="dxa"/>
            </w:tcMar>
          </w:tcPr>
          <w:p w14:paraId="1FBA2A5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378</w:t>
            </w:r>
          </w:p>
        </w:tc>
        <w:tc>
          <w:tcPr>
            <w:tcW w:w="1371" w:type="dxa"/>
            <w:tcBorders>
              <w:bottom w:val="single" w:sz="8" w:space="0" w:color="000000"/>
              <w:right w:val="single" w:sz="8" w:space="0" w:color="000000"/>
            </w:tcBorders>
            <w:tcMar>
              <w:top w:w="0" w:type="dxa"/>
              <w:left w:w="100" w:type="dxa"/>
              <w:bottom w:w="0" w:type="dxa"/>
              <w:right w:w="100" w:type="dxa"/>
            </w:tcMar>
          </w:tcPr>
          <w:p w14:paraId="43F74EF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412</w:t>
            </w:r>
          </w:p>
        </w:tc>
        <w:tc>
          <w:tcPr>
            <w:tcW w:w="2247" w:type="dxa"/>
            <w:tcBorders>
              <w:bottom w:val="single" w:sz="8" w:space="0" w:color="000000"/>
              <w:right w:val="single" w:sz="8" w:space="0" w:color="000000"/>
            </w:tcBorders>
            <w:tcMar>
              <w:top w:w="0" w:type="dxa"/>
              <w:left w:w="100" w:type="dxa"/>
              <w:bottom w:w="0" w:type="dxa"/>
              <w:right w:w="100" w:type="dxa"/>
            </w:tcMar>
          </w:tcPr>
          <w:p w14:paraId="019CD07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405</w:t>
            </w:r>
          </w:p>
        </w:tc>
      </w:tr>
    </w:tbl>
    <w:p w14:paraId="175D972A" w14:textId="77777777" w:rsidR="000A6E31" w:rsidRPr="00EC102E" w:rsidRDefault="00DF52AE">
      <w:pPr>
        <w:spacing w:after="0" w:line="240" w:lineRule="auto"/>
        <w:jc w:val="right"/>
        <w:rPr>
          <w:rFonts w:ascii="Arial" w:eastAsia="Arial" w:hAnsi="Arial" w:cs="Arial"/>
          <w:i/>
          <w:sz w:val="24"/>
          <w:szCs w:val="24"/>
          <w:lang w:val="mn-MN"/>
        </w:rPr>
      </w:pPr>
      <w:r w:rsidRPr="00EC102E">
        <w:rPr>
          <w:rFonts w:ascii="Arial" w:eastAsia="Arial" w:hAnsi="Arial" w:cs="Arial"/>
          <w:sz w:val="24"/>
          <w:szCs w:val="24"/>
          <w:lang w:val="mn-MN"/>
        </w:rPr>
        <w:t xml:space="preserve"> </w:t>
      </w:r>
      <w:r w:rsidRPr="00EC102E">
        <w:rPr>
          <w:rFonts w:ascii="Arial" w:eastAsia="Arial" w:hAnsi="Arial" w:cs="Arial"/>
          <w:i/>
          <w:sz w:val="24"/>
          <w:szCs w:val="24"/>
          <w:lang w:val="mn-MN"/>
        </w:rPr>
        <w:t>Эх сурвалж: ЭЗХАХБ, 2022 оны PISA тайлан</w:t>
      </w:r>
    </w:p>
    <w:p w14:paraId="7C7CDCBA" w14:textId="77777777" w:rsidR="000A6E31" w:rsidRPr="00EC102E" w:rsidRDefault="000A6E31">
      <w:pPr>
        <w:spacing w:after="0" w:line="240" w:lineRule="auto"/>
        <w:jc w:val="both"/>
        <w:rPr>
          <w:rFonts w:ascii="Arial" w:eastAsia="Arial" w:hAnsi="Arial" w:cs="Arial"/>
          <w:sz w:val="24"/>
          <w:szCs w:val="24"/>
          <w:lang w:val="mn-MN"/>
        </w:rPr>
      </w:pPr>
    </w:p>
    <w:p w14:paraId="5D2CCDCB" w14:textId="1D42AC89"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OECD-ийн дунджаас 18 улс 3 үзүүлэлт тус бүрээр дээгүүр үнэлгээтэй байгаа бөгөөд Монгол </w:t>
      </w:r>
      <w:r w:rsidR="009406F5">
        <w:rPr>
          <w:rFonts w:ascii="Arial" w:eastAsia="Arial" w:hAnsi="Arial" w:cs="Arial"/>
          <w:sz w:val="24"/>
          <w:szCs w:val="24"/>
          <w:lang w:val="mn-MN"/>
        </w:rPr>
        <w:t>У</w:t>
      </w:r>
      <w:r w:rsidRPr="00EC102E">
        <w:rPr>
          <w:rFonts w:ascii="Arial" w:eastAsia="Arial" w:hAnsi="Arial" w:cs="Arial"/>
          <w:sz w:val="24"/>
          <w:szCs w:val="24"/>
          <w:lang w:val="mn-MN"/>
        </w:rPr>
        <w:t>лс дунджаас доогуур үнэлгээтэй байна. Казахстан улс 2018 оны үзүүлэлтээс өссөн үзүүлэлтэй байна (математикаар 2018 онд 54-т жагссан бол 2022 онд 47-д, уран зохиолоор 2018 онд 61-т жагссан бол 2022 онд 61-д, ШУ-наар 2018 онд 69-т жагссан бол 2022 онд 49-д жагссан байна).</w:t>
      </w:r>
    </w:p>
    <w:p w14:paraId="1ADFD943"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Үүнээс өндөр үзүүлэлттэй болон үндэсний баялгийн сантай зэрэг шалгуураар сонгон Сингапур, Эстони, Норвеги, Казакстан зэрэг улсыг нарийвчлан судлав. Мөн хувийн хэвшилтэй хамтын ажиллагааг дэмжих эрх зүйн орчин бүрдсэн байдлыг харгалзан тусгав. </w:t>
      </w:r>
    </w:p>
    <w:p w14:paraId="189EA42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 </w:t>
      </w:r>
    </w:p>
    <w:p w14:paraId="190B2FBA" w14:textId="4D6AD2A6"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2023 онд Хүний хөгжлийн индексээр Монгол </w:t>
      </w:r>
      <w:r w:rsidR="00FC2CE6">
        <w:rPr>
          <w:rFonts w:ascii="Arial" w:eastAsia="Arial" w:hAnsi="Arial" w:cs="Arial"/>
          <w:sz w:val="24"/>
          <w:szCs w:val="24"/>
          <w:lang w:val="mn-MN"/>
        </w:rPr>
        <w:t>У</w:t>
      </w:r>
      <w:r w:rsidRPr="00EC102E">
        <w:rPr>
          <w:rFonts w:ascii="Arial" w:eastAsia="Arial" w:hAnsi="Arial" w:cs="Arial"/>
          <w:sz w:val="24"/>
          <w:szCs w:val="24"/>
          <w:lang w:val="mn-MN"/>
        </w:rPr>
        <w:t>лс улс 193 улсаас 104-т жагссан байна.</w:t>
      </w:r>
    </w:p>
    <w:p w14:paraId="5D32ACB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 </w:t>
      </w:r>
    </w:p>
    <w:tbl>
      <w:tblPr>
        <w:tblStyle w:val="a4"/>
        <w:tblW w:w="8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0"/>
        <w:gridCol w:w="1335"/>
        <w:gridCol w:w="795"/>
        <w:gridCol w:w="1230"/>
        <w:gridCol w:w="1020"/>
        <w:gridCol w:w="1350"/>
        <w:gridCol w:w="825"/>
        <w:gridCol w:w="1335"/>
      </w:tblGrid>
      <w:tr w:rsidR="000A6E31" w:rsidRPr="00EC102E" w14:paraId="07881F29" w14:textId="77777777">
        <w:trPr>
          <w:trHeight w:val="555"/>
        </w:trPr>
        <w:tc>
          <w:tcPr>
            <w:tcW w:w="1050" w:type="dxa"/>
            <w:tcBorders>
              <w:top w:val="single" w:sz="8" w:space="0" w:color="000000"/>
              <w:left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7C18C085"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Улсын код</w:t>
            </w:r>
          </w:p>
        </w:tc>
        <w:tc>
          <w:tcPr>
            <w:tcW w:w="1335"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5C9E9890"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Улс</w:t>
            </w:r>
          </w:p>
        </w:tc>
        <w:tc>
          <w:tcPr>
            <w:tcW w:w="795"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4B4FBC08"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Байр</w:t>
            </w:r>
          </w:p>
        </w:tc>
        <w:tc>
          <w:tcPr>
            <w:tcW w:w="1230"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4CED5214"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Үзүүлэлт</w:t>
            </w:r>
          </w:p>
        </w:tc>
        <w:tc>
          <w:tcPr>
            <w:tcW w:w="1020"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47729492"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Улсын код</w:t>
            </w:r>
          </w:p>
        </w:tc>
        <w:tc>
          <w:tcPr>
            <w:tcW w:w="1350"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11BA6D93"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Улс</w:t>
            </w:r>
          </w:p>
        </w:tc>
        <w:tc>
          <w:tcPr>
            <w:tcW w:w="825"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380A4D49"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Байр</w:t>
            </w:r>
          </w:p>
        </w:tc>
        <w:tc>
          <w:tcPr>
            <w:tcW w:w="1335" w:type="dxa"/>
            <w:tcBorders>
              <w:top w:val="single" w:sz="8" w:space="0" w:color="000000"/>
              <w:bottom w:val="single" w:sz="8" w:space="0" w:color="000000"/>
              <w:right w:val="single" w:sz="8" w:space="0" w:color="000000"/>
            </w:tcBorders>
            <w:shd w:val="clear" w:color="auto" w:fill="4F81BD"/>
            <w:tcMar>
              <w:top w:w="0" w:type="dxa"/>
              <w:left w:w="100" w:type="dxa"/>
              <w:bottom w:w="0" w:type="dxa"/>
              <w:right w:w="100" w:type="dxa"/>
            </w:tcMar>
          </w:tcPr>
          <w:p w14:paraId="7E43BBCA"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Үзүүлэлт</w:t>
            </w:r>
          </w:p>
        </w:tc>
      </w:tr>
      <w:tr w:rsidR="000A6E31" w:rsidRPr="00EC102E" w14:paraId="5C9987E6" w14:textId="77777777">
        <w:trPr>
          <w:trHeight w:val="55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C20153B"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ISL</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5DB27C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Исланд</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0392426F"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w:t>
            </w:r>
          </w:p>
        </w:tc>
        <w:tc>
          <w:tcPr>
            <w:tcW w:w="1230" w:type="dxa"/>
            <w:tcBorders>
              <w:bottom w:val="single" w:sz="8" w:space="0" w:color="000000"/>
              <w:right w:val="single" w:sz="8" w:space="0" w:color="000000"/>
            </w:tcBorders>
            <w:tcMar>
              <w:top w:w="0" w:type="dxa"/>
              <w:left w:w="100" w:type="dxa"/>
              <w:bottom w:w="0" w:type="dxa"/>
              <w:right w:w="100" w:type="dxa"/>
            </w:tcMar>
          </w:tcPr>
          <w:p w14:paraId="1D0B4BD5"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0.972</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5568E3FF"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GBR</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33FFA1A0"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Их Британи</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70E857DB"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13</w:t>
            </w:r>
          </w:p>
        </w:tc>
        <w:tc>
          <w:tcPr>
            <w:tcW w:w="1335" w:type="dxa"/>
            <w:tcBorders>
              <w:bottom w:val="single" w:sz="8" w:space="0" w:color="000000"/>
              <w:right w:val="single" w:sz="8" w:space="0" w:color="000000"/>
            </w:tcBorders>
            <w:tcMar>
              <w:top w:w="0" w:type="dxa"/>
              <w:left w:w="100" w:type="dxa"/>
              <w:bottom w:w="0" w:type="dxa"/>
              <w:right w:w="100" w:type="dxa"/>
            </w:tcMar>
          </w:tcPr>
          <w:p w14:paraId="1C7F598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0.946</w:t>
            </w:r>
          </w:p>
        </w:tc>
      </w:tr>
      <w:tr w:rsidR="000A6E31" w:rsidRPr="00EC102E" w14:paraId="67173E43"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8FF5AD3"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CHE</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74C031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Швейцарь</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4A1EF978"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2</w:t>
            </w:r>
          </w:p>
        </w:tc>
        <w:tc>
          <w:tcPr>
            <w:tcW w:w="1230" w:type="dxa"/>
            <w:tcBorders>
              <w:bottom w:val="single" w:sz="8" w:space="0" w:color="000000"/>
              <w:right w:val="single" w:sz="8" w:space="0" w:color="000000"/>
            </w:tcBorders>
            <w:tcMar>
              <w:top w:w="0" w:type="dxa"/>
              <w:left w:w="100" w:type="dxa"/>
              <w:bottom w:w="0" w:type="dxa"/>
              <w:right w:w="100" w:type="dxa"/>
            </w:tcMar>
          </w:tcPr>
          <w:p w14:paraId="21555D51"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0.97</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62E9B567"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SGP</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3AE12D79"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Сингапур</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6B9A5ADD"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13</w:t>
            </w:r>
          </w:p>
        </w:tc>
        <w:tc>
          <w:tcPr>
            <w:tcW w:w="1335" w:type="dxa"/>
            <w:tcBorders>
              <w:bottom w:val="single" w:sz="8" w:space="0" w:color="000000"/>
              <w:right w:val="single" w:sz="8" w:space="0" w:color="000000"/>
            </w:tcBorders>
            <w:tcMar>
              <w:top w:w="0" w:type="dxa"/>
              <w:left w:w="100" w:type="dxa"/>
              <w:bottom w:w="0" w:type="dxa"/>
              <w:right w:w="100" w:type="dxa"/>
            </w:tcMar>
          </w:tcPr>
          <w:p w14:paraId="1B9CBD4F"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0.946</w:t>
            </w:r>
          </w:p>
        </w:tc>
      </w:tr>
      <w:tr w:rsidR="000A6E31" w:rsidRPr="00EC102E" w14:paraId="723B5C28" w14:textId="77777777">
        <w:trPr>
          <w:trHeight w:val="55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1BC83E2"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NOR</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381C2C06"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Норвеги</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2BD1C17E"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2</w:t>
            </w:r>
          </w:p>
        </w:tc>
        <w:tc>
          <w:tcPr>
            <w:tcW w:w="1230" w:type="dxa"/>
            <w:tcBorders>
              <w:bottom w:val="single" w:sz="8" w:space="0" w:color="000000"/>
              <w:right w:val="single" w:sz="8" w:space="0" w:color="000000"/>
            </w:tcBorders>
            <w:tcMar>
              <w:top w:w="0" w:type="dxa"/>
              <w:left w:w="100" w:type="dxa"/>
              <w:bottom w:w="0" w:type="dxa"/>
              <w:right w:w="100" w:type="dxa"/>
            </w:tcMar>
          </w:tcPr>
          <w:p w14:paraId="28F8CB0D"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0.97</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6B92881D"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ARE</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6F7CAAEE"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Арабын Нэгдсэн Эмират улс</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1CB669F8"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15</w:t>
            </w:r>
          </w:p>
        </w:tc>
        <w:tc>
          <w:tcPr>
            <w:tcW w:w="1335" w:type="dxa"/>
            <w:tcBorders>
              <w:bottom w:val="single" w:sz="8" w:space="0" w:color="000000"/>
              <w:right w:val="single" w:sz="8" w:space="0" w:color="000000"/>
            </w:tcBorders>
            <w:tcMar>
              <w:top w:w="0" w:type="dxa"/>
              <w:left w:w="100" w:type="dxa"/>
              <w:bottom w:w="0" w:type="dxa"/>
              <w:right w:w="100" w:type="dxa"/>
            </w:tcMar>
          </w:tcPr>
          <w:p w14:paraId="1D0C0C2A"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0.94</w:t>
            </w:r>
          </w:p>
        </w:tc>
      </w:tr>
      <w:tr w:rsidR="000A6E31" w:rsidRPr="00EC102E" w14:paraId="64B38651"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A4B4D82"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DNK</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65E9727B"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Дани</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47D9B4FF"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4</w:t>
            </w:r>
          </w:p>
        </w:tc>
        <w:tc>
          <w:tcPr>
            <w:tcW w:w="1230" w:type="dxa"/>
            <w:tcBorders>
              <w:bottom w:val="single" w:sz="8" w:space="0" w:color="000000"/>
              <w:right w:val="single" w:sz="8" w:space="0" w:color="000000"/>
            </w:tcBorders>
            <w:tcMar>
              <w:top w:w="0" w:type="dxa"/>
              <w:left w:w="100" w:type="dxa"/>
              <w:bottom w:w="0" w:type="dxa"/>
              <w:right w:w="100" w:type="dxa"/>
            </w:tcMar>
          </w:tcPr>
          <w:p w14:paraId="06016C16"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0.962</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7F9C4C79"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CAN</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2A2EBEE9"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Канад</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5E5EBB59"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16</w:t>
            </w:r>
          </w:p>
        </w:tc>
        <w:tc>
          <w:tcPr>
            <w:tcW w:w="1335" w:type="dxa"/>
            <w:tcBorders>
              <w:bottom w:val="single" w:sz="8" w:space="0" w:color="000000"/>
              <w:right w:val="single" w:sz="8" w:space="0" w:color="000000"/>
            </w:tcBorders>
            <w:tcMar>
              <w:top w:w="0" w:type="dxa"/>
              <w:left w:w="100" w:type="dxa"/>
              <w:bottom w:w="0" w:type="dxa"/>
              <w:right w:w="100" w:type="dxa"/>
            </w:tcMar>
          </w:tcPr>
          <w:p w14:paraId="734622D7"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0.939</w:t>
            </w:r>
          </w:p>
        </w:tc>
      </w:tr>
      <w:tr w:rsidR="000A6E31" w:rsidRPr="00EC102E" w14:paraId="19D775BC"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634C723"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DEU</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1C8714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Герман</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41AE1897"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5</w:t>
            </w:r>
          </w:p>
        </w:tc>
        <w:tc>
          <w:tcPr>
            <w:tcW w:w="1230" w:type="dxa"/>
            <w:tcBorders>
              <w:bottom w:val="single" w:sz="8" w:space="0" w:color="000000"/>
              <w:right w:val="single" w:sz="8" w:space="0" w:color="000000"/>
            </w:tcBorders>
            <w:tcMar>
              <w:top w:w="0" w:type="dxa"/>
              <w:left w:w="100" w:type="dxa"/>
              <w:bottom w:w="0" w:type="dxa"/>
              <w:right w:w="100" w:type="dxa"/>
            </w:tcMar>
          </w:tcPr>
          <w:p w14:paraId="4EF23F5B"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0.959</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3E75727B"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LIE</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3AB5AC28"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Лихтенштейн</w:t>
            </w:r>
          </w:p>
          <w:p w14:paraId="669A3B58" w14:textId="77777777" w:rsidR="000A6E31" w:rsidRPr="00EC102E" w:rsidRDefault="000A6E31">
            <w:pPr>
              <w:spacing w:after="0" w:line="240" w:lineRule="auto"/>
              <w:ind w:left="120"/>
              <w:jc w:val="right"/>
              <w:rPr>
                <w:rFonts w:ascii="Arial" w:eastAsia="Arial" w:hAnsi="Arial" w:cs="Arial"/>
                <w:sz w:val="24"/>
                <w:szCs w:val="24"/>
                <w:lang w:val="mn-MN"/>
              </w:rPr>
            </w:pP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45E37D61"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17</w:t>
            </w:r>
          </w:p>
        </w:tc>
        <w:tc>
          <w:tcPr>
            <w:tcW w:w="1335" w:type="dxa"/>
            <w:tcBorders>
              <w:bottom w:val="single" w:sz="8" w:space="0" w:color="000000"/>
              <w:right w:val="single" w:sz="8" w:space="0" w:color="000000"/>
            </w:tcBorders>
            <w:tcMar>
              <w:top w:w="0" w:type="dxa"/>
              <w:left w:w="100" w:type="dxa"/>
              <w:bottom w:w="0" w:type="dxa"/>
              <w:right w:w="100" w:type="dxa"/>
            </w:tcMar>
          </w:tcPr>
          <w:p w14:paraId="434DC6FB"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0.938</w:t>
            </w:r>
          </w:p>
        </w:tc>
      </w:tr>
      <w:tr w:rsidR="000A6E31" w:rsidRPr="00EC102E" w14:paraId="5E7F569F"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9CC6C02"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SWE</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32588A3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Швед</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09BAC1F0"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5</w:t>
            </w:r>
          </w:p>
        </w:tc>
        <w:tc>
          <w:tcPr>
            <w:tcW w:w="1230" w:type="dxa"/>
            <w:tcBorders>
              <w:bottom w:val="single" w:sz="8" w:space="0" w:color="000000"/>
              <w:right w:val="single" w:sz="8" w:space="0" w:color="000000"/>
            </w:tcBorders>
            <w:tcMar>
              <w:top w:w="0" w:type="dxa"/>
              <w:left w:w="100" w:type="dxa"/>
              <w:bottom w:w="0" w:type="dxa"/>
              <w:right w:w="100" w:type="dxa"/>
            </w:tcMar>
          </w:tcPr>
          <w:p w14:paraId="5CAECDE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0.959</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391D2BB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NZL</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2F222847"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Шинэ Зеланд</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4C6FF2C0"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17</w:t>
            </w:r>
          </w:p>
        </w:tc>
        <w:tc>
          <w:tcPr>
            <w:tcW w:w="1335" w:type="dxa"/>
            <w:tcBorders>
              <w:bottom w:val="single" w:sz="8" w:space="0" w:color="000000"/>
              <w:right w:val="single" w:sz="8" w:space="0" w:color="000000"/>
            </w:tcBorders>
            <w:tcMar>
              <w:top w:w="0" w:type="dxa"/>
              <w:left w:w="100" w:type="dxa"/>
              <w:bottom w:w="0" w:type="dxa"/>
              <w:right w:w="100" w:type="dxa"/>
            </w:tcMar>
          </w:tcPr>
          <w:p w14:paraId="7DC08A1C"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0.938</w:t>
            </w:r>
          </w:p>
        </w:tc>
      </w:tr>
      <w:tr w:rsidR="000A6E31" w:rsidRPr="00EC102E" w14:paraId="00A2639D" w14:textId="77777777">
        <w:trPr>
          <w:trHeight w:val="55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62AF4BE"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AUS</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8FBF4D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Австрали</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04ECB174"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7</w:t>
            </w:r>
          </w:p>
        </w:tc>
        <w:tc>
          <w:tcPr>
            <w:tcW w:w="1230" w:type="dxa"/>
            <w:tcBorders>
              <w:bottom w:val="single" w:sz="8" w:space="0" w:color="000000"/>
              <w:right w:val="single" w:sz="8" w:space="0" w:color="000000"/>
            </w:tcBorders>
            <w:tcMar>
              <w:top w:w="0" w:type="dxa"/>
              <w:left w:w="100" w:type="dxa"/>
              <w:bottom w:w="0" w:type="dxa"/>
              <w:right w:w="100" w:type="dxa"/>
            </w:tcMar>
          </w:tcPr>
          <w:p w14:paraId="07605E59"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0.958</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1710407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USA</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65850D29"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АНУ</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3C56BD21"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17</w:t>
            </w:r>
          </w:p>
        </w:tc>
        <w:tc>
          <w:tcPr>
            <w:tcW w:w="1335" w:type="dxa"/>
            <w:tcBorders>
              <w:bottom w:val="single" w:sz="8" w:space="0" w:color="000000"/>
              <w:right w:val="single" w:sz="8" w:space="0" w:color="000000"/>
            </w:tcBorders>
            <w:tcMar>
              <w:top w:w="0" w:type="dxa"/>
              <w:left w:w="100" w:type="dxa"/>
              <w:bottom w:w="0" w:type="dxa"/>
              <w:right w:w="100" w:type="dxa"/>
            </w:tcMar>
          </w:tcPr>
          <w:p w14:paraId="66A26FA8"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0.938</w:t>
            </w:r>
          </w:p>
        </w:tc>
      </w:tr>
      <w:tr w:rsidR="000A6E31" w:rsidRPr="00EC102E" w14:paraId="6550A016" w14:textId="77777777">
        <w:trPr>
          <w:trHeight w:val="64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0D440DE"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HKG</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19C985C1"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Хонг Конг (Хятад)</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631CFAED"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8</w:t>
            </w:r>
          </w:p>
        </w:tc>
        <w:tc>
          <w:tcPr>
            <w:tcW w:w="1230" w:type="dxa"/>
            <w:tcBorders>
              <w:bottom w:val="single" w:sz="8" w:space="0" w:color="000000"/>
              <w:right w:val="single" w:sz="8" w:space="0" w:color="000000"/>
            </w:tcBorders>
            <w:tcMar>
              <w:top w:w="0" w:type="dxa"/>
              <w:left w:w="100" w:type="dxa"/>
              <w:bottom w:w="0" w:type="dxa"/>
              <w:right w:w="100" w:type="dxa"/>
            </w:tcMar>
          </w:tcPr>
          <w:p w14:paraId="69D350AE"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0.955</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6ACB0357"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KOR</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094C2289"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БНСУ</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48D5940C"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20</w:t>
            </w:r>
          </w:p>
        </w:tc>
        <w:tc>
          <w:tcPr>
            <w:tcW w:w="1335" w:type="dxa"/>
            <w:tcBorders>
              <w:bottom w:val="single" w:sz="8" w:space="0" w:color="000000"/>
              <w:right w:val="single" w:sz="8" w:space="0" w:color="000000"/>
            </w:tcBorders>
            <w:tcMar>
              <w:top w:w="0" w:type="dxa"/>
              <w:left w:w="100" w:type="dxa"/>
              <w:bottom w:w="0" w:type="dxa"/>
              <w:right w:w="100" w:type="dxa"/>
            </w:tcMar>
          </w:tcPr>
          <w:p w14:paraId="449D65A1"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0.937</w:t>
            </w:r>
          </w:p>
        </w:tc>
      </w:tr>
      <w:tr w:rsidR="000A6E31" w:rsidRPr="00EC102E" w14:paraId="1913CD20"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11A5A96"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NLD</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B120A3A"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Голланд</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0E1F35D4"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8</w:t>
            </w:r>
          </w:p>
        </w:tc>
        <w:tc>
          <w:tcPr>
            <w:tcW w:w="1230" w:type="dxa"/>
            <w:tcBorders>
              <w:bottom w:val="single" w:sz="8" w:space="0" w:color="000000"/>
              <w:right w:val="single" w:sz="8" w:space="0" w:color="000000"/>
            </w:tcBorders>
            <w:tcMar>
              <w:top w:w="0" w:type="dxa"/>
              <w:left w:w="100" w:type="dxa"/>
              <w:bottom w:w="0" w:type="dxa"/>
              <w:right w:w="100" w:type="dxa"/>
            </w:tcMar>
          </w:tcPr>
          <w:p w14:paraId="5E60C8ED"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0.955</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42090DCE"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EST</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70636C47"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Эстони</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313DD4D5"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36</w:t>
            </w:r>
          </w:p>
        </w:tc>
        <w:tc>
          <w:tcPr>
            <w:tcW w:w="1335" w:type="dxa"/>
            <w:tcBorders>
              <w:bottom w:val="single" w:sz="8" w:space="0" w:color="000000"/>
              <w:right w:val="single" w:sz="8" w:space="0" w:color="000000"/>
            </w:tcBorders>
            <w:tcMar>
              <w:top w:w="0" w:type="dxa"/>
              <w:left w:w="100" w:type="dxa"/>
              <w:bottom w:w="0" w:type="dxa"/>
              <w:right w:w="100" w:type="dxa"/>
            </w:tcMar>
          </w:tcPr>
          <w:p w14:paraId="2C1ABEBB"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0.905</w:t>
            </w:r>
          </w:p>
        </w:tc>
      </w:tr>
      <w:tr w:rsidR="000A6E31" w:rsidRPr="00EC102E" w14:paraId="71CB4DF1"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27B0F927"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BEL</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B530D4E"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Бельги</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4C3255C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10</w:t>
            </w:r>
          </w:p>
        </w:tc>
        <w:tc>
          <w:tcPr>
            <w:tcW w:w="1230" w:type="dxa"/>
            <w:tcBorders>
              <w:bottom w:val="single" w:sz="8" w:space="0" w:color="000000"/>
              <w:right w:val="single" w:sz="8" w:space="0" w:color="000000"/>
            </w:tcBorders>
            <w:tcMar>
              <w:top w:w="0" w:type="dxa"/>
              <w:left w:w="100" w:type="dxa"/>
              <w:bottom w:w="0" w:type="dxa"/>
              <w:right w:w="100" w:type="dxa"/>
            </w:tcMar>
          </w:tcPr>
          <w:p w14:paraId="4210C6F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0.951</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18AD1918"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KAZ</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43A865C4"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Казакстан</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2E54E4F3"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60</w:t>
            </w:r>
          </w:p>
        </w:tc>
        <w:tc>
          <w:tcPr>
            <w:tcW w:w="1335" w:type="dxa"/>
            <w:tcBorders>
              <w:bottom w:val="single" w:sz="8" w:space="0" w:color="000000"/>
              <w:right w:val="single" w:sz="8" w:space="0" w:color="000000"/>
            </w:tcBorders>
            <w:tcMar>
              <w:top w:w="0" w:type="dxa"/>
              <w:left w:w="100" w:type="dxa"/>
              <w:bottom w:w="0" w:type="dxa"/>
              <w:right w:w="100" w:type="dxa"/>
            </w:tcMar>
          </w:tcPr>
          <w:p w14:paraId="09E00277"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0.837</w:t>
            </w:r>
          </w:p>
        </w:tc>
      </w:tr>
      <w:tr w:rsidR="000A6E31" w:rsidRPr="00EC102E" w14:paraId="234FEE1C"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1F7A1807"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lastRenderedPageBreak/>
              <w:t>IRL</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29F89997"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Ирланд</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4128EF8D"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11</w:t>
            </w:r>
          </w:p>
        </w:tc>
        <w:tc>
          <w:tcPr>
            <w:tcW w:w="1230" w:type="dxa"/>
            <w:tcBorders>
              <w:bottom w:val="single" w:sz="8" w:space="0" w:color="000000"/>
              <w:right w:val="single" w:sz="8" w:space="0" w:color="000000"/>
            </w:tcBorders>
            <w:tcMar>
              <w:top w:w="0" w:type="dxa"/>
              <w:left w:w="100" w:type="dxa"/>
              <w:bottom w:w="0" w:type="dxa"/>
              <w:right w:w="100" w:type="dxa"/>
            </w:tcMar>
          </w:tcPr>
          <w:p w14:paraId="5A7AC8D1"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0.949</w:t>
            </w:r>
          </w:p>
        </w:tc>
        <w:tc>
          <w:tcPr>
            <w:tcW w:w="1020" w:type="dxa"/>
            <w:tcBorders>
              <w:bottom w:val="single" w:sz="8" w:space="0" w:color="000000"/>
              <w:right w:val="single" w:sz="8" w:space="0" w:color="000000"/>
            </w:tcBorders>
            <w:tcMar>
              <w:top w:w="0" w:type="dxa"/>
              <w:left w:w="100" w:type="dxa"/>
              <w:bottom w:w="0" w:type="dxa"/>
              <w:right w:w="100" w:type="dxa"/>
            </w:tcMar>
            <w:vAlign w:val="bottom"/>
          </w:tcPr>
          <w:p w14:paraId="3376D68A"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MNG</w:t>
            </w:r>
          </w:p>
        </w:tc>
        <w:tc>
          <w:tcPr>
            <w:tcW w:w="1350" w:type="dxa"/>
            <w:tcBorders>
              <w:bottom w:val="single" w:sz="8" w:space="0" w:color="000000"/>
              <w:right w:val="single" w:sz="8" w:space="0" w:color="000000"/>
            </w:tcBorders>
            <w:tcMar>
              <w:top w:w="0" w:type="dxa"/>
              <w:left w:w="100" w:type="dxa"/>
              <w:bottom w:w="0" w:type="dxa"/>
              <w:right w:w="100" w:type="dxa"/>
            </w:tcMar>
            <w:vAlign w:val="bottom"/>
          </w:tcPr>
          <w:p w14:paraId="71113316" w14:textId="77777777" w:rsidR="000A6E31" w:rsidRPr="00EC102E" w:rsidRDefault="00DF52AE">
            <w:pPr>
              <w:spacing w:after="0" w:line="240" w:lineRule="auto"/>
              <w:rPr>
                <w:rFonts w:ascii="Arial" w:eastAsia="Arial" w:hAnsi="Arial" w:cs="Arial"/>
                <w:sz w:val="24"/>
                <w:szCs w:val="24"/>
                <w:lang w:val="mn-MN"/>
              </w:rPr>
            </w:pPr>
            <w:r w:rsidRPr="00EC102E">
              <w:rPr>
                <w:rFonts w:ascii="Arial" w:eastAsia="Arial" w:hAnsi="Arial" w:cs="Arial"/>
                <w:sz w:val="24"/>
                <w:szCs w:val="24"/>
                <w:lang w:val="mn-MN"/>
              </w:rPr>
              <w:t>Монгол</w:t>
            </w:r>
          </w:p>
        </w:tc>
        <w:tc>
          <w:tcPr>
            <w:tcW w:w="825" w:type="dxa"/>
            <w:tcBorders>
              <w:bottom w:val="single" w:sz="8" w:space="0" w:color="000000"/>
              <w:right w:val="single" w:sz="8" w:space="0" w:color="000000"/>
            </w:tcBorders>
            <w:tcMar>
              <w:top w:w="0" w:type="dxa"/>
              <w:left w:w="100" w:type="dxa"/>
              <w:bottom w:w="0" w:type="dxa"/>
              <w:right w:w="100" w:type="dxa"/>
            </w:tcMar>
            <w:vAlign w:val="bottom"/>
          </w:tcPr>
          <w:p w14:paraId="3BE1D3B8"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104</w:t>
            </w:r>
          </w:p>
        </w:tc>
        <w:tc>
          <w:tcPr>
            <w:tcW w:w="1335" w:type="dxa"/>
            <w:tcBorders>
              <w:bottom w:val="single" w:sz="8" w:space="0" w:color="000000"/>
              <w:right w:val="single" w:sz="8" w:space="0" w:color="000000"/>
            </w:tcBorders>
            <w:tcMar>
              <w:top w:w="0" w:type="dxa"/>
              <w:left w:w="100" w:type="dxa"/>
              <w:bottom w:w="0" w:type="dxa"/>
              <w:right w:w="100" w:type="dxa"/>
            </w:tcMar>
          </w:tcPr>
          <w:p w14:paraId="61841614"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0.747</w:t>
            </w:r>
          </w:p>
        </w:tc>
      </w:tr>
      <w:tr w:rsidR="000A6E31" w:rsidRPr="00EC102E" w14:paraId="6D1DEB03" w14:textId="77777777">
        <w:trPr>
          <w:trHeight w:val="315"/>
        </w:trPr>
        <w:tc>
          <w:tcPr>
            <w:tcW w:w="105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4C6E70C7" w14:textId="77777777" w:rsidR="000A6E31" w:rsidRPr="00EC102E" w:rsidRDefault="00DF52AE">
            <w:pPr>
              <w:spacing w:after="0" w:line="240" w:lineRule="auto"/>
              <w:ind w:left="120"/>
              <w:jc w:val="both"/>
              <w:rPr>
                <w:rFonts w:ascii="Arial" w:eastAsia="Arial" w:hAnsi="Arial" w:cs="Arial"/>
                <w:sz w:val="24"/>
                <w:szCs w:val="24"/>
                <w:lang w:val="mn-MN"/>
              </w:rPr>
            </w:pPr>
            <w:r w:rsidRPr="00EC102E">
              <w:rPr>
                <w:rFonts w:ascii="Arial" w:eastAsia="Arial" w:hAnsi="Arial" w:cs="Arial"/>
                <w:sz w:val="24"/>
                <w:szCs w:val="24"/>
                <w:lang w:val="mn-MN"/>
              </w:rPr>
              <w:t>FIN</w:t>
            </w:r>
          </w:p>
        </w:tc>
        <w:tc>
          <w:tcPr>
            <w:tcW w:w="1335" w:type="dxa"/>
            <w:tcBorders>
              <w:bottom w:val="single" w:sz="8" w:space="0" w:color="000000"/>
              <w:right w:val="single" w:sz="8" w:space="0" w:color="000000"/>
            </w:tcBorders>
            <w:tcMar>
              <w:top w:w="0" w:type="dxa"/>
              <w:left w:w="100" w:type="dxa"/>
              <w:bottom w:w="0" w:type="dxa"/>
              <w:right w:w="100" w:type="dxa"/>
            </w:tcMar>
            <w:vAlign w:val="bottom"/>
          </w:tcPr>
          <w:p w14:paraId="43E95C8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Финлянд</w:t>
            </w:r>
          </w:p>
        </w:tc>
        <w:tc>
          <w:tcPr>
            <w:tcW w:w="795" w:type="dxa"/>
            <w:tcBorders>
              <w:bottom w:val="single" w:sz="8" w:space="0" w:color="000000"/>
              <w:right w:val="single" w:sz="8" w:space="0" w:color="000000"/>
            </w:tcBorders>
            <w:tcMar>
              <w:top w:w="0" w:type="dxa"/>
              <w:left w:w="100" w:type="dxa"/>
              <w:bottom w:w="0" w:type="dxa"/>
              <w:right w:w="100" w:type="dxa"/>
            </w:tcMar>
            <w:vAlign w:val="bottom"/>
          </w:tcPr>
          <w:p w14:paraId="6A8EB560"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12</w:t>
            </w:r>
          </w:p>
        </w:tc>
        <w:tc>
          <w:tcPr>
            <w:tcW w:w="1230" w:type="dxa"/>
            <w:tcBorders>
              <w:bottom w:val="single" w:sz="8" w:space="0" w:color="000000"/>
              <w:right w:val="single" w:sz="8" w:space="0" w:color="000000"/>
            </w:tcBorders>
            <w:tcMar>
              <w:top w:w="0" w:type="dxa"/>
              <w:left w:w="100" w:type="dxa"/>
              <w:bottom w:w="0" w:type="dxa"/>
              <w:right w:w="100" w:type="dxa"/>
            </w:tcMar>
          </w:tcPr>
          <w:p w14:paraId="7FD10F05"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0.948</w:t>
            </w:r>
          </w:p>
        </w:tc>
        <w:tc>
          <w:tcPr>
            <w:tcW w:w="1020" w:type="dxa"/>
            <w:tcBorders>
              <w:bottom w:val="single" w:sz="8" w:space="0" w:color="000000"/>
              <w:right w:val="single" w:sz="8" w:space="0" w:color="000000"/>
            </w:tcBorders>
            <w:tcMar>
              <w:top w:w="0" w:type="dxa"/>
              <w:left w:w="100" w:type="dxa"/>
              <w:bottom w:w="0" w:type="dxa"/>
              <w:right w:w="100" w:type="dxa"/>
            </w:tcMar>
          </w:tcPr>
          <w:p w14:paraId="123A2948"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 xml:space="preserve"> </w:t>
            </w:r>
          </w:p>
        </w:tc>
        <w:tc>
          <w:tcPr>
            <w:tcW w:w="1350" w:type="dxa"/>
            <w:tcBorders>
              <w:bottom w:val="single" w:sz="8" w:space="0" w:color="000000"/>
              <w:right w:val="single" w:sz="8" w:space="0" w:color="000000"/>
            </w:tcBorders>
            <w:tcMar>
              <w:top w:w="0" w:type="dxa"/>
              <w:left w:w="100" w:type="dxa"/>
              <w:bottom w:w="0" w:type="dxa"/>
              <w:right w:w="100" w:type="dxa"/>
            </w:tcMar>
          </w:tcPr>
          <w:p w14:paraId="5C4E6960"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 xml:space="preserve"> </w:t>
            </w:r>
          </w:p>
        </w:tc>
        <w:tc>
          <w:tcPr>
            <w:tcW w:w="825" w:type="dxa"/>
            <w:tcBorders>
              <w:bottom w:val="single" w:sz="8" w:space="0" w:color="000000"/>
              <w:right w:val="single" w:sz="8" w:space="0" w:color="000000"/>
            </w:tcBorders>
            <w:tcMar>
              <w:top w:w="0" w:type="dxa"/>
              <w:left w:w="100" w:type="dxa"/>
              <w:bottom w:w="0" w:type="dxa"/>
              <w:right w:w="100" w:type="dxa"/>
            </w:tcMar>
          </w:tcPr>
          <w:p w14:paraId="472D66E2"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 xml:space="preserve"> </w:t>
            </w:r>
          </w:p>
        </w:tc>
        <w:tc>
          <w:tcPr>
            <w:tcW w:w="1335" w:type="dxa"/>
            <w:tcBorders>
              <w:bottom w:val="single" w:sz="8" w:space="0" w:color="000000"/>
              <w:right w:val="single" w:sz="8" w:space="0" w:color="000000"/>
            </w:tcBorders>
            <w:tcMar>
              <w:top w:w="0" w:type="dxa"/>
              <w:left w:w="100" w:type="dxa"/>
              <w:bottom w:w="0" w:type="dxa"/>
              <w:right w:w="100" w:type="dxa"/>
            </w:tcMar>
          </w:tcPr>
          <w:p w14:paraId="33D0D23B" w14:textId="77777777" w:rsidR="000A6E31" w:rsidRPr="00EC102E" w:rsidRDefault="00DF52AE">
            <w:pPr>
              <w:spacing w:after="0" w:line="240" w:lineRule="auto"/>
              <w:ind w:left="120"/>
              <w:jc w:val="right"/>
              <w:rPr>
                <w:rFonts w:ascii="Arial" w:eastAsia="Arial" w:hAnsi="Arial" w:cs="Arial"/>
                <w:sz w:val="24"/>
                <w:szCs w:val="24"/>
                <w:lang w:val="mn-MN"/>
              </w:rPr>
            </w:pPr>
            <w:r w:rsidRPr="00EC102E">
              <w:rPr>
                <w:rFonts w:ascii="Arial" w:eastAsia="Arial" w:hAnsi="Arial" w:cs="Arial"/>
                <w:sz w:val="24"/>
                <w:szCs w:val="24"/>
                <w:lang w:val="mn-MN"/>
              </w:rPr>
              <w:t xml:space="preserve"> </w:t>
            </w:r>
          </w:p>
        </w:tc>
      </w:tr>
    </w:tbl>
    <w:p w14:paraId="2FCDBA2B" w14:textId="77777777" w:rsidR="000A6E31" w:rsidRPr="00EC102E" w:rsidRDefault="00DF52AE">
      <w:pPr>
        <w:spacing w:after="0" w:line="240" w:lineRule="auto"/>
        <w:jc w:val="right"/>
        <w:rPr>
          <w:rFonts w:ascii="Arial" w:eastAsia="Arial" w:hAnsi="Arial" w:cs="Arial"/>
          <w:i/>
          <w:sz w:val="24"/>
          <w:szCs w:val="24"/>
          <w:lang w:val="mn-MN"/>
        </w:rPr>
      </w:pPr>
      <w:r w:rsidRPr="00EC102E">
        <w:rPr>
          <w:rFonts w:ascii="Arial" w:eastAsia="Arial" w:hAnsi="Arial" w:cs="Arial"/>
          <w:i/>
          <w:sz w:val="24"/>
          <w:szCs w:val="24"/>
          <w:lang w:val="mn-MN"/>
        </w:rPr>
        <w:t>Эх сурвалж: https://hdr.undp.org/data-center/documentation-and-downloads</w:t>
      </w:r>
    </w:p>
    <w:p w14:paraId="026BC2A4" w14:textId="77777777" w:rsidR="000A6E31" w:rsidRPr="00EC102E" w:rsidRDefault="000A6E31">
      <w:pPr>
        <w:spacing w:after="0" w:line="240" w:lineRule="auto"/>
        <w:jc w:val="both"/>
        <w:rPr>
          <w:rFonts w:ascii="Arial" w:eastAsia="Arial" w:hAnsi="Arial" w:cs="Arial"/>
          <w:sz w:val="24"/>
          <w:szCs w:val="24"/>
          <w:lang w:val="mn-MN"/>
        </w:rPr>
      </w:pPr>
    </w:p>
    <w:p w14:paraId="7B16B7D6" w14:textId="77777777" w:rsidR="000A6E31" w:rsidRPr="00EC102E" w:rsidRDefault="000A6E31">
      <w:pPr>
        <w:spacing w:after="0" w:line="240" w:lineRule="auto"/>
        <w:jc w:val="both"/>
        <w:rPr>
          <w:rFonts w:ascii="Arial" w:eastAsia="Arial" w:hAnsi="Arial" w:cs="Arial"/>
          <w:b/>
          <w:sz w:val="24"/>
          <w:szCs w:val="24"/>
          <w:lang w:val="mn-MN"/>
        </w:rPr>
      </w:pPr>
    </w:p>
    <w:p w14:paraId="319777AB" w14:textId="77777777" w:rsidR="000A6E31" w:rsidRPr="00EC102E" w:rsidRDefault="000A6E31">
      <w:pPr>
        <w:spacing w:after="0" w:line="240" w:lineRule="auto"/>
        <w:jc w:val="both"/>
        <w:rPr>
          <w:rFonts w:ascii="Arial" w:eastAsia="Arial" w:hAnsi="Arial" w:cs="Arial"/>
          <w:b/>
          <w:sz w:val="24"/>
          <w:szCs w:val="24"/>
          <w:lang w:val="mn-MN"/>
        </w:rPr>
      </w:pPr>
    </w:p>
    <w:p w14:paraId="1AD6AD52"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Сингапур</w:t>
      </w:r>
    </w:p>
    <w:p w14:paraId="38C3E03B" w14:textId="77777777" w:rsidR="000A6E31" w:rsidRPr="00EC102E" w:rsidRDefault="00DF52AE">
      <w:pPr>
        <w:spacing w:after="0" w:line="240" w:lineRule="auto"/>
        <w:jc w:val="both"/>
        <w:rPr>
          <w:rFonts w:ascii="Arial" w:eastAsia="Arial" w:hAnsi="Arial" w:cs="Arial"/>
          <w:b/>
          <w:i/>
          <w:sz w:val="24"/>
          <w:szCs w:val="24"/>
          <w:lang w:val="mn-MN"/>
        </w:rPr>
      </w:pPr>
      <w:r w:rsidRPr="00EC102E">
        <w:rPr>
          <w:rFonts w:ascii="Arial" w:eastAsia="Arial" w:hAnsi="Arial" w:cs="Arial"/>
          <w:b/>
          <w:i/>
          <w:sz w:val="24"/>
          <w:szCs w:val="24"/>
          <w:lang w:val="mn-MN"/>
        </w:rPr>
        <w:t>ХХИ- 13 (2023)</w:t>
      </w:r>
    </w:p>
    <w:p w14:paraId="4D7E0F2D" w14:textId="77777777" w:rsidR="000A6E31" w:rsidRPr="00EC102E" w:rsidRDefault="000A6E31">
      <w:pPr>
        <w:spacing w:after="0" w:line="240" w:lineRule="auto"/>
        <w:jc w:val="both"/>
        <w:rPr>
          <w:rFonts w:ascii="Arial" w:eastAsia="Arial" w:hAnsi="Arial" w:cs="Arial"/>
          <w:sz w:val="24"/>
          <w:szCs w:val="24"/>
          <w:lang w:val="mn-MN"/>
        </w:rPr>
      </w:pPr>
    </w:p>
    <w:p w14:paraId="7818FFB8" w14:textId="25671155"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Сингапур нь цогц боловсролыг онцгойлон чухалчилдаг бөгөөд хичээлээс гадуурх хөгжлийн үйл ажиллагаа (Co-curricular activities)-г сургуулиудад заавал хэрэгжүүлдэг. Боловсролын цогц хөгжилд төрөөс ихээхэн хөрөнгө оруулдаг. 2022 онд ДНБ-ийхээ 2.49 хувийг, 2023</w:t>
      </w:r>
      <w:r w:rsidR="00BE04ED">
        <w:rPr>
          <w:rFonts w:ascii="Arial" w:eastAsia="Arial" w:hAnsi="Arial" w:cs="Arial"/>
          <w:sz w:val="24"/>
          <w:szCs w:val="24"/>
          <w:lang w:val="mn-MN"/>
        </w:rPr>
        <w:t xml:space="preserve"> </w:t>
      </w:r>
      <w:r w:rsidRPr="00EC102E">
        <w:rPr>
          <w:rFonts w:ascii="Arial" w:eastAsia="Arial" w:hAnsi="Arial" w:cs="Arial"/>
          <w:sz w:val="24"/>
          <w:szCs w:val="24"/>
          <w:lang w:val="mn-MN"/>
        </w:rPr>
        <w:t>онд 2.19 хувийг, улсын төсвийн (2022) 10.07 хувийг боловсролын салбарт зарцуулсан.</w:t>
      </w:r>
    </w:p>
    <w:p w14:paraId="721735E5" w14:textId="77777777" w:rsidR="000A6E31" w:rsidRPr="00EC102E" w:rsidRDefault="000A6E31">
      <w:pPr>
        <w:spacing w:after="0" w:line="240" w:lineRule="auto"/>
        <w:ind w:firstLine="720"/>
        <w:jc w:val="both"/>
        <w:rPr>
          <w:rFonts w:ascii="Arial" w:eastAsia="Arial" w:hAnsi="Arial" w:cs="Arial"/>
          <w:sz w:val="24"/>
          <w:szCs w:val="24"/>
          <w:lang w:val="mn-MN"/>
        </w:rPr>
      </w:pPr>
    </w:p>
    <w:p w14:paraId="7F7B7C5C"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Сингапурын боловсролын систем төвлөрлөсөн тогтолцоотой. Боловсролын яамнаас олон төрлийн бодлого, хөтөлбөрийг яамны дүрэм, журмаар зохицуулдаг. Төр хувийн хэвшлийн түншлэл, сургалтын хөтөлбөрийг дэмждэг бөгөөд жишээ нь 2019 оноос хойш Боловсролын яам (MOE) нь SportSG болон Үндэсний урлагийн зөвлөл (NAC)-тэй хамтран “Стратегийн түншлэлийн хичээлээс гадуурх хөгжлийн үйл ажиллагаа” (SP-CCA) гэх төвлөрсөн, сургуулиас гадуурх сургалтын сургалтын хөтөлбөрийг хэрэгжүүлж эхэлсэн. Энэ хөтөлбөрт ерөнхий боловсролын дунд сургуулийн сурагчид спорт болон урлагийн сонирхлоо даган оролцох боломжтой.</w:t>
      </w:r>
    </w:p>
    <w:p w14:paraId="3F5EE476" w14:textId="77777777" w:rsidR="000A6E31" w:rsidRPr="00EC102E" w:rsidRDefault="000A6E31">
      <w:pPr>
        <w:spacing w:after="0" w:line="240" w:lineRule="auto"/>
        <w:jc w:val="both"/>
        <w:rPr>
          <w:rFonts w:ascii="Arial" w:eastAsia="Arial" w:hAnsi="Arial" w:cs="Arial"/>
          <w:sz w:val="24"/>
          <w:szCs w:val="24"/>
          <w:u w:val="single"/>
          <w:lang w:val="mn-MN"/>
        </w:rPr>
      </w:pPr>
    </w:p>
    <w:p w14:paraId="366F5344" w14:textId="77777777" w:rsidR="000A6E31" w:rsidRPr="00EC102E" w:rsidRDefault="00DF52AE">
      <w:pPr>
        <w:spacing w:after="0" w:line="240" w:lineRule="auto"/>
        <w:jc w:val="both"/>
        <w:rPr>
          <w:rFonts w:ascii="Arial" w:eastAsia="Arial" w:hAnsi="Arial" w:cs="Arial"/>
          <w:sz w:val="24"/>
          <w:szCs w:val="24"/>
          <w:u w:val="single"/>
          <w:lang w:val="mn-MN"/>
        </w:rPr>
      </w:pPr>
      <w:r w:rsidRPr="00EC102E">
        <w:rPr>
          <w:rFonts w:ascii="Arial" w:eastAsia="Arial" w:hAnsi="Arial" w:cs="Arial"/>
          <w:sz w:val="24"/>
          <w:szCs w:val="24"/>
          <w:u w:val="single"/>
          <w:lang w:val="mn-MN"/>
        </w:rPr>
        <w:t>Төрөөс дэмждэг гол хөтөлбөрүүд:</w:t>
      </w:r>
    </w:p>
    <w:p w14:paraId="67DA2DB8" w14:textId="77777777" w:rsidR="000A6E31" w:rsidRPr="00EC102E" w:rsidRDefault="00DF52AE">
      <w:pPr>
        <w:spacing w:after="0" w:line="240" w:lineRule="auto"/>
        <w:jc w:val="both"/>
        <w:rPr>
          <w:rFonts w:ascii="Arial" w:eastAsia="Arial" w:hAnsi="Arial" w:cs="Arial"/>
          <w:i/>
          <w:sz w:val="24"/>
          <w:szCs w:val="24"/>
          <w:lang w:val="mn-MN"/>
        </w:rPr>
      </w:pPr>
      <w:r w:rsidRPr="00EC102E">
        <w:rPr>
          <w:rFonts w:ascii="Arial" w:eastAsia="Arial" w:hAnsi="Arial" w:cs="Arial"/>
          <w:i/>
          <w:sz w:val="24"/>
          <w:szCs w:val="24"/>
          <w:lang w:val="mn-MN"/>
        </w:rPr>
        <w:t xml:space="preserve">Хичээлээс гадуурх </w:t>
      </w:r>
      <w:r w:rsidRPr="00EC102E">
        <w:rPr>
          <w:rFonts w:ascii="Arial" w:eastAsia="Arial" w:hAnsi="Arial" w:cs="Arial"/>
          <w:sz w:val="24"/>
          <w:szCs w:val="24"/>
          <w:lang w:val="mn-MN"/>
        </w:rPr>
        <w:t xml:space="preserve">хөгжлийн </w:t>
      </w:r>
      <w:r w:rsidRPr="00EC102E">
        <w:rPr>
          <w:rFonts w:ascii="Arial" w:eastAsia="Arial" w:hAnsi="Arial" w:cs="Arial"/>
          <w:i/>
          <w:sz w:val="24"/>
          <w:szCs w:val="24"/>
          <w:lang w:val="mn-MN"/>
        </w:rPr>
        <w:t>үйл ажиллагаа (Co-Curricular Activities- CCA)</w:t>
      </w:r>
    </w:p>
    <w:p w14:paraId="3818D9C4"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Боловсролын яамнаас хариуцан удирддаг. Дунд сургуулийн сурагчид заавал суралцах ёстой байдаг бөгөөд сургуулиудад хэрэгждэг. Дараах дөрвөн үндсэн ангилалд хуваагдана:</w:t>
      </w:r>
    </w:p>
    <w:p w14:paraId="2C66F997" w14:textId="77777777" w:rsidR="000A6E31" w:rsidRPr="00EC102E" w:rsidRDefault="00DF52AE">
      <w:pPr>
        <w:numPr>
          <w:ilvl w:val="0"/>
          <w:numId w:val="9"/>
        </w:numPr>
        <w:spacing w:before="240"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Клуб, нийгэмлэгүүд</w:t>
      </w:r>
    </w:p>
    <w:p w14:paraId="0581D0FA" w14:textId="77777777" w:rsidR="000A6E31" w:rsidRPr="00EC102E" w:rsidRDefault="00DF52AE">
      <w:pPr>
        <w:numPr>
          <w:ilvl w:val="0"/>
          <w:numId w:val="9"/>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Биеийн тамир, спорт</w:t>
      </w:r>
    </w:p>
    <w:p w14:paraId="603AC65C" w14:textId="77777777" w:rsidR="000A6E31" w:rsidRPr="00EC102E" w:rsidRDefault="00DF52AE">
      <w:pPr>
        <w:numPr>
          <w:ilvl w:val="0"/>
          <w:numId w:val="9"/>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Дүрэмт хувцастай бүлгүүд (скаут гэх мэт)</w:t>
      </w:r>
    </w:p>
    <w:p w14:paraId="49D89276" w14:textId="77777777" w:rsidR="000A6E31" w:rsidRPr="00EC102E" w:rsidRDefault="00DF52AE">
      <w:pPr>
        <w:numPr>
          <w:ilvl w:val="0"/>
          <w:numId w:val="9"/>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Урлаг, уран сайхны үйл ажиллагаа (Дүрслэх урлаг, тайзны урлаг)</w:t>
      </w:r>
    </w:p>
    <w:p w14:paraId="147786F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Эдгээр нь сурагчдын зан чанар, манлайлал, нийгмийн ур чадварыг хөгжүүлэхэд чиглэгддэг. </w:t>
      </w:r>
    </w:p>
    <w:p w14:paraId="4880AFBB" w14:textId="77777777" w:rsidR="000A6E31" w:rsidRPr="00EC102E" w:rsidRDefault="000A6E31">
      <w:pPr>
        <w:spacing w:line="240" w:lineRule="auto"/>
        <w:jc w:val="both"/>
        <w:rPr>
          <w:rFonts w:ascii="Arial" w:eastAsia="Arial" w:hAnsi="Arial" w:cs="Arial"/>
          <w:sz w:val="24"/>
          <w:szCs w:val="24"/>
          <w:lang w:val="mn-MN"/>
        </w:rPr>
      </w:pPr>
    </w:p>
    <w:p w14:paraId="0BE26D28" w14:textId="77777777" w:rsidR="000A6E31" w:rsidRPr="00EC102E" w:rsidRDefault="00DF52AE">
      <w:pPr>
        <w:spacing w:line="240" w:lineRule="auto"/>
        <w:jc w:val="both"/>
        <w:rPr>
          <w:rFonts w:ascii="Arial" w:eastAsia="Arial" w:hAnsi="Arial" w:cs="Arial"/>
          <w:b/>
          <w:i/>
          <w:sz w:val="24"/>
          <w:szCs w:val="24"/>
          <w:lang w:val="mn-MN"/>
        </w:rPr>
      </w:pPr>
      <w:r w:rsidRPr="00EC102E">
        <w:rPr>
          <w:rFonts w:ascii="Arial" w:eastAsia="Arial" w:hAnsi="Arial" w:cs="Arial"/>
          <w:b/>
          <w:i/>
          <w:sz w:val="24"/>
          <w:szCs w:val="24"/>
          <w:lang w:val="mn-MN"/>
        </w:rPr>
        <w:t>Edusave Scheme хөтөлбөр</w:t>
      </w:r>
    </w:p>
    <w:p w14:paraId="0882514E" w14:textId="2B18016A"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Энэ нь </w:t>
      </w:r>
      <w:r w:rsidR="00262F8E">
        <w:rPr>
          <w:rFonts w:ascii="Arial" w:eastAsia="Arial" w:hAnsi="Arial" w:cs="Arial"/>
          <w:sz w:val="24"/>
          <w:szCs w:val="24"/>
          <w:lang w:val="mn-MN"/>
        </w:rPr>
        <w:t>З</w:t>
      </w:r>
      <w:r w:rsidRPr="00EC102E">
        <w:rPr>
          <w:rFonts w:ascii="Arial" w:eastAsia="Arial" w:hAnsi="Arial" w:cs="Arial"/>
          <w:sz w:val="24"/>
          <w:szCs w:val="24"/>
          <w:lang w:val="mn-MN"/>
        </w:rPr>
        <w:t>асгийн газрын санаачилга бөгөөд жил бүр сургуулиудад тэтгэлэг болон сурагчдад санхүүжилт олгож, нэмэлт сургалт, хөтөлбөрт хамрагдах боломжийг бүрдүүлдэг. Эдгээрийг Edusave Endowment Fund сан санхүүжүүлдэг бөгөөд сурагчдыг хичээлээс гадуурх чанартай хөтөлбөр, үйл ажиллагаанд хамрагдах нөхцөлийг бүрдүүлдэг.</w:t>
      </w:r>
    </w:p>
    <w:p w14:paraId="0A75D28A" w14:textId="77777777" w:rsidR="000A6E31" w:rsidRPr="00EC102E" w:rsidRDefault="000A6E31">
      <w:pPr>
        <w:spacing w:after="0" w:line="240" w:lineRule="auto"/>
        <w:ind w:firstLine="720"/>
        <w:jc w:val="both"/>
        <w:rPr>
          <w:rFonts w:ascii="Arial" w:eastAsia="Arial" w:hAnsi="Arial" w:cs="Arial"/>
          <w:sz w:val="24"/>
          <w:szCs w:val="24"/>
          <w:lang w:val="mn-MN"/>
        </w:rPr>
      </w:pPr>
    </w:p>
    <w:p w14:paraId="651AAA42"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Боловсролын cанхүүжилт ба хуримтлалын хөтөлбөрийн тухай хууль- 1992 (The Education Endowment and Savings Schemes Act 1992) нь 1993 онд батлагдсан бөгөөд 2008 онд нэмэлт өөрчлөлт оруулсан. Edusave Endowment Fund сан 1993 онд Засгийн газрын нэгдсэн орлогын сангаас хөрөнгө шилжүүлснээр байгуулагдсан. Уг сангийн хөрөнгийн үндсэн дүн 5.5 тэрбум сингапур доллар </w:t>
      </w:r>
      <w:r w:rsidRPr="00EC102E">
        <w:rPr>
          <w:rFonts w:ascii="Arial" w:eastAsia="Arial" w:hAnsi="Arial" w:cs="Arial"/>
          <w:sz w:val="24"/>
          <w:szCs w:val="24"/>
          <w:lang w:val="mn-MN"/>
        </w:rPr>
        <w:lastRenderedPageBreak/>
        <w:t>бөгөөд жил бүрийн хүүгийн орлогоор хөтөлбөрийн хүрээнд олгогдох зардлыг санхүүжүүлдэг. 2023 оны санхүүгийн жилд тус сангийн хүүгийн өгөөж нь жилийн 3.5 хувь байсан. 2023 оны санхүүгийн жилд сан нийт 250.7 сая долларын орлого олж, үүнээс 179.4 сая долларыг зарцуулсан байна. 2024 оны 3 дугаар сарын 31-ний байдлаар сангийн хөрөнгийн нийт үлдэгдэл 6.8 тэрбум долларт хүрсэн бөгөөд үүнд 1.3 тэрбум долларын хуримтлагдсан ашиг багтсан байна.</w:t>
      </w:r>
    </w:p>
    <w:p w14:paraId="4B0293AC" w14:textId="77777777" w:rsidR="000A6E31" w:rsidRPr="00EC102E" w:rsidRDefault="000A6E31">
      <w:pPr>
        <w:spacing w:after="0" w:line="240" w:lineRule="auto"/>
        <w:ind w:firstLine="720"/>
        <w:jc w:val="both"/>
        <w:rPr>
          <w:rFonts w:ascii="Arial" w:eastAsia="Arial" w:hAnsi="Arial" w:cs="Arial"/>
          <w:sz w:val="24"/>
          <w:szCs w:val="24"/>
          <w:lang w:val="mn-MN"/>
        </w:rPr>
      </w:pPr>
    </w:p>
    <w:p w14:paraId="3CE80454"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Энэ хөтөлбөрийн хүрээнд Сингапурын иргэн сурагчдын хувьд Эдусэйв (Edusave) данс автоматаар нээгддэг. Боловсролын яамны санхүүжилттэй ерөнхий боловсролын сургуульд суралцдаг нийт сурагчид, Боловсролын яамны санхүүжилтгүй сургуульд суралцдаг 7–16 насны сурагчид жил бүр тэтгэмж авна. </w:t>
      </w:r>
    </w:p>
    <w:p w14:paraId="2BFAD200"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Нэг хүүхдэд олгогдох тэтгэмж:</w:t>
      </w:r>
    </w:p>
    <w:p w14:paraId="5057086A" w14:textId="77777777" w:rsidR="000A6E31" w:rsidRPr="00EC102E" w:rsidRDefault="00DF52AE">
      <w:pPr>
        <w:numPr>
          <w:ilvl w:val="0"/>
          <w:numId w:val="1"/>
        </w:numPr>
        <w:spacing w:before="240"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Бага ангийн сурагч: 230 Сингапур доллар</w:t>
      </w:r>
    </w:p>
    <w:p w14:paraId="35EAB01D" w14:textId="77777777" w:rsidR="000A6E31" w:rsidRPr="00EC102E" w:rsidRDefault="00DF52AE">
      <w:pPr>
        <w:numPr>
          <w:ilvl w:val="0"/>
          <w:numId w:val="1"/>
        </w:num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Дунд ангийн сурагч: 290 Сингапур доллар</w:t>
      </w:r>
    </w:p>
    <w:p w14:paraId="077307B4" w14:textId="77777777" w:rsidR="000A6E31" w:rsidRPr="00EC102E" w:rsidRDefault="000A6E31">
      <w:pPr>
        <w:spacing w:after="0" w:line="240" w:lineRule="auto"/>
        <w:jc w:val="both"/>
        <w:rPr>
          <w:rFonts w:ascii="Arial" w:eastAsia="Arial" w:hAnsi="Arial" w:cs="Arial"/>
          <w:sz w:val="24"/>
          <w:szCs w:val="24"/>
          <w:lang w:val="mn-MN"/>
        </w:rPr>
      </w:pPr>
    </w:p>
    <w:p w14:paraId="62FB3C96"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Түүнчлэн 2025 оны 7-р сард нэг удаагийн 500 Сингапур долларын нэмэлт тэтгэмжлийг 2025 онд 13–16 настай 2009 оны 1-р сарын 1-нээс 2012 оны 12-р сарын 31-ний хооронд төрсөн) Сингапурын иргэн сурагчдын Edusave дансанд хийхээр төлөвлөж байна.</w:t>
      </w:r>
    </w:p>
    <w:p w14:paraId="5B50292C" w14:textId="77777777" w:rsidR="000A6E31" w:rsidRPr="00EC102E" w:rsidRDefault="000A6E31">
      <w:pPr>
        <w:spacing w:after="0" w:line="240" w:lineRule="auto"/>
        <w:ind w:firstLine="720"/>
        <w:jc w:val="both"/>
        <w:rPr>
          <w:rFonts w:ascii="Arial" w:eastAsia="Arial" w:hAnsi="Arial" w:cs="Arial"/>
          <w:sz w:val="24"/>
          <w:szCs w:val="24"/>
          <w:lang w:val="mn-MN"/>
        </w:rPr>
      </w:pPr>
    </w:p>
    <w:p w14:paraId="2D485F4B" w14:textId="1D3AA453"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Боловсролын яамны санхүүжилттэй ерөнхий боловсролын сургуулийн сурагчид сургууль дээрх нэмэлт буюу хичээлээс гадуурх хүүхдийн хөгжлийн хөтөлбөрүүд болон бусад хөтөлбөр, сургалтын төхөөрөмж, тусгай хэрэгцээтэй сурагчдад зориулсан сургалтын төхөөрөмж зэрэгт ашиглах боломжтой бол Боловсролын яамны санхүүжилтгүй ерөнхий боловсролын сургуулийн сурагчид зөвхөн Сингапур улсад хэрэгждэг болон харья</w:t>
      </w:r>
      <w:r w:rsidR="009504EC">
        <w:rPr>
          <w:rFonts w:ascii="Arial" w:eastAsia="Arial" w:hAnsi="Arial" w:cs="Arial"/>
          <w:sz w:val="24"/>
          <w:szCs w:val="24"/>
          <w:lang w:val="mn-MN"/>
        </w:rPr>
        <w:t>а</w:t>
      </w:r>
      <w:r w:rsidRPr="00EC102E">
        <w:rPr>
          <w:rFonts w:ascii="Arial" w:eastAsia="Arial" w:hAnsi="Arial" w:cs="Arial"/>
          <w:sz w:val="24"/>
          <w:szCs w:val="24"/>
          <w:lang w:val="mn-MN"/>
        </w:rPr>
        <w:t xml:space="preserve">лагдах сургуулийн нэмэлт буюу хичээлээс гадуурх хүүхдийн хөгжлийн хөтөлбөрүүдэд тэр дундаа хичээлийн үндсэн хөтөлбөртэй холбоотой хэл ярианы чадвар, жүжиг, бүтээлч бичлэг, авиа зүй (phonics), урлаг, шинжлэх ухаан, хөгжмийн сургалтууд, нийгэм-сэтгэлзүйн боловсролыг дэмжсэн адал явдалт болон манлайллын зуслангууд, боловсролын семинар, бага хурал, урам зориг өгөх сургалт, уулзалт, Сингапур дахь танин мэдэхүйн аялал жишээлбэл шинжлэх ухааны төв, амьтны хүрээлэн, музей, соёлын өв, үзэсгэлэн үзэх аяллууд, боловсролын сэтгүүл, цуврал хэвлэл худалдаж авах, математикийн олимпиад зэрэг тэмцээн уралдаанд оролцох бүртгэлийн төлбөрт ашиглах боломжтой.  </w:t>
      </w:r>
    </w:p>
    <w:p w14:paraId="4C7C7FB6" w14:textId="77777777" w:rsidR="000A6E31" w:rsidRPr="00EC102E" w:rsidRDefault="000A6E31">
      <w:pPr>
        <w:spacing w:line="240" w:lineRule="auto"/>
        <w:jc w:val="both"/>
        <w:rPr>
          <w:rFonts w:ascii="Arial" w:eastAsia="Arial" w:hAnsi="Arial" w:cs="Arial"/>
          <w:sz w:val="24"/>
          <w:szCs w:val="24"/>
          <w:lang w:val="mn-MN"/>
        </w:rPr>
      </w:pPr>
    </w:p>
    <w:p w14:paraId="5F3C3D2F" w14:textId="77777777" w:rsidR="000A6E31" w:rsidRPr="00EC102E" w:rsidRDefault="00DF52AE">
      <w:pPr>
        <w:spacing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Норвеги</w:t>
      </w:r>
    </w:p>
    <w:p w14:paraId="25042CA3" w14:textId="77777777" w:rsidR="000A6E31" w:rsidRPr="00EC102E" w:rsidRDefault="00DF52AE">
      <w:pPr>
        <w:spacing w:line="240" w:lineRule="auto"/>
        <w:jc w:val="both"/>
        <w:rPr>
          <w:rFonts w:ascii="Arial" w:eastAsia="Arial" w:hAnsi="Arial" w:cs="Arial"/>
          <w:b/>
          <w:i/>
          <w:sz w:val="24"/>
          <w:szCs w:val="24"/>
          <w:lang w:val="mn-MN"/>
        </w:rPr>
      </w:pPr>
      <w:r w:rsidRPr="00EC102E">
        <w:rPr>
          <w:rFonts w:ascii="Arial" w:eastAsia="Arial" w:hAnsi="Arial" w:cs="Arial"/>
          <w:b/>
          <w:i/>
          <w:sz w:val="24"/>
          <w:szCs w:val="24"/>
          <w:lang w:val="mn-MN"/>
        </w:rPr>
        <w:t>ХХИ- 2 (2023)</w:t>
      </w:r>
    </w:p>
    <w:p w14:paraId="2C3126A8" w14:textId="77777777" w:rsidR="000A6E31" w:rsidRPr="00EC102E" w:rsidRDefault="000A6E31">
      <w:pPr>
        <w:spacing w:after="0" w:line="240" w:lineRule="auto"/>
        <w:jc w:val="both"/>
        <w:rPr>
          <w:rFonts w:ascii="Arial" w:eastAsia="Arial" w:hAnsi="Arial" w:cs="Arial"/>
          <w:b/>
          <w:i/>
          <w:sz w:val="24"/>
          <w:szCs w:val="24"/>
          <w:lang w:val="mn-MN"/>
        </w:rPr>
      </w:pPr>
    </w:p>
    <w:p w14:paraId="74A4D2C5"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Баялгийн сангаас шууд бус байдлаар боловсролд чиглэсэн дэмжлэг үзүүлдэг, эрх зүй, санхүүгийн сайн тогтолцоотой улс. Тэгш хамруулалт сайтай, сургалтын хөтөлбөрүүд нь бүтээлч байдал, шүүмжлэлт сэтгэлгээ, ШИМТ хичээлүүд болон гадаад хэл зэрэгт түлхүү анхаардаг. Сурагчдад нэмэлт дэмжлэг, хувийн сургалтын төлөвлөгөө боловсруулах зэрэгт дэмждэгээс гадна хөгжлийн бэрхшээлтэй сурагчдад зориулсан үнэ төлбөргүй сургалтын үйлчилгээг хэрэгжүүлдэг. </w:t>
      </w:r>
    </w:p>
    <w:p w14:paraId="7236C44D" w14:textId="77777777" w:rsidR="000A6E31" w:rsidRPr="00EC102E" w:rsidRDefault="000A6E31">
      <w:pPr>
        <w:spacing w:after="0" w:line="240" w:lineRule="auto"/>
        <w:ind w:firstLine="720"/>
        <w:jc w:val="both"/>
        <w:rPr>
          <w:rFonts w:ascii="Arial" w:eastAsia="Arial" w:hAnsi="Arial" w:cs="Arial"/>
          <w:sz w:val="24"/>
          <w:szCs w:val="24"/>
          <w:lang w:val="mn-MN"/>
        </w:rPr>
      </w:pPr>
    </w:p>
    <w:p w14:paraId="3A15BE2D"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lastRenderedPageBreak/>
        <w:t xml:space="preserve">Иргэний нийгэм болон нутгийн удирдах байгууллагууд боловсролын салбарт хамтран ажиллах боломжийг хуулиар бүрдүүлсэн. </w:t>
      </w:r>
    </w:p>
    <w:p w14:paraId="6F2D9618" w14:textId="77777777" w:rsidR="000A6E31" w:rsidRPr="00EC102E" w:rsidRDefault="000A6E31">
      <w:pPr>
        <w:spacing w:after="0" w:line="240" w:lineRule="auto"/>
        <w:ind w:firstLine="720"/>
        <w:jc w:val="both"/>
        <w:rPr>
          <w:rFonts w:ascii="Arial" w:eastAsia="Arial" w:hAnsi="Arial" w:cs="Arial"/>
          <w:sz w:val="24"/>
          <w:szCs w:val="24"/>
          <w:lang w:val="mn-MN"/>
        </w:rPr>
      </w:pPr>
    </w:p>
    <w:p w14:paraId="42E3F714"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Боловсролын хөрөнгө оруулалт нь дэлхийд өндөрт тооцогддог (ДНБ-ний ~6.6%). 2022 онд ДНБ-ийхээ 3.97 хувийг, улсын төсвийн 10.12 хувийг боловсролын салбарт зарцуулсан.</w:t>
      </w:r>
    </w:p>
    <w:p w14:paraId="3E8A8485"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 </w:t>
      </w:r>
    </w:p>
    <w:p w14:paraId="630ABC61" w14:textId="1A4E2B30"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Government Pension Fund Global (GPFG) – гадаадад хөрөнгө оруулалт түлхүү хийдэг ч газрын тосны орлогоор улсын төсвийн алдагдлыг санхүүжүүлдэг. GPFG болон төсвийн бодлогын дүрэм нь 2001 оноос хойш газрын тосны орлого, хөрөнгө оруулалтын өгөөжийг Норвегийн эдийн засагт үе шаттайгаар нэвтрүүлэх төлөвлөгөөг тодорхойлж өгсөн. Жилийн хөрөнгө оруулалтын бодит өгөөжийн хувийн тооцо</w:t>
      </w:r>
      <w:r w:rsidR="00FF21B7">
        <w:rPr>
          <w:rFonts w:ascii="Arial" w:eastAsia="Arial" w:hAnsi="Arial" w:cs="Arial"/>
          <w:sz w:val="24"/>
          <w:szCs w:val="24"/>
          <w:lang w:val="mn-MN"/>
        </w:rPr>
        <w:t>о</w:t>
      </w:r>
      <w:r w:rsidRPr="00EC102E">
        <w:rPr>
          <w:rFonts w:ascii="Arial" w:eastAsia="Arial" w:hAnsi="Arial" w:cs="Arial"/>
          <w:sz w:val="24"/>
          <w:szCs w:val="24"/>
          <w:lang w:val="mn-MN"/>
        </w:rPr>
        <w:t xml:space="preserve">лолтой нийцүүлэхээр GPFG болон төсвийн бодлогын дүрэмд заасан. 2001 онд анх төсвийн бодлогын дүрмийг тогтоох үед хөрөнгө оруулалтын бодит өгөөжийн хувь 4% гэж тооцсон бол 2017 оны хавар энэхүү тооцооллыг 3% болгож бууруулсан. Гэвч жилд улсын төсвийн 20 орчим хувийг GPFG-ээс бүрдүүлж байна.   </w:t>
      </w:r>
    </w:p>
    <w:p w14:paraId="2DE9BBD1" w14:textId="77777777" w:rsidR="000A6E31" w:rsidRPr="00EC102E" w:rsidRDefault="000A6E31">
      <w:pPr>
        <w:spacing w:after="0" w:line="240" w:lineRule="auto"/>
        <w:jc w:val="both"/>
        <w:rPr>
          <w:rFonts w:ascii="Arial" w:eastAsia="Arial" w:hAnsi="Arial" w:cs="Arial"/>
          <w:sz w:val="24"/>
          <w:szCs w:val="24"/>
          <w:lang w:val="mn-MN"/>
        </w:rPr>
      </w:pPr>
    </w:p>
    <w:p w14:paraId="7AD70DF3"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Казахстан</w:t>
      </w:r>
    </w:p>
    <w:p w14:paraId="273F18FE" w14:textId="77777777" w:rsidR="000A6E31" w:rsidRPr="00EC102E" w:rsidRDefault="00DF52AE">
      <w:pPr>
        <w:spacing w:after="0" w:line="240" w:lineRule="auto"/>
        <w:jc w:val="both"/>
        <w:rPr>
          <w:rFonts w:ascii="Arial" w:eastAsia="Arial" w:hAnsi="Arial" w:cs="Arial"/>
          <w:b/>
          <w:i/>
          <w:sz w:val="24"/>
          <w:szCs w:val="24"/>
          <w:lang w:val="mn-MN"/>
        </w:rPr>
      </w:pPr>
      <w:r w:rsidRPr="00EC102E">
        <w:rPr>
          <w:rFonts w:ascii="Arial" w:eastAsia="Arial" w:hAnsi="Arial" w:cs="Arial"/>
          <w:b/>
          <w:i/>
          <w:sz w:val="24"/>
          <w:szCs w:val="24"/>
          <w:lang w:val="mn-MN"/>
        </w:rPr>
        <w:t>ХХИ- 60 (2023)</w:t>
      </w:r>
    </w:p>
    <w:p w14:paraId="3AAE8989" w14:textId="77777777" w:rsidR="000A6E31" w:rsidRPr="00EC102E" w:rsidRDefault="000A6E31">
      <w:pPr>
        <w:spacing w:after="0" w:line="240" w:lineRule="auto"/>
        <w:jc w:val="both"/>
        <w:rPr>
          <w:rFonts w:ascii="Arial" w:eastAsia="Arial" w:hAnsi="Arial" w:cs="Arial"/>
          <w:sz w:val="24"/>
          <w:szCs w:val="24"/>
          <w:lang w:val="mn-MN"/>
        </w:rPr>
      </w:pPr>
    </w:p>
    <w:p w14:paraId="110C9282" w14:textId="19D27DC6" w:rsidR="000A6E31" w:rsidRPr="00EC102E" w:rsidRDefault="00DF52AE" w:rsidP="00E5395A">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Боловсролын тухай хууль, Төр хувийн хэвшлийн хамтын ажиллагааны тухай хууль нь боловсролын салбарт төр хувийн хэвшлийн хамтын ажиллагааг хэрэгжүүлэх эрх зүйн үндсийг бүрдүүлсэн.</w:t>
      </w:r>
      <w:r w:rsidR="00E5395A">
        <w:rPr>
          <w:rFonts w:ascii="Arial" w:eastAsia="Arial" w:hAnsi="Arial" w:cs="Arial"/>
          <w:sz w:val="24"/>
          <w:szCs w:val="24"/>
          <w:lang w:val="mn-MN"/>
        </w:rPr>
        <w:t xml:space="preserve"> </w:t>
      </w:r>
      <w:r w:rsidRPr="00EC102E">
        <w:rPr>
          <w:rFonts w:ascii="Arial" w:eastAsia="Arial" w:hAnsi="Arial" w:cs="Arial"/>
          <w:sz w:val="24"/>
          <w:szCs w:val="24"/>
          <w:lang w:val="mn-MN"/>
        </w:rPr>
        <w:t>Багшийн нэр хүндийг дээшлүүлэх, цалин хөлсийг нэмэх, нэмэлт боловсролыг хөгжүүлэх, дэд бүтцийг сайжруулах, сурагчдын аюулгүй, тав тухтай орчныг бүрдүүлэх зэрэг арга хэмжээг төрөөс авсан нь боловсролын чанарыг сайжруулсан.</w:t>
      </w:r>
    </w:p>
    <w:p w14:paraId="2A5D4BA9" w14:textId="77777777" w:rsidR="000A6E31" w:rsidRPr="00EC102E" w:rsidRDefault="000A6E31">
      <w:pPr>
        <w:spacing w:after="0" w:line="240" w:lineRule="auto"/>
        <w:jc w:val="both"/>
        <w:rPr>
          <w:rFonts w:ascii="Arial" w:eastAsia="Arial" w:hAnsi="Arial" w:cs="Arial"/>
          <w:sz w:val="24"/>
          <w:szCs w:val="24"/>
          <w:lang w:val="mn-MN"/>
        </w:rPr>
      </w:pPr>
    </w:p>
    <w:p w14:paraId="582C6258"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Санаачилга: “Тав тухтай сургууль” хөтөлбөрийг эхлүүлж, улсын хэмжээнд сургуулийн дэд бүтцийг шинэчлэхэд Самрук-Казына үндэсний баялгийн сангийн 100% эзэмшлийн Самрук-КазынаКонстракшн төслийг удирдах үүрэг гүйцэтгэн ажиллаж байна. Мөн бүсийн засаг дарга нар энэхүү хөтөлбөрийн удирдах багт томоохон үүрэгтэй хамтран оролцдог.</w:t>
      </w:r>
    </w:p>
    <w:p w14:paraId="39C59C8A" w14:textId="77777777" w:rsidR="000A6E31" w:rsidRPr="00EC102E" w:rsidRDefault="000A6E31">
      <w:pPr>
        <w:spacing w:after="0" w:line="240" w:lineRule="auto"/>
        <w:ind w:firstLine="720"/>
        <w:jc w:val="both"/>
        <w:rPr>
          <w:rFonts w:ascii="Arial" w:eastAsia="Arial" w:hAnsi="Arial" w:cs="Arial"/>
          <w:sz w:val="24"/>
          <w:szCs w:val="24"/>
          <w:lang w:val="mn-MN"/>
        </w:rPr>
      </w:pPr>
    </w:p>
    <w:p w14:paraId="6D133A6A"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Хөтөлбөрийн хүрээнд тэгш хамруулах бодлогыг хэрэгжүүлэхээс гадна спортын танхим, роботикийн лаборатори, дэвшилтэт технологийн төвүүд, бага болон дунд ангийн сурагчдад тусдаа байрлалтай хэсгүүдтэй байх ба тус бүр өөрийн хоолны газар болон спорт заалтай байхаар төлөвлөсөн. Өөр өөр төрлийн цаг уурын болон газар хөдлөлийн бүсүүдэд тохируулан боловсруулсан 300, 600, 900, 1,200, 1,500, 2,000, 2,500 сурагчдын багтаамжтай сургуулиуд нь мөн сурагчид болон багш нарын хэрэгцээнд нийцсэн, орчин үеийн эргономикийн стандартыг хангасан тоног төхөөрөмж, тавилга бүхий жагсаалтыг баталсан.  </w:t>
      </w:r>
    </w:p>
    <w:p w14:paraId="15B4DE02"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 xml:space="preserve">2024 оны байдлаар хөтөлбөрийн хүрээнд 104 сургууль ашиглалтад орсон байна. Үүний 43% нь хөдөө орон нутагт байрлалтай. </w:t>
      </w:r>
    </w:p>
    <w:p w14:paraId="56B5C2F9"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2022 онд ДНБ-ийхээ 4.46 хувийг, 2021 онд улсын төсвийн 24.09 хувийг боловсролын салбарт зарцуулсан.</w:t>
      </w:r>
    </w:p>
    <w:p w14:paraId="1605B8E7" w14:textId="77777777" w:rsidR="000A6E31" w:rsidRPr="00EC102E" w:rsidRDefault="000A6E31">
      <w:pPr>
        <w:spacing w:after="0" w:line="240" w:lineRule="auto"/>
        <w:jc w:val="both"/>
        <w:rPr>
          <w:rFonts w:ascii="Arial" w:eastAsia="Arial" w:hAnsi="Arial" w:cs="Arial"/>
          <w:sz w:val="24"/>
          <w:szCs w:val="24"/>
          <w:lang w:val="mn-MN"/>
        </w:rPr>
      </w:pPr>
    </w:p>
    <w:p w14:paraId="749345B7"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Тав тухтай сургууль төсөлд улсын төсвөөс 2.3 их наяд тэнгэ төсөвлөсөн.  Барилгын ажлыг 3 механизмаар хэрэгжүүлж байна. Үүнд: “Самрук-Казына Констракшн” компанийн шугамаар сургуулиудыг зорилтот байдлаар барих, </w:t>
      </w:r>
      <w:r w:rsidRPr="00EC102E">
        <w:rPr>
          <w:rFonts w:ascii="Arial" w:eastAsia="Arial" w:hAnsi="Arial" w:cs="Arial"/>
          <w:sz w:val="24"/>
          <w:szCs w:val="24"/>
          <w:lang w:val="mn-MN"/>
        </w:rPr>
        <w:lastRenderedPageBreak/>
        <w:t>аймгийн Засаг даргын Тамгын газар нь хувийн хөрөнгө оруулагчаас бэлэн барилгууд (9 сургууль) худалдан авах, мөн төр-хувийн хэвшлийн түншлэлээр барих хэлбэрүүд багтана. Үүний зэрэгцээ төслийг хэрэгжүүлэхэд хувийн хөрөнгө оруулалт татах зорилгоор дөрөв дэх механизмыг гаргасан. Энэ нь нэг талаас хувийн хөрөнгө оруулагч, нөгөө талаас тэргүүлэгч боловсролын байгууллагууд бүхий консорциум байгуулах юм.</w:t>
      </w:r>
    </w:p>
    <w:p w14:paraId="50E6687A" w14:textId="77777777" w:rsidR="000A6E31" w:rsidRPr="00EC102E" w:rsidRDefault="000A6E31">
      <w:pPr>
        <w:spacing w:after="0" w:line="240" w:lineRule="auto"/>
        <w:ind w:firstLine="720"/>
        <w:jc w:val="both"/>
        <w:rPr>
          <w:rFonts w:ascii="Arial" w:eastAsia="Arial" w:hAnsi="Arial" w:cs="Arial"/>
          <w:sz w:val="24"/>
          <w:szCs w:val="24"/>
          <w:lang w:val="mn-MN"/>
        </w:rPr>
      </w:pPr>
    </w:p>
    <w:p w14:paraId="3242F8D9"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Самрук-Казына бол төрийн өмчит хөрөнгийг удирдах, эдийн засгийн хөгжилд чиглэсэн хөрөнгө оруулалт хийх зорилго бүхий үндэсний баялгийн сан.</w:t>
      </w:r>
    </w:p>
    <w:p w14:paraId="4E515F38" w14:textId="77777777" w:rsidR="000A6E31" w:rsidRPr="00EC102E" w:rsidRDefault="00DF52AE">
      <w:pPr>
        <w:spacing w:after="0" w:line="240" w:lineRule="auto"/>
        <w:jc w:val="both"/>
        <w:rPr>
          <w:rFonts w:ascii="Arial" w:eastAsia="Arial" w:hAnsi="Arial" w:cs="Arial"/>
          <w:sz w:val="24"/>
          <w:szCs w:val="24"/>
          <w:lang w:val="mn-MN"/>
        </w:rPr>
      </w:pPr>
      <w:r w:rsidRPr="00EC102E">
        <w:rPr>
          <w:rFonts w:ascii="Arial" w:eastAsia="Arial" w:hAnsi="Arial" w:cs="Arial"/>
          <w:sz w:val="24"/>
          <w:szCs w:val="24"/>
          <w:lang w:val="mn-MN"/>
        </w:rPr>
        <w:t>2007 оны  Боловсролын тухай хууль (2021 онд шинэчлэгдсэн)</w:t>
      </w:r>
    </w:p>
    <w:p w14:paraId="22BEBEA3" w14:textId="77777777" w:rsidR="000A6E31" w:rsidRPr="00EC102E" w:rsidRDefault="000A6E31">
      <w:pPr>
        <w:spacing w:after="0" w:line="240" w:lineRule="auto"/>
        <w:jc w:val="both"/>
        <w:rPr>
          <w:rFonts w:ascii="Arial" w:eastAsia="Arial" w:hAnsi="Arial" w:cs="Arial"/>
          <w:sz w:val="24"/>
          <w:szCs w:val="24"/>
          <w:lang w:val="mn-MN"/>
        </w:rPr>
      </w:pPr>
    </w:p>
    <w:p w14:paraId="0AA43E26"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2015 оны Төр хувийн хэвшлийн түншлэлийн тухай хуулиар төр хувийн хэвшлийн түншлэлээр боловсролын байгууллагуудын барилгын ажил (шинэчлэх) болон ашиглалт (цэцэрлэг, сургууль, оюутны дотуур байр)-ын төслийг хэрэгжүүлэх боломжтой.</w:t>
      </w:r>
    </w:p>
    <w:p w14:paraId="59F0DD7E" w14:textId="77777777" w:rsidR="000A6E31" w:rsidRPr="00EC102E" w:rsidRDefault="000A6E31">
      <w:pPr>
        <w:spacing w:after="0" w:line="240" w:lineRule="auto"/>
        <w:jc w:val="both"/>
        <w:rPr>
          <w:rFonts w:ascii="Arial" w:eastAsia="Arial" w:hAnsi="Arial" w:cs="Arial"/>
          <w:sz w:val="24"/>
          <w:szCs w:val="24"/>
          <w:lang w:val="mn-MN"/>
        </w:rPr>
      </w:pPr>
    </w:p>
    <w:p w14:paraId="086E12A1"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Эстони</w:t>
      </w:r>
    </w:p>
    <w:p w14:paraId="01CD5487" w14:textId="77777777" w:rsidR="000A6E31" w:rsidRPr="00EC102E" w:rsidRDefault="00DF52AE">
      <w:pPr>
        <w:spacing w:after="0" w:line="240" w:lineRule="auto"/>
        <w:jc w:val="both"/>
        <w:rPr>
          <w:rFonts w:ascii="Arial" w:eastAsia="Arial" w:hAnsi="Arial" w:cs="Arial"/>
          <w:b/>
          <w:i/>
          <w:sz w:val="24"/>
          <w:szCs w:val="24"/>
          <w:lang w:val="mn-MN"/>
        </w:rPr>
      </w:pPr>
      <w:r w:rsidRPr="00EC102E">
        <w:rPr>
          <w:rFonts w:ascii="Arial" w:eastAsia="Arial" w:hAnsi="Arial" w:cs="Arial"/>
          <w:b/>
          <w:i/>
          <w:sz w:val="24"/>
          <w:szCs w:val="24"/>
          <w:lang w:val="mn-MN"/>
        </w:rPr>
        <w:t>ХХИ- 36 (2023)</w:t>
      </w:r>
    </w:p>
    <w:p w14:paraId="3D306EB3" w14:textId="77777777" w:rsidR="000A6E31" w:rsidRPr="00EC102E" w:rsidRDefault="000A6E31">
      <w:pPr>
        <w:spacing w:after="0" w:line="240" w:lineRule="auto"/>
        <w:jc w:val="both"/>
        <w:rPr>
          <w:rFonts w:ascii="Arial" w:eastAsia="Arial" w:hAnsi="Arial" w:cs="Arial"/>
          <w:sz w:val="24"/>
          <w:szCs w:val="24"/>
          <w:lang w:val="mn-MN"/>
        </w:rPr>
      </w:pPr>
    </w:p>
    <w:p w14:paraId="06139097"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Дижитал шилжилт, бүтээлч заах арга зүйгээр онцлог бөгөөд өргөн хүрээний сургалтын хөтөлбөрийг хэрэгжүүлдэг. Төрөөс орон нутгийн засаг захиргаанд нийт санхүүжилтын 80 гаруй хувийг олгодог бөгөөд сургуулиуд нь бусад боловсролын системүүдтэй харьцуулахад илүү бие даасан, уян хатан шийдвэр гаргах боломжтой байдаг.</w:t>
      </w:r>
    </w:p>
    <w:p w14:paraId="379EA6E1" w14:textId="77777777" w:rsidR="000A6E31" w:rsidRPr="00EC102E" w:rsidRDefault="000A6E31">
      <w:pPr>
        <w:spacing w:after="0" w:line="240" w:lineRule="auto"/>
        <w:ind w:firstLine="720"/>
        <w:jc w:val="both"/>
        <w:rPr>
          <w:rFonts w:ascii="Arial" w:eastAsia="Arial" w:hAnsi="Arial" w:cs="Arial"/>
          <w:sz w:val="24"/>
          <w:szCs w:val="24"/>
          <w:lang w:val="mn-MN"/>
        </w:rPr>
      </w:pPr>
    </w:p>
    <w:p w14:paraId="5C74DE27"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Мөн цогц боловсролыг зорилго болгодог бөгөөд хичээлээс гадуурх хүүхдийн хөгжлийн үйл ажиллагааг дэмждэг. Сурагчдын дижитал бичиг үсэг тайлагдалт, сайн сайхан байдал зэрэгт анхаардаг бөгөөд сурагчдын гүйцэтгэл, сэтгэл ханамж өндөр. Үүнд боловсролын технологийн компаниудтай хамтран ажилладаг бөгөөд боловсролын инновацийг дэмжиж байна. Жишээ нь сургуулийн менежментийн арга хэрэгсэл  болох eKool вэб системийг нийт сургуулийн 95% ашиглаж байна.</w:t>
      </w:r>
    </w:p>
    <w:p w14:paraId="0A7B64E6" w14:textId="77777777" w:rsidR="000A6E31" w:rsidRPr="00EC102E" w:rsidRDefault="000A6E31">
      <w:pPr>
        <w:spacing w:after="0" w:line="240" w:lineRule="auto"/>
        <w:ind w:firstLine="720"/>
        <w:jc w:val="both"/>
        <w:rPr>
          <w:rFonts w:ascii="Arial" w:eastAsia="Arial" w:hAnsi="Arial" w:cs="Arial"/>
          <w:sz w:val="24"/>
          <w:szCs w:val="24"/>
          <w:lang w:val="mn-MN"/>
        </w:rPr>
      </w:pPr>
    </w:p>
    <w:p w14:paraId="3ADA8028" w14:textId="0DC125AA"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Бас нэгэн а</w:t>
      </w:r>
      <w:r w:rsidR="005D3BB7">
        <w:rPr>
          <w:rFonts w:ascii="Arial" w:eastAsia="Arial" w:hAnsi="Arial" w:cs="Arial"/>
          <w:sz w:val="24"/>
          <w:szCs w:val="24"/>
          <w:lang w:val="mn-MN"/>
        </w:rPr>
        <w:t>м</w:t>
      </w:r>
      <w:r w:rsidRPr="00EC102E">
        <w:rPr>
          <w:rFonts w:ascii="Arial" w:eastAsia="Arial" w:hAnsi="Arial" w:cs="Arial"/>
          <w:sz w:val="24"/>
          <w:szCs w:val="24"/>
          <w:lang w:val="mn-MN"/>
        </w:rPr>
        <w:t>жилттай санаачилга бол 7-13 настай охидод зориулсан роботик, технологийн Unicorn Squad клуб бөгөөд улс даяар 130 орчим клуб идэвхтэй үйл ажиллагаа явуулж байна. Цаашид 2025 оноос эхлэн хиймэл оюун ухааныг боловсролд нэвтрүүлэхээр олон улсын түншлэлд суурилан хэрэгжүүлэхээр төлөвлөсөн байна. Үүнд AI Leap Foundation төр хувийн хэвшлийн хамтарсан сан байгуулж, энэхүү хөтөлбөрийг удирдах бөгөөд төр, хувийн хэвшлээс санхүүжих аж. 2021 онд ДНБ-ийхээ 5.26 хувийг, улсын төсвийн 14.25 хувийг боловсролын салбарт зарцуулсан байна.</w:t>
      </w:r>
    </w:p>
    <w:p w14:paraId="6B7345A3" w14:textId="77777777" w:rsidR="000A6E31" w:rsidRPr="00EC102E" w:rsidRDefault="000A6E31">
      <w:pPr>
        <w:spacing w:after="0" w:line="240" w:lineRule="auto"/>
        <w:jc w:val="both"/>
        <w:rPr>
          <w:rFonts w:ascii="Arial" w:eastAsia="Arial" w:hAnsi="Arial" w:cs="Arial"/>
          <w:sz w:val="24"/>
          <w:szCs w:val="24"/>
          <w:lang w:val="mn-MN"/>
        </w:rPr>
      </w:pPr>
    </w:p>
    <w:p w14:paraId="40436684"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Солонгос улс</w:t>
      </w:r>
    </w:p>
    <w:p w14:paraId="74C0A9CC" w14:textId="77777777" w:rsidR="000A6E31" w:rsidRPr="00EC102E" w:rsidRDefault="00DF52AE">
      <w:pPr>
        <w:spacing w:after="0" w:line="240" w:lineRule="auto"/>
        <w:jc w:val="both"/>
        <w:rPr>
          <w:rFonts w:ascii="Arial" w:eastAsia="Arial" w:hAnsi="Arial" w:cs="Arial"/>
          <w:b/>
          <w:i/>
          <w:sz w:val="24"/>
          <w:szCs w:val="24"/>
          <w:lang w:val="mn-MN"/>
        </w:rPr>
      </w:pPr>
      <w:r w:rsidRPr="00EC102E">
        <w:rPr>
          <w:rFonts w:ascii="Arial" w:eastAsia="Arial" w:hAnsi="Arial" w:cs="Arial"/>
          <w:b/>
          <w:i/>
          <w:sz w:val="24"/>
          <w:szCs w:val="24"/>
          <w:lang w:val="mn-MN"/>
        </w:rPr>
        <w:t>ХХИ- 7 (2023)</w:t>
      </w:r>
    </w:p>
    <w:p w14:paraId="1E3EDAC4" w14:textId="77777777" w:rsidR="000A6E31" w:rsidRPr="00EC102E" w:rsidRDefault="000A6E31">
      <w:pPr>
        <w:spacing w:after="0" w:line="240" w:lineRule="auto"/>
        <w:jc w:val="both"/>
        <w:rPr>
          <w:rFonts w:ascii="Arial" w:eastAsia="Arial" w:hAnsi="Arial" w:cs="Arial"/>
          <w:sz w:val="24"/>
          <w:szCs w:val="24"/>
          <w:lang w:val="mn-MN"/>
        </w:rPr>
      </w:pPr>
    </w:p>
    <w:p w14:paraId="6C5B5B28"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Cургуулийн дараах үйл ажиллагаа хэрэгждэг бөгөөд сурагчид хагвон гэх хувийн сургалтын төвүүдэд шалгалтад бэлдэх зэрэг хувийн хичээл нэмэлтээр авдаг.</w:t>
      </w:r>
    </w:p>
    <w:p w14:paraId="07C4F217" w14:textId="77777777" w:rsidR="000A6E31" w:rsidRPr="00EC102E" w:rsidRDefault="000A6E31">
      <w:pPr>
        <w:spacing w:after="0" w:line="240" w:lineRule="auto"/>
        <w:ind w:firstLine="720"/>
        <w:jc w:val="both"/>
        <w:rPr>
          <w:rFonts w:ascii="Arial" w:eastAsia="Arial" w:hAnsi="Arial" w:cs="Arial"/>
          <w:sz w:val="24"/>
          <w:szCs w:val="24"/>
          <w:lang w:val="mn-MN"/>
        </w:rPr>
      </w:pPr>
    </w:p>
    <w:p w14:paraId="298806D7"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Мөн 2023 онд Neulbom School (edu-care) санаачилгыг нэвтрүүлсэн бөгөөд бага ангийн хүүхдүүдэд хичээлийн бус цагаар хамрагдах боломжийг олгож байна. </w:t>
      </w:r>
      <w:r w:rsidRPr="00EC102E">
        <w:rPr>
          <w:rFonts w:ascii="Arial" w:eastAsia="Arial" w:hAnsi="Arial" w:cs="Arial"/>
          <w:sz w:val="24"/>
          <w:szCs w:val="24"/>
          <w:lang w:val="mn-MN"/>
        </w:rPr>
        <w:lastRenderedPageBreak/>
        <w:t>1-р ангийн хүүхдүүдэд үнэ төлбөргүй бөгөөд 2023 онд төр хувийн хэвшлийн хамтын ажиллагааг бэхжүүлэх зорилгоор Боловсролын яам KB Financial Group-тэй харилцан ойлголцлын санамж бичигт гарын үсэг зурсан. Хөтөлбөр нь тоглох, турших замаар суралцах аргад суурилсан бөгөөд код бичих, урлаг, спорт зэрэг чиглэлээр явагдаж байгаа бөгөөд энэ нь мөн эцэг, эх, асран хамгаалагчдын асрахуйн ачааллыг хөнгөвчлөх зорилготой.</w:t>
      </w:r>
    </w:p>
    <w:p w14:paraId="627B3F91" w14:textId="77777777" w:rsidR="000A6E31" w:rsidRPr="00EC102E" w:rsidRDefault="000A6E31">
      <w:pPr>
        <w:spacing w:after="0" w:line="240" w:lineRule="auto"/>
        <w:ind w:firstLine="720"/>
        <w:jc w:val="both"/>
        <w:rPr>
          <w:rFonts w:ascii="Arial" w:eastAsia="Arial" w:hAnsi="Arial" w:cs="Arial"/>
          <w:sz w:val="24"/>
          <w:szCs w:val="24"/>
          <w:lang w:val="mn-MN"/>
        </w:rPr>
      </w:pPr>
    </w:p>
    <w:p w14:paraId="2D42993C"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 KB Financial Group 2023 оноос 2027 он хүртэлх таван жилийн хугацаанд нийт 500 тэрбум вон (ойролцоогоор 38.5 сая ам.доллар)-ны хандив өгөх амлалт өгсөн бөгөөд энэхүү хандив нь Боловсролын яамны бага ангийн хүүхдүүдэд зориулсан асрахуйн тогтолцоог сайжруулах төлөвлөгөөг дэмжих зорилготой юм. Мөн хандивын зарим хэсгийг бүс нутгийн асрахуйн инститүц байгуулах, Ныльбом (Neulbom) сургуулийн хөтөлбөрийн хүрээнд эдийн засаг, санхүүгийн үнэ төлбөргүй боловсролын сургалтуудыг санхүүжүүлэхэд зарцуулах аж.</w:t>
      </w:r>
    </w:p>
    <w:p w14:paraId="6EFD5A6D" w14:textId="77777777" w:rsidR="000A6E31" w:rsidRPr="00EC102E" w:rsidRDefault="000A6E31">
      <w:pPr>
        <w:spacing w:after="0" w:line="240" w:lineRule="auto"/>
        <w:ind w:firstLine="720"/>
        <w:jc w:val="both"/>
        <w:rPr>
          <w:rFonts w:ascii="Arial" w:eastAsia="Arial" w:hAnsi="Arial" w:cs="Arial"/>
          <w:sz w:val="24"/>
          <w:szCs w:val="24"/>
          <w:lang w:val="mn-MN"/>
        </w:rPr>
      </w:pPr>
    </w:p>
    <w:p w14:paraId="0882FA51"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Солонгос улс 2021 онд ДНБ-ийхээ 4.87 хувийг боловсролын салбарт зарцуулсан. Мөн улсын сургуулиудад орлого багатай өрхийн хүүхдүүдэд зориулсан нэмэлт сургалт, засгийн газрын санхүүжилттэй хөтөлбөрийг хэрэгжүүлдэг. </w:t>
      </w:r>
    </w:p>
    <w:p w14:paraId="23C9AC80" w14:textId="77777777" w:rsidR="000A6E31" w:rsidRPr="00EC102E" w:rsidRDefault="000A6E31">
      <w:pPr>
        <w:spacing w:after="200" w:line="240" w:lineRule="auto"/>
        <w:jc w:val="both"/>
        <w:rPr>
          <w:rFonts w:ascii="Arial" w:eastAsia="Arial" w:hAnsi="Arial" w:cs="Arial"/>
          <w:b/>
          <w:sz w:val="24"/>
          <w:szCs w:val="24"/>
          <w:lang w:val="mn-MN"/>
        </w:rPr>
      </w:pPr>
    </w:p>
    <w:p w14:paraId="0AEB7163"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Исланд</w:t>
      </w:r>
    </w:p>
    <w:p w14:paraId="05699000" w14:textId="77777777" w:rsidR="000A6E31" w:rsidRPr="00EC102E" w:rsidRDefault="00DF52AE">
      <w:pPr>
        <w:spacing w:after="0" w:line="240" w:lineRule="auto"/>
        <w:jc w:val="both"/>
        <w:rPr>
          <w:rFonts w:ascii="Arial" w:eastAsia="Arial" w:hAnsi="Arial" w:cs="Arial"/>
          <w:b/>
          <w:sz w:val="24"/>
          <w:szCs w:val="24"/>
          <w:lang w:val="mn-MN"/>
        </w:rPr>
      </w:pPr>
      <w:r w:rsidRPr="00EC102E">
        <w:rPr>
          <w:rFonts w:ascii="Arial" w:eastAsia="Arial" w:hAnsi="Arial" w:cs="Arial"/>
          <w:b/>
          <w:sz w:val="24"/>
          <w:szCs w:val="24"/>
          <w:lang w:val="mn-MN"/>
        </w:rPr>
        <w:t>ХХИ- 1 (2023)</w:t>
      </w:r>
    </w:p>
    <w:p w14:paraId="3DC609D8" w14:textId="77777777" w:rsidR="000A6E31" w:rsidRPr="00EC102E" w:rsidRDefault="000A6E31">
      <w:pPr>
        <w:spacing w:after="0" w:line="240" w:lineRule="auto"/>
        <w:jc w:val="both"/>
        <w:rPr>
          <w:rFonts w:ascii="Arial" w:eastAsia="Arial" w:hAnsi="Arial" w:cs="Arial"/>
          <w:sz w:val="24"/>
          <w:szCs w:val="24"/>
          <w:lang w:val="mn-MN"/>
        </w:rPr>
      </w:pPr>
    </w:p>
    <w:p w14:paraId="717485FF" w14:textId="77777777"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 xml:space="preserve">Исландын Рейкьявик хот 2007 онд 6–18 насны бүх хүүхдэд зориулсан “Чөлөөт цагийн карт” (Frístundakort) хөтөлбөрийг хэрэгжүүлж эхэлсэн бөгөөд хэд хэдэн хотууд дагаж энэ санаачилгыг хэрэгжүүлсэн. Энэхүү хөтөлбөрийн хүрээнд хүүхдүүд жил бүр санхүүгийн дэмжлэг авч, спорт, урлаг, хөгжмийн сургалт зэрэг чөлөөт цагийн үйл ажиллагаанд оролцох боломжтой болдог. 2023 онд тус хотод хууль ёсны оршин суух эрхтэй хүүхдүүдэд нийгэм, эдийн засгийн байдлаас үл хамааран 75,000 исланд крон (579 ам.доллар) олгохоор тогтсон байна. </w:t>
      </w:r>
    </w:p>
    <w:p w14:paraId="1E45825F" w14:textId="77777777" w:rsidR="000A6E31" w:rsidRPr="00EC102E" w:rsidRDefault="000A6E31">
      <w:pPr>
        <w:spacing w:after="0" w:line="240" w:lineRule="auto"/>
        <w:ind w:firstLine="720"/>
        <w:jc w:val="both"/>
        <w:rPr>
          <w:rFonts w:ascii="Arial" w:eastAsia="Arial" w:hAnsi="Arial" w:cs="Arial"/>
          <w:sz w:val="24"/>
          <w:szCs w:val="24"/>
          <w:lang w:val="mn-MN"/>
        </w:rPr>
      </w:pPr>
    </w:p>
    <w:p w14:paraId="6BA73E5E" w14:textId="0AAD31A8" w:rsidR="000A6E31" w:rsidRPr="00EC102E" w:rsidRDefault="00DF52AE">
      <w:pPr>
        <w:spacing w:after="0" w:line="240" w:lineRule="auto"/>
        <w:ind w:firstLine="720"/>
        <w:jc w:val="both"/>
        <w:rPr>
          <w:rFonts w:ascii="Arial" w:eastAsia="Arial" w:hAnsi="Arial" w:cs="Arial"/>
          <w:sz w:val="24"/>
          <w:szCs w:val="24"/>
          <w:lang w:val="mn-MN"/>
        </w:rPr>
      </w:pPr>
      <w:r w:rsidRPr="00EC102E">
        <w:rPr>
          <w:rFonts w:ascii="Arial" w:eastAsia="Arial" w:hAnsi="Arial" w:cs="Arial"/>
          <w:sz w:val="24"/>
          <w:szCs w:val="24"/>
          <w:lang w:val="mn-MN"/>
        </w:rPr>
        <w:t>Энэхүү тэтгэмжийг хотын төсвөөс гаргадаг бөгөөд Соёл, спортын газраас удирдан зохион байгуулдаг. Хүүхдийн эцэг, эх, гэр бүлд шууд мөнгөн тэтгэмж хэлбэрээр олгогддоггүй. Харин эцэг эх, асран хамгаалагчид цахим системээр дамжуулан уг тэтгэмжийг зөвшөөрөгдсөн дугуйлан, клуб зэрэг байгуулла</w:t>
      </w:r>
      <w:r w:rsidR="009221D9">
        <w:rPr>
          <w:rFonts w:ascii="Arial" w:eastAsia="Arial" w:hAnsi="Arial" w:cs="Arial"/>
          <w:sz w:val="24"/>
          <w:szCs w:val="24"/>
          <w:lang w:val="mn-MN"/>
        </w:rPr>
        <w:t>гат</w:t>
      </w:r>
      <w:r w:rsidRPr="00EC102E">
        <w:rPr>
          <w:rFonts w:ascii="Arial" w:eastAsia="Arial" w:hAnsi="Arial" w:cs="Arial"/>
          <w:sz w:val="24"/>
          <w:szCs w:val="24"/>
          <w:lang w:val="mn-MN"/>
        </w:rPr>
        <w:t xml:space="preserve"> хуваарилдаг. Эдгээр байгууллаг</w:t>
      </w:r>
      <w:r w:rsidR="00372EB5">
        <w:rPr>
          <w:rFonts w:ascii="Arial" w:eastAsia="Arial" w:hAnsi="Arial" w:cs="Arial"/>
          <w:sz w:val="24"/>
          <w:szCs w:val="24"/>
          <w:lang w:val="mn-MN"/>
        </w:rPr>
        <w:t>а</w:t>
      </w:r>
      <w:r w:rsidRPr="00EC102E">
        <w:rPr>
          <w:rFonts w:ascii="Arial" w:eastAsia="Arial" w:hAnsi="Arial" w:cs="Arial"/>
          <w:sz w:val="24"/>
          <w:szCs w:val="24"/>
          <w:lang w:val="mn-MN"/>
        </w:rPr>
        <w:t xml:space="preserve"> нь үйл ажиллагааны төлбөрийг хотын захиргаанаас нэхэмжилж авдаг бөгөөд хэрэв тухайн сургалтын төлбөрийн зөрүү байгаа тохиолдолд эцэг, эх, асран хамгаалагчид нь төлнө. Цахим системд зөвшөөрөлтэй бүх дугуйлан, сургалтын байгууллагууд бүртгэлтэй бөгөөд эцэг, эх, асран хамгаалагчид системд нэвтрэн сонголт болон мөнгөн дүнгээ хув</w:t>
      </w:r>
      <w:r w:rsidR="009E0F3D">
        <w:rPr>
          <w:rFonts w:ascii="Arial" w:eastAsia="Arial" w:hAnsi="Arial" w:cs="Arial"/>
          <w:sz w:val="24"/>
          <w:szCs w:val="24"/>
          <w:lang w:val="mn-MN"/>
        </w:rPr>
        <w:t>аа</w:t>
      </w:r>
      <w:r w:rsidRPr="00EC102E">
        <w:rPr>
          <w:rFonts w:ascii="Arial" w:eastAsia="Arial" w:hAnsi="Arial" w:cs="Arial"/>
          <w:sz w:val="24"/>
          <w:szCs w:val="24"/>
          <w:lang w:val="mn-MN"/>
        </w:rPr>
        <w:t>р</w:t>
      </w:r>
      <w:r w:rsidR="009E0F3D">
        <w:rPr>
          <w:rFonts w:ascii="Arial" w:eastAsia="Arial" w:hAnsi="Arial" w:cs="Arial"/>
          <w:sz w:val="24"/>
          <w:szCs w:val="24"/>
          <w:lang w:val="mn-MN"/>
        </w:rPr>
        <w:t>и</w:t>
      </w:r>
      <w:r w:rsidRPr="00EC102E">
        <w:rPr>
          <w:rFonts w:ascii="Arial" w:eastAsia="Arial" w:hAnsi="Arial" w:cs="Arial"/>
          <w:sz w:val="24"/>
          <w:szCs w:val="24"/>
          <w:lang w:val="mn-MN"/>
        </w:rPr>
        <w:t xml:space="preserve">лах, сургалтын байгууллага нөхөн төлбөрийн нэхэмжлэх боломжтой. </w:t>
      </w:r>
    </w:p>
    <w:p w14:paraId="0A107D69" w14:textId="77777777" w:rsidR="000A6E31" w:rsidRPr="00EC102E" w:rsidRDefault="000A6E31">
      <w:pPr>
        <w:widowControl w:val="0"/>
        <w:tabs>
          <w:tab w:val="left" w:pos="1080"/>
        </w:tabs>
        <w:spacing w:after="0" w:line="240" w:lineRule="auto"/>
        <w:ind w:firstLine="720"/>
        <w:jc w:val="both"/>
        <w:rPr>
          <w:rFonts w:ascii="Arial" w:eastAsia="Arial" w:hAnsi="Arial" w:cs="Arial"/>
          <w:sz w:val="24"/>
          <w:szCs w:val="24"/>
          <w:lang w:val="mn-MN"/>
        </w:rPr>
      </w:pPr>
    </w:p>
    <w:p w14:paraId="35A7CFEE" w14:textId="77777777" w:rsidR="000A6E31" w:rsidRPr="00EC102E" w:rsidRDefault="000A6E31">
      <w:pPr>
        <w:spacing w:line="240" w:lineRule="auto"/>
        <w:rPr>
          <w:rFonts w:ascii="Arial" w:eastAsia="Arial" w:hAnsi="Arial" w:cs="Arial"/>
          <w:sz w:val="24"/>
          <w:szCs w:val="24"/>
          <w:lang w:val="mn-MN"/>
        </w:rPr>
      </w:pPr>
    </w:p>
    <w:sectPr w:rsidR="000A6E31" w:rsidRPr="00EC102E" w:rsidSect="009504EC">
      <w:pgSz w:w="11900" w:h="16840"/>
      <w:pgMar w:top="1440" w:right="12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A9F5" w14:textId="77777777" w:rsidR="000C3769" w:rsidRDefault="000C3769">
      <w:pPr>
        <w:spacing w:after="0" w:line="240" w:lineRule="auto"/>
      </w:pPr>
      <w:r>
        <w:separator/>
      </w:r>
    </w:p>
  </w:endnote>
  <w:endnote w:type="continuationSeparator" w:id="0">
    <w:p w14:paraId="39BEA047" w14:textId="77777777" w:rsidR="000C3769" w:rsidRDefault="000C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F32" w14:textId="49384612" w:rsidR="000A6E31" w:rsidRDefault="00DF52A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07DDA">
      <w:rPr>
        <w:noProof/>
        <w:color w:val="000000"/>
      </w:rPr>
      <w:t>2</w:t>
    </w:r>
    <w:r>
      <w:rPr>
        <w:color w:val="000000"/>
      </w:rPr>
      <w:fldChar w:fldCharType="end"/>
    </w:r>
  </w:p>
  <w:p w14:paraId="1F296C6F" w14:textId="77777777" w:rsidR="000A6E31" w:rsidRDefault="000A6E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3B66" w14:textId="77777777" w:rsidR="000C3769" w:rsidRDefault="000C3769">
      <w:pPr>
        <w:spacing w:after="0" w:line="240" w:lineRule="auto"/>
      </w:pPr>
      <w:r>
        <w:separator/>
      </w:r>
    </w:p>
  </w:footnote>
  <w:footnote w:type="continuationSeparator" w:id="0">
    <w:p w14:paraId="6ADF3E9F" w14:textId="77777777" w:rsidR="000C3769" w:rsidRDefault="000C3769">
      <w:pPr>
        <w:spacing w:after="0" w:line="240" w:lineRule="auto"/>
      </w:pPr>
      <w:r>
        <w:continuationSeparator/>
      </w:r>
    </w:p>
  </w:footnote>
  <w:footnote w:id="1">
    <w:p w14:paraId="42C8E7E4" w14:textId="77777777" w:rsidR="000A6E31" w:rsidRPr="00133732" w:rsidRDefault="00DF52AE">
      <w:pPr>
        <w:spacing w:before="71"/>
        <w:jc w:val="both"/>
        <w:rPr>
          <w:rFonts w:ascii="Times New Roman" w:eastAsia="Times New Roman" w:hAnsi="Times New Roman" w:cs="Times New Roman"/>
          <w:sz w:val="20"/>
          <w:szCs w:val="20"/>
          <w:lang w:val="mn-MN"/>
        </w:rPr>
      </w:pPr>
      <w:r w:rsidRPr="00133732">
        <w:rPr>
          <w:rStyle w:val="FootnoteReference"/>
          <w:lang w:val="mn-MN"/>
        </w:rPr>
        <w:footnoteRef/>
      </w:r>
      <w:r w:rsidRPr="00133732">
        <w:rPr>
          <w:rFonts w:ascii="Times New Roman" w:eastAsia="Times New Roman" w:hAnsi="Times New Roman" w:cs="Times New Roman"/>
          <w:sz w:val="20"/>
          <w:szCs w:val="20"/>
          <w:lang w:val="mn-MN"/>
        </w:rPr>
        <w:t xml:space="preserve"> 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w:t>
      </w:r>
    </w:p>
    <w:p w14:paraId="3074F2F7" w14:textId="77777777" w:rsidR="000A6E31" w:rsidRDefault="000A6E3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
    <w:p w14:paraId="1199BF1B" w14:textId="77777777" w:rsidR="000A6E31" w:rsidRPr="00C27278" w:rsidRDefault="00DF52AE">
      <w:pPr>
        <w:spacing w:after="0" w:line="240" w:lineRule="auto"/>
        <w:rPr>
          <w:sz w:val="20"/>
          <w:szCs w:val="20"/>
          <w:lang w:val="mn-MN"/>
        </w:rPr>
      </w:pPr>
      <w:r w:rsidRPr="00C27278">
        <w:rPr>
          <w:rStyle w:val="FootnoteReference"/>
          <w:lang w:val="mn-MN"/>
        </w:rPr>
        <w:footnoteRef/>
      </w:r>
      <w:r w:rsidRPr="00C27278">
        <w:rPr>
          <w:sz w:val="20"/>
          <w:szCs w:val="20"/>
          <w:lang w:val="mn-MN"/>
        </w:rPr>
        <w:t xml:space="preserve"> Хүүхэд </w:t>
      </w:r>
      <w:r w:rsidRPr="00C27278">
        <w:rPr>
          <w:sz w:val="20"/>
          <w:szCs w:val="20"/>
          <w:lang w:val="mn-MN"/>
        </w:rPr>
        <w:t>хамгааллын тухай Монгол улсын хуулийн хэрэгжилтийн үнэлгээний тайлан-2021</w:t>
      </w:r>
    </w:p>
  </w:footnote>
  <w:footnote w:id="3">
    <w:p w14:paraId="52452C53" w14:textId="77777777" w:rsidR="000A6E31" w:rsidRDefault="00DF52AE">
      <w:pPr>
        <w:spacing w:after="0" w:line="240" w:lineRule="auto"/>
        <w:rPr>
          <w:sz w:val="20"/>
          <w:szCs w:val="20"/>
        </w:rPr>
      </w:pPr>
      <w:r>
        <w:rPr>
          <w:rStyle w:val="FootnoteReference"/>
        </w:rPr>
        <w:footnoteRef/>
      </w:r>
      <w:r>
        <w:rPr>
          <w:sz w:val="20"/>
          <w:szCs w:val="20"/>
        </w:rPr>
        <w:t xml:space="preserve"> Human development report 2025-UNDP</w:t>
      </w:r>
    </w:p>
  </w:footnote>
  <w:footnote w:id="4">
    <w:p w14:paraId="42C24ADD" w14:textId="77777777" w:rsidR="000A6E31" w:rsidRDefault="00DF52AE">
      <w:pPr>
        <w:spacing w:after="0" w:line="240" w:lineRule="auto"/>
        <w:rPr>
          <w:sz w:val="20"/>
          <w:szCs w:val="20"/>
        </w:rPr>
      </w:pPr>
      <w:r>
        <w:rPr>
          <w:rStyle w:val="FootnoteReference"/>
        </w:rPr>
        <w:footnoteRef/>
      </w:r>
      <w:r>
        <w:rPr>
          <w:sz w:val="20"/>
          <w:szCs w:val="20"/>
        </w:rPr>
        <w:t xml:space="preserve"> PISA report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F93"/>
    <w:multiLevelType w:val="multilevel"/>
    <w:tmpl w:val="7210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B58E3"/>
    <w:multiLevelType w:val="multilevel"/>
    <w:tmpl w:val="A0D44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0B520B"/>
    <w:multiLevelType w:val="multilevel"/>
    <w:tmpl w:val="57D020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5D05226"/>
    <w:multiLevelType w:val="multilevel"/>
    <w:tmpl w:val="92EE2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CA7AAC"/>
    <w:multiLevelType w:val="multilevel"/>
    <w:tmpl w:val="C94E2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91097B"/>
    <w:multiLevelType w:val="multilevel"/>
    <w:tmpl w:val="C152D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30335587"/>
    <w:multiLevelType w:val="multilevel"/>
    <w:tmpl w:val="DB086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2A6B33"/>
    <w:multiLevelType w:val="multilevel"/>
    <w:tmpl w:val="9FAE809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6A2520"/>
    <w:multiLevelType w:val="multilevel"/>
    <w:tmpl w:val="EA1E2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3097195">
    <w:abstractNumId w:val="6"/>
  </w:num>
  <w:num w:numId="2" w16cid:durableId="489296862">
    <w:abstractNumId w:val="0"/>
  </w:num>
  <w:num w:numId="3" w16cid:durableId="363022671">
    <w:abstractNumId w:val="4"/>
  </w:num>
  <w:num w:numId="4" w16cid:durableId="366637613">
    <w:abstractNumId w:val="5"/>
  </w:num>
  <w:num w:numId="5" w16cid:durableId="939607938">
    <w:abstractNumId w:val="7"/>
  </w:num>
  <w:num w:numId="6" w16cid:durableId="497694446">
    <w:abstractNumId w:val="2"/>
  </w:num>
  <w:num w:numId="7" w16cid:durableId="1453287393">
    <w:abstractNumId w:val="1"/>
  </w:num>
  <w:num w:numId="8" w16cid:durableId="805464954">
    <w:abstractNumId w:val="8"/>
  </w:num>
  <w:num w:numId="9" w16cid:durableId="752895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31"/>
    <w:rsid w:val="00033759"/>
    <w:rsid w:val="00053F9F"/>
    <w:rsid w:val="000551B6"/>
    <w:rsid w:val="000845AF"/>
    <w:rsid w:val="000A6E31"/>
    <w:rsid w:val="000C3769"/>
    <w:rsid w:val="000E43A9"/>
    <w:rsid w:val="00120EBE"/>
    <w:rsid w:val="00133732"/>
    <w:rsid w:val="0014109D"/>
    <w:rsid w:val="001C2E7D"/>
    <w:rsid w:val="001F78DD"/>
    <w:rsid w:val="0023536F"/>
    <w:rsid w:val="00262F8E"/>
    <w:rsid w:val="002930E4"/>
    <w:rsid w:val="002C2615"/>
    <w:rsid w:val="00307DDA"/>
    <w:rsid w:val="00330D11"/>
    <w:rsid w:val="00362422"/>
    <w:rsid w:val="00372EB5"/>
    <w:rsid w:val="00395595"/>
    <w:rsid w:val="003B7B40"/>
    <w:rsid w:val="003C6AF4"/>
    <w:rsid w:val="004120A8"/>
    <w:rsid w:val="00446FFD"/>
    <w:rsid w:val="00466E3E"/>
    <w:rsid w:val="0048510A"/>
    <w:rsid w:val="00486E83"/>
    <w:rsid w:val="004C10EB"/>
    <w:rsid w:val="004F2AB7"/>
    <w:rsid w:val="005351E1"/>
    <w:rsid w:val="00566DF4"/>
    <w:rsid w:val="00575E70"/>
    <w:rsid w:val="005D3BB7"/>
    <w:rsid w:val="005E05B9"/>
    <w:rsid w:val="005F29BE"/>
    <w:rsid w:val="00627D44"/>
    <w:rsid w:val="00662912"/>
    <w:rsid w:val="0069496B"/>
    <w:rsid w:val="006B57CA"/>
    <w:rsid w:val="0071465A"/>
    <w:rsid w:val="0076763C"/>
    <w:rsid w:val="0079759F"/>
    <w:rsid w:val="007D0CDB"/>
    <w:rsid w:val="007F4ED7"/>
    <w:rsid w:val="00800ABB"/>
    <w:rsid w:val="008063DC"/>
    <w:rsid w:val="00806CBD"/>
    <w:rsid w:val="008A36E2"/>
    <w:rsid w:val="008D3487"/>
    <w:rsid w:val="009221D9"/>
    <w:rsid w:val="00926520"/>
    <w:rsid w:val="009406F5"/>
    <w:rsid w:val="009504EC"/>
    <w:rsid w:val="0095361C"/>
    <w:rsid w:val="0099066A"/>
    <w:rsid w:val="009C05A5"/>
    <w:rsid w:val="009E0F3D"/>
    <w:rsid w:val="00A0249C"/>
    <w:rsid w:val="00A26FDF"/>
    <w:rsid w:val="00A55E69"/>
    <w:rsid w:val="00A641B4"/>
    <w:rsid w:val="00A918EC"/>
    <w:rsid w:val="00B878ED"/>
    <w:rsid w:val="00BB1078"/>
    <w:rsid w:val="00BB5437"/>
    <w:rsid w:val="00BE04ED"/>
    <w:rsid w:val="00BF4E66"/>
    <w:rsid w:val="00C27278"/>
    <w:rsid w:val="00C500C6"/>
    <w:rsid w:val="00C516B5"/>
    <w:rsid w:val="00C74429"/>
    <w:rsid w:val="00CA3EA1"/>
    <w:rsid w:val="00CA3FE7"/>
    <w:rsid w:val="00CA530D"/>
    <w:rsid w:val="00CC5BE4"/>
    <w:rsid w:val="00CD22CA"/>
    <w:rsid w:val="00CD4089"/>
    <w:rsid w:val="00CF312D"/>
    <w:rsid w:val="00CF3463"/>
    <w:rsid w:val="00D166CA"/>
    <w:rsid w:val="00D725CE"/>
    <w:rsid w:val="00DD633F"/>
    <w:rsid w:val="00DF52AE"/>
    <w:rsid w:val="00E06470"/>
    <w:rsid w:val="00E111FF"/>
    <w:rsid w:val="00E168F3"/>
    <w:rsid w:val="00E4715D"/>
    <w:rsid w:val="00E5395A"/>
    <w:rsid w:val="00E91527"/>
    <w:rsid w:val="00E93BC1"/>
    <w:rsid w:val="00EA4210"/>
    <w:rsid w:val="00EB65D8"/>
    <w:rsid w:val="00EC102E"/>
    <w:rsid w:val="00ED2CB7"/>
    <w:rsid w:val="00F03570"/>
    <w:rsid w:val="00F10839"/>
    <w:rsid w:val="00F1105E"/>
    <w:rsid w:val="00F843F5"/>
    <w:rsid w:val="00F926FE"/>
    <w:rsid w:val="00FC2CE6"/>
    <w:rsid w:val="00FE5522"/>
    <w:rsid w:val="00FF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66BD"/>
  <w15:docId w15:val="{CBDA991A-5467-49D4-9B16-377E550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7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IBL List Paragraph"/>
    <w:basedOn w:val="Normal"/>
    <w:link w:val="ListParagraphChar"/>
    <w:uiPriority w:val="34"/>
    <w:qFormat/>
    <w:rsid w:val="000D2D74"/>
    <w:pPr>
      <w:widowControl w:val="0"/>
      <w:autoSpaceDE w:val="0"/>
      <w:autoSpaceDN w:val="0"/>
      <w:spacing w:after="0" w:line="240" w:lineRule="auto"/>
      <w:ind w:left="860" w:hanging="360"/>
    </w:pPr>
    <w:rPr>
      <w:rFonts w:ascii="Arial" w:eastAsia="Arial" w:hAnsi="Arial" w:cs="Arial"/>
      <w:lang w:val="kk-KZ"/>
    </w:rPr>
  </w:style>
  <w:style w:type="paragraph" w:styleId="FootnoteText">
    <w:name w:val="footnote text"/>
    <w:basedOn w:val="Normal"/>
    <w:link w:val="FootnoteTextChar"/>
    <w:uiPriority w:val="99"/>
    <w:semiHidden/>
    <w:unhideWhenUsed/>
    <w:rsid w:val="000D2D7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D2D74"/>
    <w:rPr>
      <w:kern w:val="0"/>
      <w:sz w:val="20"/>
      <w:szCs w:val="20"/>
    </w:rPr>
  </w:style>
  <w:style w:type="character" w:styleId="FootnoteReference">
    <w:name w:val="footnote reference"/>
    <w:basedOn w:val="DefaultParagraphFont"/>
    <w:uiPriority w:val="99"/>
    <w:semiHidden/>
    <w:unhideWhenUsed/>
    <w:rsid w:val="000D2D74"/>
    <w:rPr>
      <w:vertAlign w:val="superscript"/>
    </w:rPr>
  </w:style>
  <w:style w:type="character" w:styleId="Hyperlink">
    <w:name w:val="Hyperlink"/>
    <w:basedOn w:val="DefaultParagraphFont"/>
    <w:uiPriority w:val="99"/>
    <w:unhideWhenUsed/>
    <w:rsid w:val="000D2D74"/>
    <w:rPr>
      <w:color w:val="0563C1" w:themeColor="hyperlink"/>
      <w:u w:val="single"/>
    </w:rPr>
  </w:style>
  <w:style w:type="paragraph" w:styleId="Footer">
    <w:name w:val="footer"/>
    <w:basedOn w:val="Normal"/>
    <w:link w:val="FooterChar"/>
    <w:uiPriority w:val="99"/>
    <w:unhideWhenUsed/>
    <w:rsid w:val="000D2D7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D2D74"/>
    <w:rPr>
      <w:kern w:val="0"/>
    </w:rPr>
  </w:style>
  <w:style w:type="table" w:styleId="TableGrid">
    <w:name w:val="Table Grid"/>
    <w:basedOn w:val="TableNormal"/>
    <w:uiPriority w:val="59"/>
    <w:rsid w:val="000D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
    <w:link w:val="ListParagraph"/>
    <w:uiPriority w:val="34"/>
    <w:locked/>
    <w:rsid w:val="000D2D74"/>
    <w:rPr>
      <w:rFonts w:ascii="Arial" w:eastAsia="Arial" w:hAnsi="Arial" w:cs="Arial"/>
      <w:kern w:val="0"/>
      <w:lang w:val="kk-KZ"/>
    </w:rPr>
  </w:style>
  <w:style w:type="paragraph" w:styleId="NormalWeb">
    <w:name w:val="Normal (Web)"/>
    <w:basedOn w:val="Normal"/>
    <w:uiPriority w:val="99"/>
    <w:unhideWhenUsed/>
    <w:rsid w:val="000D2D7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0D2D74"/>
    <w:rPr>
      <w:b/>
      <w:bCs/>
    </w:rPr>
  </w:style>
  <w:style w:type="character" w:styleId="CommentReference">
    <w:name w:val="annotation reference"/>
    <w:basedOn w:val="DefaultParagraphFont"/>
    <w:uiPriority w:val="99"/>
    <w:semiHidden/>
    <w:unhideWhenUsed/>
    <w:rsid w:val="000D2D74"/>
    <w:rPr>
      <w:sz w:val="16"/>
      <w:szCs w:val="16"/>
    </w:rPr>
  </w:style>
  <w:style w:type="paragraph" w:styleId="CommentText">
    <w:name w:val="annotation text"/>
    <w:basedOn w:val="Normal"/>
    <w:link w:val="CommentTextChar"/>
    <w:uiPriority w:val="99"/>
    <w:semiHidden/>
    <w:unhideWhenUsed/>
    <w:rsid w:val="000D2D74"/>
    <w:pPr>
      <w:spacing w:line="240" w:lineRule="auto"/>
    </w:pPr>
    <w:rPr>
      <w:sz w:val="20"/>
      <w:szCs w:val="20"/>
    </w:rPr>
  </w:style>
  <w:style w:type="character" w:customStyle="1" w:styleId="CommentTextChar">
    <w:name w:val="Comment Text Char"/>
    <w:basedOn w:val="DefaultParagraphFont"/>
    <w:link w:val="CommentText"/>
    <w:uiPriority w:val="99"/>
    <w:semiHidden/>
    <w:rsid w:val="000D2D74"/>
    <w:rPr>
      <w:kern w:val="0"/>
      <w:sz w:val="20"/>
      <w:szCs w:val="20"/>
      <w:lang w:val="en-SG"/>
    </w:rPr>
  </w:style>
  <w:style w:type="character" w:customStyle="1" w:styleId="markedcontent">
    <w:name w:val="markedcontent"/>
    <w:basedOn w:val="DefaultParagraphFont"/>
    <w:rsid w:val="000D2D74"/>
  </w:style>
  <w:style w:type="character" w:styleId="Emphasis">
    <w:name w:val="Emphasis"/>
    <w:basedOn w:val="DefaultParagraphFont"/>
    <w:uiPriority w:val="20"/>
    <w:qFormat/>
    <w:rsid w:val="000D2D74"/>
    <w:rPr>
      <w:i/>
      <w:iCs/>
    </w:rPr>
  </w:style>
  <w:style w:type="paragraph" w:styleId="CommentSubject">
    <w:name w:val="annotation subject"/>
    <w:basedOn w:val="CommentText"/>
    <w:next w:val="CommentText"/>
    <w:link w:val="CommentSubjectChar"/>
    <w:uiPriority w:val="99"/>
    <w:semiHidden/>
    <w:unhideWhenUsed/>
    <w:rsid w:val="000D2D74"/>
    <w:rPr>
      <w:b/>
      <w:bCs/>
    </w:rPr>
  </w:style>
  <w:style w:type="character" w:customStyle="1" w:styleId="CommentSubjectChar">
    <w:name w:val="Comment Subject Char"/>
    <w:basedOn w:val="CommentTextChar"/>
    <w:link w:val="CommentSubject"/>
    <w:uiPriority w:val="99"/>
    <w:semiHidden/>
    <w:rsid w:val="000D2D74"/>
    <w:rPr>
      <w:b/>
      <w:bCs/>
      <w:kern w:val="0"/>
      <w:sz w:val="20"/>
      <w:szCs w:val="20"/>
      <w:lang w:val="en-S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FAofOSFULqkg4x3HlHSJ/AeJw==">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9434</Words>
  <Characters>53774</Characters>
  <Application>Microsoft Office Word</Application>
  <DocSecurity>0</DocSecurity>
  <Lines>448</Lines>
  <Paragraphs>126</Paragraphs>
  <ScaleCrop>false</ScaleCrop>
  <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Enkhchimeg</dc:creator>
  <cp:lastModifiedBy>acer</cp:lastModifiedBy>
  <cp:revision>2</cp:revision>
  <dcterms:created xsi:type="dcterms:W3CDTF">2025-10-21T11:08:00Z</dcterms:created>
  <dcterms:modified xsi:type="dcterms:W3CDTF">2025-10-21T11:08:00Z</dcterms:modified>
</cp:coreProperties>
</file>