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4944A" w14:textId="7175C69E" w:rsidR="00E24F6C" w:rsidRPr="004C223C" w:rsidRDefault="00E24F6C" w:rsidP="00E24F6C">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АКТИВ УДИРДЛАГЫН ТУХАЙ ХУУЛИЙН ТӨС</w:t>
      </w:r>
      <w:r w:rsidR="0065444F" w:rsidRPr="004C223C">
        <w:rPr>
          <w:rFonts w:ascii="Arial" w:eastAsia="Microsoft Sans Serif" w:hAnsi="Arial" w:cs="Arial"/>
          <w:color w:val="000000"/>
          <w:sz w:val="24"/>
          <w:szCs w:val="24"/>
          <w:lang w:val="mn-MN"/>
        </w:rPr>
        <w:t xml:space="preserve">ЛИЙН ОЛОН НИЙТИЙН ХЭЛЭЛЦҮҮЛГИЙН </w:t>
      </w:r>
      <w:r w:rsidRPr="004C223C">
        <w:rPr>
          <w:rFonts w:ascii="Arial" w:eastAsia="Microsoft Sans Serif" w:hAnsi="Arial" w:cs="Arial"/>
          <w:color w:val="000000"/>
          <w:sz w:val="24"/>
          <w:szCs w:val="24"/>
          <w:lang w:val="mn-MN"/>
        </w:rPr>
        <w:t>САНАЛЫН ТОВ</w:t>
      </w:r>
      <w:r w:rsidR="00A144E8" w:rsidRPr="004C223C">
        <w:rPr>
          <w:rFonts w:ascii="Arial" w:eastAsia="Microsoft Sans Serif" w:hAnsi="Arial" w:cs="Arial"/>
          <w:color w:val="000000"/>
          <w:sz w:val="24"/>
          <w:szCs w:val="24"/>
          <w:lang w:val="mn-MN"/>
        </w:rPr>
        <w:t>ЪЁОГ</w:t>
      </w:r>
    </w:p>
    <w:p w14:paraId="4A66FAA1" w14:textId="3389DADC" w:rsidR="00E57111" w:rsidRPr="004C223C" w:rsidRDefault="00E57111" w:rsidP="00D32B81">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2019 оны</w:t>
      </w:r>
      <w:r w:rsidR="00D32B81" w:rsidRPr="004C223C">
        <w:rPr>
          <w:rFonts w:ascii="Arial" w:eastAsia="Microsoft Sans Serif" w:hAnsi="Arial" w:cs="Arial"/>
          <w:color w:val="000000"/>
          <w:sz w:val="24"/>
          <w:szCs w:val="24"/>
          <w:lang w:val="mn-MN"/>
        </w:rPr>
        <w:t xml:space="preserve"> 4 дүгээр сарын 15-ны өдөр</w:t>
      </w:r>
      <w:r w:rsidRPr="004C223C">
        <w:rPr>
          <w:rFonts w:ascii="Arial" w:eastAsia="Microsoft Sans Serif" w:hAnsi="Arial" w:cs="Arial"/>
          <w:color w:val="000000"/>
          <w:sz w:val="24"/>
          <w:szCs w:val="24"/>
          <w:lang w:val="mn-MN"/>
        </w:rPr>
        <w:t xml:space="preserve"> </w:t>
      </w:r>
    </w:p>
    <w:tbl>
      <w:tblPr>
        <w:tblW w:w="1440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810"/>
        <w:gridCol w:w="2250"/>
        <w:gridCol w:w="4680"/>
        <w:gridCol w:w="3060"/>
        <w:gridCol w:w="3600"/>
      </w:tblGrid>
      <w:tr w:rsidR="00E24F6C" w:rsidRPr="004C223C" w14:paraId="546353B7" w14:textId="77777777" w:rsidTr="00D32B81">
        <w:tc>
          <w:tcPr>
            <w:tcW w:w="810" w:type="dxa"/>
            <w:tcBorders>
              <w:top w:val="single" w:sz="4" w:space="0" w:color="00000A"/>
              <w:left w:val="single" w:sz="4" w:space="0" w:color="00000A"/>
              <w:bottom w:val="single" w:sz="4" w:space="0" w:color="00000A"/>
              <w:right w:val="single" w:sz="4" w:space="0" w:color="00000A"/>
            </w:tcBorders>
            <w:hideMark/>
          </w:tcPr>
          <w:p w14:paraId="16D9D17F" w14:textId="77777777" w:rsidR="00E24F6C" w:rsidRPr="004C223C" w:rsidRDefault="00E24F6C" w:rsidP="0065444F">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w:t>
            </w:r>
          </w:p>
        </w:tc>
        <w:tc>
          <w:tcPr>
            <w:tcW w:w="2250" w:type="dxa"/>
            <w:tcBorders>
              <w:top w:val="single" w:sz="4" w:space="0" w:color="00000A"/>
              <w:left w:val="single" w:sz="4" w:space="0" w:color="00000A"/>
              <w:bottom w:val="single" w:sz="4" w:space="0" w:color="00000A"/>
              <w:right w:val="single" w:sz="4" w:space="0" w:color="00000A"/>
            </w:tcBorders>
            <w:hideMark/>
          </w:tcPr>
          <w:p w14:paraId="3D46BD4B" w14:textId="77777777" w:rsidR="00E24F6C" w:rsidRPr="004C223C" w:rsidRDefault="00E24F6C" w:rsidP="00733C15">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Хаанаас</w:t>
            </w:r>
          </w:p>
        </w:tc>
        <w:tc>
          <w:tcPr>
            <w:tcW w:w="4680" w:type="dxa"/>
            <w:tcBorders>
              <w:top w:val="single" w:sz="4" w:space="0" w:color="00000A"/>
              <w:left w:val="single" w:sz="4" w:space="0" w:color="00000A"/>
              <w:bottom w:val="single" w:sz="4" w:space="0" w:color="00000A"/>
              <w:right w:val="single" w:sz="4" w:space="0" w:color="00000A"/>
            </w:tcBorders>
            <w:hideMark/>
          </w:tcPr>
          <w:p w14:paraId="5DD8BD03" w14:textId="77777777" w:rsidR="00E24F6C" w:rsidRPr="004C223C" w:rsidRDefault="00E24F6C" w:rsidP="00733C15">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Саналын утга</w:t>
            </w:r>
          </w:p>
        </w:tc>
        <w:tc>
          <w:tcPr>
            <w:tcW w:w="3060" w:type="dxa"/>
            <w:tcBorders>
              <w:top w:val="single" w:sz="4" w:space="0" w:color="00000A"/>
              <w:left w:val="single" w:sz="4" w:space="0" w:color="00000A"/>
              <w:bottom w:val="single" w:sz="4" w:space="0" w:color="00000A"/>
              <w:right w:val="single" w:sz="4" w:space="0" w:color="00000A"/>
            </w:tcBorders>
            <w:hideMark/>
          </w:tcPr>
          <w:p w14:paraId="5ED802F7" w14:textId="77777777" w:rsidR="00E24F6C" w:rsidRPr="004C223C" w:rsidRDefault="00E24F6C" w:rsidP="00733C15">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Саналыг тусгасан байдал</w:t>
            </w:r>
          </w:p>
        </w:tc>
        <w:tc>
          <w:tcPr>
            <w:tcW w:w="3600" w:type="dxa"/>
            <w:tcBorders>
              <w:top w:val="single" w:sz="4" w:space="0" w:color="00000A"/>
              <w:left w:val="single" w:sz="4" w:space="0" w:color="00000A"/>
              <w:bottom w:val="single" w:sz="4" w:space="0" w:color="00000A"/>
              <w:right w:val="single" w:sz="4" w:space="0" w:color="00000A"/>
            </w:tcBorders>
          </w:tcPr>
          <w:p w14:paraId="1FF6A6A2" w14:textId="77777777" w:rsidR="00E24F6C" w:rsidRPr="004C223C" w:rsidRDefault="00E24F6C" w:rsidP="00733C15">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Хуулийн төслийн зүйл, заалт</w:t>
            </w:r>
          </w:p>
        </w:tc>
      </w:tr>
      <w:tr w:rsidR="00A144E8" w:rsidRPr="004C223C" w14:paraId="76185EBE" w14:textId="77777777" w:rsidTr="00D32B81">
        <w:trPr>
          <w:trHeight w:val="359"/>
        </w:trPr>
        <w:tc>
          <w:tcPr>
            <w:tcW w:w="810" w:type="dxa"/>
            <w:vMerge w:val="restart"/>
            <w:tcBorders>
              <w:top w:val="single" w:sz="4" w:space="0" w:color="00000A"/>
              <w:left w:val="single" w:sz="4" w:space="0" w:color="00000A"/>
              <w:right w:val="single" w:sz="4" w:space="0" w:color="00000A"/>
            </w:tcBorders>
          </w:tcPr>
          <w:p w14:paraId="0B74CDD9" w14:textId="77777777"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w:t>
            </w:r>
          </w:p>
          <w:p w14:paraId="018F7C89" w14:textId="26DC777B"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val="restart"/>
            <w:tcBorders>
              <w:top w:val="single" w:sz="4" w:space="0" w:color="00000A"/>
              <w:left w:val="single" w:sz="4" w:space="0" w:color="00000A"/>
              <w:right w:val="single" w:sz="4" w:space="0" w:color="00000A"/>
            </w:tcBorders>
            <w:hideMark/>
          </w:tcPr>
          <w:p w14:paraId="61EE00A2" w14:textId="2DFF4990" w:rsidR="00A144E8" w:rsidRPr="004C223C" w:rsidRDefault="00A144E8" w:rsidP="00E57111">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Монголын банкны холбоо</w:t>
            </w:r>
          </w:p>
        </w:tc>
        <w:tc>
          <w:tcPr>
            <w:tcW w:w="4680" w:type="dxa"/>
            <w:tcBorders>
              <w:top w:val="single" w:sz="4" w:space="0" w:color="00000A"/>
              <w:left w:val="single" w:sz="4" w:space="0" w:color="00000A"/>
              <w:bottom w:val="single" w:sz="4" w:space="0" w:color="00000A"/>
              <w:right w:val="single" w:sz="4" w:space="0" w:color="00000A"/>
            </w:tcBorders>
          </w:tcPr>
          <w:p w14:paraId="0AA0215B" w14:textId="361B3D64"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Хуулийн зорилт дээр “Банк, санхүүгийн салбарын тогтвортой байдлыг хангах..” гэж томъёолсон боловч зөвхөн банкны салбарын чанаргүй активыг актив удирдлагын компани авахаар тусгагдсан байгаа тул хуулийн зорилтыг нийцүүлэх.</w:t>
            </w:r>
          </w:p>
        </w:tc>
        <w:tc>
          <w:tcPr>
            <w:tcW w:w="3060" w:type="dxa"/>
            <w:tcBorders>
              <w:top w:val="single" w:sz="4" w:space="0" w:color="00000A"/>
              <w:left w:val="single" w:sz="4" w:space="0" w:color="00000A"/>
              <w:right w:val="single" w:sz="4" w:space="0" w:color="00000A"/>
            </w:tcBorders>
            <w:hideMark/>
          </w:tcPr>
          <w:p w14:paraId="094E9A4F" w14:textId="5C667001" w:rsidR="00A144E8" w:rsidRPr="004C223C" w:rsidRDefault="00A144E8" w:rsidP="00335008">
            <w:pPr>
              <w:tabs>
                <w:tab w:val="left" w:pos="3686"/>
              </w:tabs>
              <w:spacing w:line="240" w:lineRule="auto"/>
              <w:jc w:val="both"/>
              <w:rPr>
                <w:rFonts w:ascii="Arial" w:eastAsia="Microsoft Sans Serif" w:hAnsi="Arial" w:cs="Arial"/>
                <w:b/>
                <w:color w:val="000000"/>
                <w:sz w:val="24"/>
                <w:szCs w:val="24"/>
                <w:lang w:val="mn-MN"/>
              </w:rPr>
            </w:pPr>
            <w:r w:rsidRPr="004C223C">
              <w:rPr>
                <w:rFonts w:ascii="Arial" w:eastAsia="Microsoft Sans Serif" w:hAnsi="Arial" w:cs="Arial"/>
                <w:color w:val="000000"/>
                <w:sz w:val="24"/>
                <w:szCs w:val="24"/>
                <w:lang w:val="mn-MN"/>
              </w:rPr>
              <w:t xml:space="preserve"> </w:t>
            </w:r>
            <w:r w:rsidRPr="004C223C">
              <w:rPr>
                <w:rFonts w:ascii="Arial" w:eastAsia="Microsoft Sans Serif" w:hAnsi="Arial" w:cs="Arial"/>
                <w:b/>
                <w:color w:val="000000"/>
                <w:sz w:val="24"/>
                <w:szCs w:val="24"/>
                <w:lang w:val="mn-MN"/>
              </w:rPr>
              <w:t xml:space="preserve">Саналыг хүлээн </w:t>
            </w:r>
            <w:bookmarkStart w:id="0" w:name="_GoBack"/>
            <w:bookmarkEnd w:id="0"/>
            <w:r w:rsidRPr="004C223C">
              <w:rPr>
                <w:rFonts w:ascii="Arial" w:eastAsia="Microsoft Sans Serif" w:hAnsi="Arial" w:cs="Arial"/>
                <w:b/>
                <w:color w:val="000000"/>
                <w:sz w:val="24"/>
                <w:szCs w:val="24"/>
                <w:lang w:val="mn-MN"/>
              </w:rPr>
              <w:t>авсан.</w:t>
            </w:r>
          </w:p>
        </w:tc>
        <w:tc>
          <w:tcPr>
            <w:tcW w:w="3600" w:type="dxa"/>
            <w:tcBorders>
              <w:top w:val="single" w:sz="4" w:space="0" w:color="00000A"/>
              <w:left w:val="single" w:sz="4" w:space="0" w:color="00000A"/>
              <w:right w:val="single" w:sz="4" w:space="0" w:color="00000A"/>
            </w:tcBorders>
          </w:tcPr>
          <w:p w14:paraId="569A3CB9" w14:textId="4F1D3C2F"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1.1.Энэ хуулийн зорилт нь банкны салбарын тогтвортой байдлыг хангах зорилго бүхий Монгол Улсын Актив Удирдлагын Компани /цаашид “Актив удирдлагын компани” гэх/-ийн үйл ажиллагааны зарчим, удирдлага, зохион байгуулалт, хяналтын эрх зүйн үндэс болон эрхлэх үйл ажиллагааны хүрээг тогтоож, зохицуулахад оршино.</w:t>
            </w:r>
          </w:p>
        </w:tc>
      </w:tr>
      <w:tr w:rsidR="00A144E8" w:rsidRPr="004C223C" w14:paraId="722F4A4C" w14:textId="77777777" w:rsidTr="002A63F1">
        <w:trPr>
          <w:trHeight w:val="359"/>
        </w:trPr>
        <w:tc>
          <w:tcPr>
            <w:tcW w:w="810" w:type="dxa"/>
            <w:vMerge/>
            <w:tcBorders>
              <w:left w:val="single" w:sz="4" w:space="0" w:color="00000A"/>
              <w:right w:val="single" w:sz="4" w:space="0" w:color="00000A"/>
            </w:tcBorders>
          </w:tcPr>
          <w:p w14:paraId="3923BCC1" w14:textId="496A3B61"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tcBorders>
              <w:left w:val="single" w:sz="4" w:space="0" w:color="00000A"/>
              <w:right w:val="single" w:sz="4" w:space="0" w:color="00000A"/>
            </w:tcBorders>
          </w:tcPr>
          <w:p w14:paraId="2B0CFA47" w14:textId="77777777" w:rsidR="00A144E8" w:rsidRPr="004C223C" w:rsidRDefault="00A144E8" w:rsidP="00E57111">
            <w:pPr>
              <w:tabs>
                <w:tab w:val="left" w:pos="3686"/>
              </w:tabs>
              <w:spacing w:line="240" w:lineRule="auto"/>
              <w:jc w:val="center"/>
              <w:rPr>
                <w:rFonts w:ascii="Arial" w:eastAsia="Microsoft Sans Serif" w:hAnsi="Arial" w:cs="Arial"/>
                <w:color w:val="000000"/>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14:paraId="2BEA382E" w14:textId="1A7CA077"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 xml:space="preserve">Актив удирдлагын тухай хуулийн төслийн 2-р зүйлд нэгэнт төрийн өмчийн оролцоотой  хуулийн этгээд байгуулахаар тусгасан учраас Төрийн болон орон нутгийн өмчийн тухай хуультай холбоотой асуудлыг энд анхаарах хэрэгтэй. </w:t>
            </w:r>
          </w:p>
        </w:tc>
        <w:tc>
          <w:tcPr>
            <w:tcW w:w="3060" w:type="dxa"/>
            <w:tcBorders>
              <w:top w:val="single" w:sz="4" w:space="0" w:color="00000A"/>
              <w:left w:val="single" w:sz="4" w:space="0" w:color="00000A"/>
              <w:right w:val="single" w:sz="4" w:space="0" w:color="00000A"/>
            </w:tcBorders>
          </w:tcPr>
          <w:p w14:paraId="537A1400" w14:textId="7E94E0CD" w:rsidR="00A144E8" w:rsidRPr="004C223C" w:rsidRDefault="00A144E8" w:rsidP="00335008">
            <w:pPr>
              <w:tabs>
                <w:tab w:val="left" w:pos="3686"/>
              </w:tabs>
              <w:spacing w:line="240" w:lineRule="auto"/>
              <w:jc w:val="both"/>
              <w:rPr>
                <w:rFonts w:ascii="Arial" w:eastAsia="Microsoft Sans Serif" w:hAnsi="Arial" w:cs="Arial"/>
                <w:b/>
                <w:color w:val="000000"/>
                <w:sz w:val="24"/>
                <w:szCs w:val="24"/>
                <w:lang w:val="mn-MN"/>
              </w:rPr>
            </w:pPr>
            <w:r w:rsidRPr="004C223C">
              <w:rPr>
                <w:rFonts w:ascii="Arial" w:eastAsia="Microsoft Sans Serif" w:hAnsi="Arial" w:cs="Arial"/>
                <w:b/>
                <w:color w:val="000000"/>
                <w:sz w:val="24"/>
                <w:szCs w:val="24"/>
                <w:lang w:val="mn-MN"/>
              </w:rPr>
              <w:t>Саналыг тусгаагүй.</w:t>
            </w:r>
          </w:p>
        </w:tc>
        <w:tc>
          <w:tcPr>
            <w:tcW w:w="3600" w:type="dxa"/>
            <w:tcBorders>
              <w:top w:val="single" w:sz="4" w:space="0" w:color="00000A"/>
              <w:left w:val="single" w:sz="4" w:space="0" w:color="00000A"/>
              <w:right w:val="single" w:sz="4" w:space="0" w:color="00000A"/>
            </w:tcBorders>
          </w:tcPr>
          <w:p w14:paraId="0D5E354C" w14:textId="77777777"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p>
        </w:tc>
      </w:tr>
      <w:tr w:rsidR="00A144E8" w:rsidRPr="004C223C" w14:paraId="64B442D3" w14:textId="77777777" w:rsidTr="00D32B81">
        <w:trPr>
          <w:trHeight w:val="944"/>
        </w:trPr>
        <w:tc>
          <w:tcPr>
            <w:tcW w:w="810" w:type="dxa"/>
            <w:vMerge/>
            <w:tcBorders>
              <w:left w:val="single" w:sz="4" w:space="0" w:color="00000A"/>
              <w:right w:val="single" w:sz="4" w:space="0" w:color="00000A"/>
            </w:tcBorders>
          </w:tcPr>
          <w:p w14:paraId="1FF7A18D" w14:textId="3557B8AE"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tcBorders>
              <w:left w:val="single" w:sz="4" w:space="0" w:color="00000A"/>
              <w:right w:val="single" w:sz="4" w:space="0" w:color="00000A"/>
            </w:tcBorders>
          </w:tcPr>
          <w:p w14:paraId="79FD61E1" w14:textId="77777777"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14:paraId="08A0F5C5" w14:textId="6BAD91B2"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 xml:space="preserve">Мөн төслийн 23.1.2 дахь заалт дээр гадаад улсын төрийн актив удирдлагын компанийн оруулсан хөрөнгө хувь нийлүүлсэн хөрөнгөд байж болно гэсэн байна. Заавал төрийн өмчлөлтэй актив </w:t>
            </w:r>
            <w:r w:rsidRPr="004C223C">
              <w:rPr>
                <w:rFonts w:ascii="Arial" w:eastAsia="Microsoft Sans Serif" w:hAnsi="Arial" w:cs="Arial"/>
                <w:color w:val="000000"/>
                <w:sz w:val="24"/>
                <w:szCs w:val="24"/>
                <w:lang w:val="mn-MN"/>
              </w:rPr>
              <w:lastRenderedPageBreak/>
              <w:t>удирдлагын компани байх уу? Эсвэл хувийн өмчийн актив удирдлагын компани байх уу?</w:t>
            </w:r>
          </w:p>
        </w:tc>
        <w:tc>
          <w:tcPr>
            <w:tcW w:w="3060" w:type="dxa"/>
            <w:tcBorders>
              <w:left w:val="single" w:sz="4" w:space="0" w:color="00000A"/>
              <w:right w:val="single" w:sz="4" w:space="0" w:color="00000A"/>
            </w:tcBorders>
          </w:tcPr>
          <w:p w14:paraId="70259251" w14:textId="2D007627" w:rsidR="00A144E8" w:rsidRPr="004C223C" w:rsidRDefault="00A144E8" w:rsidP="00335008">
            <w:pPr>
              <w:tabs>
                <w:tab w:val="left" w:pos="3686"/>
              </w:tabs>
              <w:spacing w:line="240" w:lineRule="auto"/>
              <w:jc w:val="both"/>
              <w:rPr>
                <w:rFonts w:ascii="Arial" w:eastAsia="Microsoft Sans Serif" w:hAnsi="Arial" w:cs="Arial"/>
                <w:b/>
                <w:color w:val="000000"/>
                <w:sz w:val="24"/>
                <w:szCs w:val="24"/>
                <w:lang w:val="mn-MN"/>
              </w:rPr>
            </w:pPr>
            <w:r w:rsidRPr="004C223C">
              <w:rPr>
                <w:rFonts w:ascii="Arial" w:eastAsia="Microsoft Sans Serif" w:hAnsi="Arial" w:cs="Arial"/>
                <w:b/>
                <w:color w:val="000000"/>
                <w:sz w:val="24"/>
                <w:szCs w:val="24"/>
                <w:lang w:val="mn-MN"/>
              </w:rPr>
              <w:lastRenderedPageBreak/>
              <w:t>Саналыг хүлээн авсан.</w:t>
            </w:r>
          </w:p>
        </w:tc>
        <w:tc>
          <w:tcPr>
            <w:tcW w:w="3600" w:type="dxa"/>
            <w:tcBorders>
              <w:left w:val="single" w:sz="4" w:space="0" w:color="00000A"/>
              <w:right w:val="single" w:sz="4" w:space="0" w:color="00000A"/>
            </w:tcBorders>
          </w:tcPr>
          <w:p w14:paraId="6C6B1FEA" w14:textId="22F8A70B"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27.1.2.олон улсын санхүүгийн байгууллага, гадаад улсын актив удирдлагын компанийн оруулсан хөрөнгө;</w:t>
            </w:r>
          </w:p>
        </w:tc>
      </w:tr>
      <w:tr w:rsidR="00A144E8" w:rsidRPr="004C223C" w14:paraId="52641559" w14:textId="77777777" w:rsidTr="00D32B81">
        <w:trPr>
          <w:trHeight w:val="944"/>
        </w:trPr>
        <w:tc>
          <w:tcPr>
            <w:tcW w:w="810" w:type="dxa"/>
            <w:vMerge/>
            <w:tcBorders>
              <w:left w:val="single" w:sz="4" w:space="0" w:color="00000A"/>
              <w:right w:val="single" w:sz="4" w:space="0" w:color="00000A"/>
            </w:tcBorders>
          </w:tcPr>
          <w:p w14:paraId="6BE8B6A2" w14:textId="1BDDFCBC"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tcBorders>
              <w:left w:val="single" w:sz="4" w:space="0" w:color="00000A"/>
              <w:right w:val="single" w:sz="4" w:space="0" w:color="00000A"/>
            </w:tcBorders>
          </w:tcPr>
          <w:p w14:paraId="59B34BE0" w14:textId="77777777"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14:paraId="4E72C749" w14:textId="459202DD"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Төслийн 7.1.2 дэх заалт дээр зөвхөн чанаргүй активтай холбоотой барьцаа хөрөнгийг зохицуулсан заалт, мөн зөвхөн зээлдэгч гэсэн нэр томъёо орсон байна. Зээлдэгч болон өртэй этгээд гэсэн нэр томъёо зайлшгүй хэрэгтэй. Мөн зөвхөн авлага биш өөр төрлийн төлбөрүүд байж болно</w:t>
            </w:r>
          </w:p>
        </w:tc>
        <w:tc>
          <w:tcPr>
            <w:tcW w:w="3060" w:type="dxa"/>
            <w:tcBorders>
              <w:left w:val="single" w:sz="4" w:space="0" w:color="00000A"/>
              <w:right w:val="single" w:sz="4" w:space="0" w:color="00000A"/>
            </w:tcBorders>
          </w:tcPr>
          <w:p w14:paraId="1715927E" w14:textId="77777777" w:rsidR="00A144E8" w:rsidRPr="004C223C" w:rsidRDefault="00A144E8" w:rsidP="00335008">
            <w:pPr>
              <w:tabs>
                <w:tab w:val="left" w:pos="3686"/>
              </w:tabs>
              <w:spacing w:line="240" w:lineRule="auto"/>
              <w:jc w:val="both"/>
              <w:rPr>
                <w:rFonts w:ascii="Arial" w:eastAsia="Microsoft Sans Serif" w:hAnsi="Arial" w:cs="Arial"/>
                <w:b/>
                <w:color w:val="000000"/>
                <w:sz w:val="24"/>
                <w:szCs w:val="24"/>
                <w:lang w:val="mn-MN"/>
              </w:rPr>
            </w:pPr>
            <w:r w:rsidRPr="004C223C">
              <w:rPr>
                <w:rFonts w:ascii="Arial" w:eastAsia="Microsoft Sans Serif" w:hAnsi="Arial" w:cs="Arial"/>
                <w:b/>
                <w:color w:val="000000"/>
                <w:sz w:val="24"/>
                <w:szCs w:val="24"/>
                <w:lang w:val="mn-MN"/>
              </w:rPr>
              <w:t>Саналыг тусгасан.</w:t>
            </w:r>
          </w:p>
          <w:p w14:paraId="24541F7A" w14:textId="47E70887"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Актив удирдлагын компани банкны чанаргүй зээлийг шилжүүлэн авах зохицуулалтыг тусгаж, тодорхойлолтод оруулсан.</w:t>
            </w:r>
          </w:p>
        </w:tc>
        <w:tc>
          <w:tcPr>
            <w:tcW w:w="3600" w:type="dxa"/>
            <w:tcBorders>
              <w:left w:val="single" w:sz="4" w:space="0" w:color="00000A"/>
              <w:right w:val="single" w:sz="4" w:space="0" w:color="00000A"/>
            </w:tcBorders>
          </w:tcPr>
          <w:p w14:paraId="3CE7977F" w14:textId="77777777"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10.1.Актив удирдлагын компани дараах үйл ажиллагааг эрхэлнэ:</w:t>
            </w:r>
          </w:p>
          <w:p w14:paraId="1BABAED1" w14:textId="77777777"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10.1.1.энэ хуульд заасны дагуу чанаргүй зээлийг банкнаас шилжүүлэн авах;</w:t>
            </w:r>
          </w:p>
          <w:p w14:paraId="245E4CF0" w14:textId="77777777"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10.1.2.хөрөнгө, зээл, зээлийн үндсэн хүү, гэрээнд заасан бол хэтэрсэн хугацааны хүү, нэмэгдүүлсэн хүүгийн төлбөрийг төлүүлэх, шаардлагатай тохиолдолд барьцаа, батлан даалт, баталгаа, фидуцийн зүйлээр үүргийн гүйцэтгэлийг хангуулах зэргээр банкнаас шилжүүлэн авсан чанаргүй зээлийг өмчлөх, эзэмших, удирдах, захиран зарцуулах;</w:t>
            </w:r>
          </w:p>
          <w:p w14:paraId="4A484AA2" w14:textId="50BA51D4"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10.1.3.банкнаас шилжүүлэн авсан чанаргүй зээлийн үнэ цэнийг нэмэгдүүлэх, хамгаалах талаар дараах арга хэмжээг авах:</w:t>
            </w:r>
          </w:p>
        </w:tc>
      </w:tr>
      <w:tr w:rsidR="00A144E8" w:rsidRPr="004C223C" w14:paraId="1800F88D" w14:textId="77777777" w:rsidTr="00D32B81">
        <w:trPr>
          <w:trHeight w:val="944"/>
        </w:trPr>
        <w:tc>
          <w:tcPr>
            <w:tcW w:w="810" w:type="dxa"/>
            <w:vMerge/>
            <w:tcBorders>
              <w:left w:val="single" w:sz="4" w:space="0" w:color="00000A"/>
              <w:right w:val="single" w:sz="4" w:space="0" w:color="00000A"/>
            </w:tcBorders>
          </w:tcPr>
          <w:p w14:paraId="71DEA965" w14:textId="5E3E1995"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tcBorders>
              <w:left w:val="single" w:sz="4" w:space="0" w:color="00000A"/>
              <w:right w:val="single" w:sz="4" w:space="0" w:color="00000A"/>
            </w:tcBorders>
          </w:tcPr>
          <w:p w14:paraId="06157085" w14:textId="77777777" w:rsidR="00A144E8" w:rsidRPr="004C223C" w:rsidRDefault="00A144E8" w:rsidP="007F40A7">
            <w:pPr>
              <w:tabs>
                <w:tab w:val="left" w:pos="3686"/>
              </w:tabs>
              <w:spacing w:after="0" w:line="240" w:lineRule="auto"/>
              <w:jc w:val="center"/>
              <w:rPr>
                <w:rFonts w:ascii="Arial" w:eastAsia="Microsoft Sans Serif" w:hAnsi="Arial" w:cs="Arial"/>
                <w:color w:val="000000"/>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14:paraId="7F8A5649" w14:textId="6B28D1E2"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Төлөөлөн удирдах зөвлөлийн гишүүдэд тавигдах шаардлагыг тодорхой болгох</w:t>
            </w:r>
          </w:p>
        </w:tc>
        <w:tc>
          <w:tcPr>
            <w:tcW w:w="3060" w:type="dxa"/>
            <w:tcBorders>
              <w:left w:val="single" w:sz="4" w:space="0" w:color="00000A"/>
              <w:right w:val="single" w:sz="4" w:space="0" w:color="00000A"/>
            </w:tcBorders>
          </w:tcPr>
          <w:p w14:paraId="0D53EE15" w14:textId="77777777" w:rsidR="00A144E8" w:rsidRPr="004C223C" w:rsidRDefault="00A144E8" w:rsidP="007F40A7">
            <w:pPr>
              <w:tabs>
                <w:tab w:val="left" w:pos="3686"/>
              </w:tabs>
              <w:spacing w:after="0" w:line="240" w:lineRule="auto"/>
              <w:jc w:val="both"/>
              <w:rPr>
                <w:rFonts w:ascii="Arial" w:eastAsia="Microsoft Sans Serif" w:hAnsi="Arial" w:cs="Arial"/>
                <w:b/>
                <w:color w:val="000000"/>
                <w:sz w:val="24"/>
                <w:szCs w:val="24"/>
                <w:lang w:val="mn-MN"/>
              </w:rPr>
            </w:pPr>
            <w:r w:rsidRPr="004C223C">
              <w:rPr>
                <w:rFonts w:ascii="Arial" w:eastAsia="Microsoft Sans Serif" w:hAnsi="Arial" w:cs="Arial"/>
                <w:b/>
                <w:color w:val="000000"/>
                <w:sz w:val="24"/>
                <w:szCs w:val="24"/>
                <w:lang w:val="mn-MN"/>
              </w:rPr>
              <w:t>Саналыг тусгасан.</w:t>
            </w:r>
          </w:p>
          <w:p w14:paraId="791D22A8" w14:textId="6140C860"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p>
        </w:tc>
        <w:tc>
          <w:tcPr>
            <w:tcW w:w="3600" w:type="dxa"/>
            <w:tcBorders>
              <w:left w:val="single" w:sz="4" w:space="0" w:color="00000A"/>
              <w:right w:val="single" w:sz="4" w:space="0" w:color="00000A"/>
            </w:tcBorders>
          </w:tcPr>
          <w:p w14:paraId="432674F5" w14:textId="77777777"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17.4.Төлөөлөн удирдах зөвлөлийн гишүүн дараах шалгуурыг хангасан байна:</w:t>
            </w:r>
          </w:p>
          <w:p w14:paraId="4AD939E9" w14:textId="2006E25B"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17.4.1.зээл, батлан даалт, баталгааны гэрээгээр хүлээсэн хугацаа хэтэрсэн аливаа өрийн үлдэгдэлгүй байх;</w:t>
            </w:r>
          </w:p>
          <w:p w14:paraId="0A8F810E" w14:textId="77777777"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17.4.2 эдийн засагч, эрх зүйч мэргэжилтэй;</w:t>
            </w:r>
          </w:p>
          <w:p w14:paraId="3E56AEA8" w14:textId="77777777"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17.4.3.банк, санхүү, эрх зүй, эдийн засгийн чиглэлээр тав буюу түүнээс дээш жил, удирдах албан тушаалтнаар хоёр буюу түүнээс дээш жил ажилласан байх;</w:t>
            </w:r>
          </w:p>
          <w:p w14:paraId="1E774231" w14:textId="77777777"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17.4.4. гэмт хэрэгт ял шийтгүүлж байгаагүй байх;</w:t>
            </w:r>
          </w:p>
          <w:p w14:paraId="6DC775D9" w14:textId="60331F80" w:rsidR="00A144E8" w:rsidRPr="004C223C" w:rsidRDefault="00A144E8" w:rsidP="007F40A7">
            <w:pPr>
              <w:tabs>
                <w:tab w:val="left" w:pos="3686"/>
              </w:tabs>
              <w:spacing w:after="0"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17.4.5.тохиромжтой этгээд байх.</w:t>
            </w:r>
          </w:p>
        </w:tc>
      </w:tr>
      <w:tr w:rsidR="00A144E8" w:rsidRPr="004C223C" w14:paraId="1D934F46" w14:textId="77777777" w:rsidTr="00D32B81">
        <w:trPr>
          <w:trHeight w:val="944"/>
        </w:trPr>
        <w:tc>
          <w:tcPr>
            <w:tcW w:w="810" w:type="dxa"/>
            <w:vMerge/>
            <w:tcBorders>
              <w:left w:val="single" w:sz="4" w:space="0" w:color="00000A"/>
              <w:right w:val="single" w:sz="4" w:space="0" w:color="00000A"/>
            </w:tcBorders>
          </w:tcPr>
          <w:p w14:paraId="2BCA14B7" w14:textId="1AF2A56C"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tcBorders>
              <w:left w:val="single" w:sz="4" w:space="0" w:color="00000A"/>
              <w:right w:val="single" w:sz="4" w:space="0" w:color="00000A"/>
            </w:tcBorders>
          </w:tcPr>
          <w:p w14:paraId="02896D2D" w14:textId="77777777"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14:paraId="6D2E0FC4" w14:textId="0703FB19"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Актив удирдлагын компанийг богино хугацаанд байгуулж байгаа тул тухайн хугацаанд Аж ахуй нэгжийн орлогын албан татвар зэрэг бусад татвараас чөлөөлөх хэрэгтэй байна. Учир нь актив удирдлагын компани байгуулагдаад амжилттай яваа улсын жишээнээс харахад татвараас чөлөөлж байсан байна.</w:t>
            </w:r>
          </w:p>
        </w:tc>
        <w:tc>
          <w:tcPr>
            <w:tcW w:w="3060" w:type="dxa"/>
            <w:tcBorders>
              <w:left w:val="single" w:sz="4" w:space="0" w:color="00000A"/>
              <w:right w:val="single" w:sz="4" w:space="0" w:color="00000A"/>
            </w:tcBorders>
          </w:tcPr>
          <w:p w14:paraId="0DC5FFF2" w14:textId="77777777" w:rsidR="00A144E8" w:rsidRPr="004C223C" w:rsidRDefault="00A144E8" w:rsidP="00335008">
            <w:pPr>
              <w:tabs>
                <w:tab w:val="left" w:pos="3686"/>
              </w:tabs>
              <w:spacing w:line="240" w:lineRule="auto"/>
              <w:jc w:val="both"/>
              <w:rPr>
                <w:rFonts w:ascii="Arial" w:eastAsia="Microsoft Sans Serif" w:hAnsi="Arial" w:cs="Arial"/>
                <w:b/>
                <w:color w:val="000000"/>
                <w:sz w:val="24"/>
                <w:szCs w:val="24"/>
                <w:lang w:val="mn-MN"/>
              </w:rPr>
            </w:pPr>
            <w:r w:rsidRPr="004C223C">
              <w:rPr>
                <w:rFonts w:ascii="Arial" w:eastAsia="Microsoft Sans Serif" w:hAnsi="Arial" w:cs="Arial"/>
                <w:b/>
                <w:color w:val="000000"/>
                <w:sz w:val="24"/>
                <w:szCs w:val="24"/>
                <w:lang w:val="mn-MN"/>
              </w:rPr>
              <w:t>Саналыг тусгасан.</w:t>
            </w:r>
          </w:p>
          <w:p w14:paraId="1B1FC9CB" w14:textId="42CB5EF5"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Дагалдах хуулийн төсөл болон хуулийн төсөлд тусгасан.</w:t>
            </w:r>
          </w:p>
        </w:tc>
        <w:tc>
          <w:tcPr>
            <w:tcW w:w="3600" w:type="dxa"/>
            <w:tcBorders>
              <w:left w:val="single" w:sz="4" w:space="0" w:color="00000A"/>
              <w:right w:val="single" w:sz="4" w:space="0" w:color="00000A"/>
            </w:tcBorders>
          </w:tcPr>
          <w:p w14:paraId="2D8D3768" w14:textId="726A1926"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 xml:space="preserve">41.1. Актив удирдлагын компани нь хуульд заасны дагуу албан татвар, хураамж, шимтгэлээс чөлөөлөгдөнө.  </w:t>
            </w:r>
          </w:p>
        </w:tc>
      </w:tr>
      <w:tr w:rsidR="00A144E8" w:rsidRPr="004C223C" w14:paraId="148D10E2" w14:textId="77777777" w:rsidTr="00D32B81">
        <w:trPr>
          <w:trHeight w:val="944"/>
        </w:trPr>
        <w:tc>
          <w:tcPr>
            <w:tcW w:w="810" w:type="dxa"/>
            <w:vMerge/>
            <w:tcBorders>
              <w:left w:val="single" w:sz="4" w:space="0" w:color="00000A"/>
              <w:right w:val="single" w:sz="4" w:space="0" w:color="00000A"/>
            </w:tcBorders>
          </w:tcPr>
          <w:p w14:paraId="1E2C3596" w14:textId="6180ED0B"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tcBorders>
              <w:left w:val="single" w:sz="4" w:space="0" w:color="00000A"/>
              <w:right w:val="single" w:sz="4" w:space="0" w:color="00000A"/>
            </w:tcBorders>
          </w:tcPr>
          <w:p w14:paraId="21107291" w14:textId="77777777"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14:paraId="0F07EB90" w14:textId="04F796D0"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Төлөөлөн удирдах зөвлөлийн гишүүдийн тоог 9 болгох, гишүүн тус бүр мэргэшсэн байх шаардлага тавих,</w:t>
            </w:r>
          </w:p>
        </w:tc>
        <w:tc>
          <w:tcPr>
            <w:tcW w:w="3060" w:type="dxa"/>
            <w:tcBorders>
              <w:left w:val="single" w:sz="4" w:space="0" w:color="00000A"/>
              <w:right w:val="single" w:sz="4" w:space="0" w:color="00000A"/>
            </w:tcBorders>
          </w:tcPr>
          <w:p w14:paraId="3DE4A058" w14:textId="2FE02CD7" w:rsidR="00A144E8" w:rsidRPr="004C223C" w:rsidRDefault="00A144E8" w:rsidP="00335008">
            <w:pPr>
              <w:tabs>
                <w:tab w:val="left" w:pos="3686"/>
              </w:tabs>
              <w:spacing w:line="240" w:lineRule="auto"/>
              <w:jc w:val="both"/>
              <w:rPr>
                <w:rFonts w:ascii="Arial" w:eastAsia="Microsoft Sans Serif" w:hAnsi="Arial" w:cs="Arial"/>
                <w:b/>
                <w:color w:val="000000"/>
                <w:sz w:val="24"/>
                <w:szCs w:val="24"/>
                <w:lang w:val="mn-MN"/>
              </w:rPr>
            </w:pPr>
            <w:r w:rsidRPr="004C223C">
              <w:rPr>
                <w:rFonts w:ascii="Arial" w:eastAsia="Microsoft Sans Serif" w:hAnsi="Arial" w:cs="Arial"/>
                <w:b/>
                <w:color w:val="000000"/>
                <w:sz w:val="24"/>
                <w:szCs w:val="24"/>
                <w:lang w:val="mn-MN"/>
              </w:rPr>
              <w:t>Саналыг тусгаагүй.</w:t>
            </w:r>
          </w:p>
        </w:tc>
        <w:tc>
          <w:tcPr>
            <w:tcW w:w="3600" w:type="dxa"/>
            <w:tcBorders>
              <w:left w:val="single" w:sz="4" w:space="0" w:color="00000A"/>
              <w:right w:val="single" w:sz="4" w:space="0" w:color="00000A"/>
            </w:tcBorders>
          </w:tcPr>
          <w:p w14:paraId="2F1D539B" w14:textId="77777777" w:rsidR="00A144E8" w:rsidRPr="004C223C" w:rsidRDefault="00A144E8" w:rsidP="007F40A7">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17.1.Төлөөлөн удирдах зөвлөл нь долоон гишүүнтэй байх ба гурван гишүүн нь хараат бус гишүүн байна.</w:t>
            </w:r>
          </w:p>
          <w:p w14:paraId="06E8302E" w14:textId="131D1C35" w:rsidR="00A144E8" w:rsidRPr="004C223C" w:rsidRDefault="00A144E8" w:rsidP="007F40A7">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17.2.Төлөөлөн удирдах зөвлөлийн  хараат бус гишүүнийг Монголбанк, Олон улсын санхүүгийн байгууллагаас тус тус нэр дэвшүүлж, хувьцаа эзэмшигчдийн хурал сонгоно.</w:t>
            </w:r>
          </w:p>
        </w:tc>
      </w:tr>
      <w:tr w:rsidR="00A144E8" w:rsidRPr="004C223C" w14:paraId="440DD1E7" w14:textId="77777777" w:rsidTr="00D32B81">
        <w:trPr>
          <w:trHeight w:val="944"/>
        </w:trPr>
        <w:tc>
          <w:tcPr>
            <w:tcW w:w="810" w:type="dxa"/>
            <w:vMerge/>
            <w:tcBorders>
              <w:left w:val="single" w:sz="4" w:space="0" w:color="00000A"/>
              <w:right w:val="single" w:sz="4" w:space="0" w:color="00000A"/>
            </w:tcBorders>
          </w:tcPr>
          <w:p w14:paraId="5BFB5E6B" w14:textId="23C70E76"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tcBorders>
              <w:left w:val="single" w:sz="4" w:space="0" w:color="00000A"/>
              <w:right w:val="single" w:sz="4" w:space="0" w:color="00000A"/>
            </w:tcBorders>
          </w:tcPr>
          <w:p w14:paraId="55620736" w14:textId="77777777"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14:paraId="2CBB8261" w14:textId="71861A9F"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Аж ахуй нэгжийн орлогын албан татвараас чөлөөлөх зохицуулалт дагалдах хуульд тусгах.</w:t>
            </w:r>
          </w:p>
        </w:tc>
        <w:tc>
          <w:tcPr>
            <w:tcW w:w="3060" w:type="dxa"/>
            <w:tcBorders>
              <w:left w:val="single" w:sz="4" w:space="0" w:color="00000A"/>
              <w:right w:val="single" w:sz="4" w:space="0" w:color="00000A"/>
            </w:tcBorders>
          </w:tcPr>
          <w:p w14:paraId="7E01C8C5" w14:textId="77777777" w:rsidR="00A144E8" w:rsidRPr="004C223C" w:rsidRDefault="00A144E8" w:rsidP="007F40A7">
            <w:pPr>
              <w:tabs>
                <w:tab w:val="left" w:pos="3686"/>
              </w:tabs>
              <w:spacing w:line="240" w:lineRule="auto"/>
              <w:jc w:val="both"/>
              <w:rPr>
                <w:rFonts w:ascii="Arial" w:eastAsia="Microsoft Sans Serif" w:hAnsi="Arial" w:cs="Arial"/>
                <w:b/>
                <w:color w:val="000000"/>
                <w:sz w:val="24"/>
                <w:szCs w:val="24"/>
                <w:lang w:val="mn-MN"/>
              </w:rPr>
            </w:pPr>
            <w:r w:rsidRPr="004C223C">
              <w:rPr>
                <w:rFonts w:ascii="Arial" w:eastAsia="Microsoft Sans Serif" w:hAnsi="Arial" w:cs="Arial"/>
                <w:b/>
                <w:color w:val="000000"/>
                <w:sz w:val="24"/>
                <w:szCs w:val="24"/>
                <w:lang w:val="mn-MN"/>
              </w:rPr>
              <w:t>Саналыг тусгасан.</w:t>
            </w:r>
          </w:p>
          <w:p w14:paraId="30857BF6" w14:textId="1F450B98" w:rsidR="00A144E8" w:rsidRPr="004C223C" w:rsidRDefault="00A144E8" w:rsidP="007F40A7">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Аж ахуйн нэгжийн орлогын албан татварын тухай хуульд нэмэлт, өөрчлөлт оруулах тухай хуулийн төслийг дагалдах хуулийн төслийн хүрээнд боловсруулсан бөгөөд хуулийн төсөлд тусгасан.</w:t>
            </w:r>
          </w:p>
        </w:tc>
        <w:tc>
          <w:tcPr>
            <w:tcW w:w="3600" w:type="dxa"/>
            <w:tcBorders>
              <w:left w:val="single" w:sz="4" w:space="0" w:color="00000A"/>
              <w:right w:val="single" w:sz="4" w:space="0" w:color="00000A"/>
            </w:tcBorders>
          </w:tcPr>
          <w:p w14:paraId="0BF1531A" w14:textId="573A0143"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 xml:space="preserve">41.1. Актив удирдлагын компани нь хуульд заасны дагуу албан татвар, хураамж, шимтгэлээс чөлөөлөгдөнө.  </w:t>
            </w:r>
          </w:p>
        </w:tc>
      </w:tr>
      <w:tr w:rsidR="00A144E8" w:rsidRPr="004C223C" w14:paraId="55866102" w14:textId="77777777" w:rsidTr="00D32B81">
        <w:trPr>
          <w:trHeight w:val="944"/>
        </w:trPr>
        <w:tc>
          <w:tcPr>
            <w:tcW w:w="810" w:type="dxa"/>
            <w:vMerge/>
            <w:tcBorders>
              <w:left w:val="single" w:sz="4" w:space="0" w:color="00000A"/>
              <w:right w:val="single" w:sz="4" w:space="0" w:color="00000A"/>
            </w:tcBorders>
          </w:tcPr>
          <w:p w14:paraId="19FEEBBC" w14:textId="7EF99271"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tcBorders>
              <w:left w:val="single" w:sz="4" w:space="0" w:color="00000A"/>
              <w:right w:val="single" w:sz="4" w:space="0" w:color="00000A"/>
            </w:tcBorders>
          </w:tcPr>
          <w:p w14:paraId="63A63807" w14:textId="4A2339EA" w:rsidR="00A144E8" w:rsidRPr="004C223C" w:rsidRDefault="00A144E8" w:rsidP="0065444F">
            <w:pPr>
              <w:tabs>
                <w:tab w:val="left" w:pos="3686"/>
              </w:tabs>
              <w:spacing w:line="240" w:lineRule="auto"/>
              <w:jc w:val="center"/>
              <w:rPr>
                <w:rFonts w:ascii="Arial" w:eastAsia="Microsoft Sans Serif" w:hAnsi="Arial" w:cs="Arial"/>
                <w:color w:val="000000"/>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14:paraId="7AC04F3D" w14:textId="4025C0DD"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Үл хөдлөх хөрөнгө худалдан борлуулахад актив удирдлагын компанид ямар давуу тал байх вэ? Удаан үргэлжилдэг, сунжирсан шүүхийн процессыг багасгахгүй бол компанийн үйл ажиллагаа үр нөлөөгүй болно.</w:t>
            </w:r>
          </w:p>
        </w:tc>
        <w:tc>
          <w:tcPr>
            <w:tcW w:w="3060" w:type="dxa"/>
            <w:tcBorders>
              <w:left w:val="single" w:sz="4" w:space="0" w:color="00000A"/>
              <w:right w:val="single" w:sz="4" w:space="0" w:color="00000A"/>
            </w:tcBorders>
          </w:tcPr>
          <w:p w14:paraId="53C4E8D1" w14:textId="77777777" w:rsidR="00A144E8" w:rsidRPr="004C223C" w:rsidRDefault="00A144E8" w:rsidP="00335008">
            <w:pPr>
              <w:tabs>
                <w:tab w:val="left" w:pos="3686"/>
              </w:tabs>
              <w:spacing w:line="240" w:lineRule="auto"/>
              <w:jc w:val="both"/>
              <w:rPr>
                <w:rFonts w:ascii="Arial" w:eastAsia="Microsoft Sans Serif" w:hAnsi="Arial" w:cs="Arial"/>
                <w:b/>
                <w:color w:val="000000"/>
                <w:sz w:val="24"/>
                <w:szCs w:val="24"/>
                <w:lang w:val="mn-MN"/>
              </w:rPr>
            </w:pPr>
            <w:r w:rsidRPr="004C223C">
              <w:rPr>
                <w:rFonts w:ascii="Arial" w:eastAsia="Microsoft Sans Serif" w:hAnsi="Arial" w:cs="Arial"/>
                <w:b/>
                <w:color w:val="000000"/>
                <w:sz w:val="24"/>
                <w:szCs w:val="24"/>
                <w:lang w:val="mn-MN"/>
              </w:rPr>
              <w:t xml:space="preserve">Саналыг тусгасан. </w:t>
            </w:r>
          </w:p>
          <w:p w14:paraId="3EACCA2D" w14:textId="683C8FB1" w:rsidR="00A144E8" w:rsidRPr="004C223C" w:rsidRDefault="00A144E8"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Актив  удирдлагын компанийн нэхэмжлэлийг хянан шийдвэрлэх онцгой ажиллагааг хуулийн төсөлд эгүүлэн тусгасан. Уг бүлгээр компанийн нэхэмжлэлийн үнийг тодорхойлох, нэхэмжлэлийг шүүхэд хянан шийдвэрлэх ажиллагаа болон дуудлага худалдаатай холбоотой онцгой журмын зохицуулалтыг тусгасан.</w:t>
            </w:r>
          </w:p>
        </w:tc>
        <w:tc>
          <w:tcPr>
            <w:tcW w:w="3600" w:type="dxa"/>
            <w:tcBorders>
              <w:left w:val="single" w:sz="4" w:space="0" w:color="00000A"/>
              <w:right w:val="single" w:sz="4" w:space="0" w:color="00000A"/>
            </w:tcBorders>
          </w:tcPr>
          <w:p w14:paraId="42D6C5B0" w14:textId="77777777" w:rsidR="00A144E8" w:rsidRPr="004C223C" w:rsidRDefault="00A144E8" w:rsidP="00A144E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ДОЛДУГААР БҮЛЭГ</w:t>
            </w:r>
          </w:p>
          <w:p w14:paraId="05D4F34C" w14:textId="446AD019" w:rsidR="00A144E8" w:rsidRPr="004C223C" w:rsidRDefault="00A144E8" w:rsidP="00A144E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АКТИВ УДИРДЛАГЫН КОМПАНИЙН НЭХЭМЖЛЭЛИЙГ ХЯНАН ШИЙДВЭРЛЭХ ОНЦГОЙ АЖИЛЛАГАА</w:t>
            </w:r>
          </w:p>
        </w:tc>
      </w:tr>
      <w:tr w:rsidR="00FC6EDB" w:rsidRPr="004C223C" w14:paraId="16091997" w14:textId="77777777" w:rsidTr="00D32B81">
        <w:trPr>
          <w:trHeight w:val="944"/>
        </w:trPr>
        <w:tc>
          <w:tcPr>
            <w:tcW w:w="810" w:type="dxa"/>
            <w:tcBorders>
              <w:left w:val="single" w:sz="4" w:space="0" w:color="00000A"/>
              <w:right w:val="single" w:sz="4" w:space="0" w:color="00000A"/>
            </w:tcBorders>
          </w:tcPr>
          <w:p w14:paraId="7C4FDA62" w14:textId="77777777" w:rsidR="00FC6EDB" w:rsidRPr="004C223C" w:rsidRDefault="00FC6EDB"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val="restart"/>
            <w:tcBorders>
              <w:left w:val="single" w:sz="4" w:space="0" w:color="00000A"/>
              <w:right w:val="single" w:sz="4" w:space="0" w:color="00000A"/>
            </w:tcBorders>
          </w:tcPr>
          <w:p w14:paraId="1E79D957" w14:textId="008FEE24" w:rsidR="00FC6EDB" w:rsidRPr="004C223C" w:rsidRDefault="00FC6EDB" w:rsidP="0065444F">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Хаан банк</w:t>
            </w:r>
          </w:p>
        </w:tc>
        <w:tc>
          <w:tcPr>
            <w:tcW w:w="4680" w:type="dxa"/>
            <w:tcBorders>
              <w:top w:val="single" w:sz="4" w:space="0" w:color="00000A"/>
              <w:left w:val="single" w:sz="4" w:space="0" w:color="00000A"/>
              <w:bottom w:val="single" w:sz="4" w:space="0" w:color="00000A"/>
              <w:right w:val="single" w:sz="4" w:space="0" w:color="00000A"/>
            </w:tcBorders>
          </w:tcPr>
          <w:p w14:paraId="43939C46" w14:textId="7E235509" w:rsidR="00FC6EDB" w:rsidRPr="004C223C" w:rsidRDefault="00FC6EDB"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Мөн төслийг дагаж Үл хөдлөх хөрөнгийн харилцааг зохицуулсан хуульд ганц нэмэлт, өөрчлөлт орохоор байна. 10 хоногийн дотор дуудлага худалдаа явуулна гэдэг бодит байдалтай нийцэхгүй байна. Хөрөнгө хураан авсаны дараа 10 хоног гэвэл илүү бодит зохицуулалт болно.</w:t>
            </w:r>
          </w:p>
        </w:tc>
        <w:tc>
          <w:tcPr>
            <w:tcW w:w="3060" w:type="dxa"/>
            <w:tcBorders>
              <w:left w:val="single" w:sz="4" w:space="0" w:color="00000A"/>
              <w:right w:val="single" w:sz="4" w:space="0" w:color="00000A"/>
            </w:tcBorders>
          </w:tcPr>
          <w:p w14:paraId="7948BD72" w14:textId="77777777" w:rsidR="00FC6EDB" w:rsidRPr="004C223C" w:rsidRDefault="00FC6EDB" w:rsidP="00335008">
            <w:pPr>
              <w:tabs>
                <w:tab w:val="left" w:pos="3686"/>
              </w:tabs>
              <w:spacing w:line="240" w:lineRule="auto"/>
              <w:jc w:val="both"/>
              <w:rPr>
                <w:rFonts w:ascii="Arial" w:eastAsia="Microsoft Sans Serif" w:hAnsi="Arial" w:cs="Arial"/>
                <w:b/>
                <w:color w:val="000000"/>
                <w:sz w:val="24"/>
                <w:szCs w:val="24"/>
                <w:lang w:val="mn-MN"/>
              </w:rPr>
            </w:pPr>
            <w:r w:rsidRPr="004C223C">
              <w:rPr>
                <w:rFonts w:ascii="Arial" w:eastAsia="Microsoft Sans Serif" w:hAnsi="Arial" w:cs="Arial"/>
                <w:b/>
                <w:color w:val="000000"/>
                <w:sz w:val="24"/>
                <w:szCs w:val="24"/>
                <w:lang w:val="mn-MN"/>
              </w:rPr>
              <w:t>Саналыг тусгасан.</w:t>
            </w:r>
          </w:p>
          <w:p w14:paraId="10DEEFB7" w14:textId="342E8FA0" w:rsidR="00FC6EDB" w:rsidRPr="004C223C" w:rsidRDefault="00FC6EDB" w:rsidP="00335008">
            <w:pPr>
              <w:tabs>
                <w:tab w:val="left" w:pos="3686"/>
              </w:tabs>
              <w:spacing w:line="240" w:lineRule="auto"/>
              <w:jc w:val="both"/>
              <w:rPr>
                <w:rFonts w:ascii="Arial" w:eastAsia="Microsoft Sans Serif" w:hAnsi="Arial" w:cs="Arial"/>
                <w:b/>
                <w:color w:val="000000"/>
                <w:sz w:val="24"/>
                <w:szCs w:val="24"/>
                <w:lang w:val="mn-MN"/>
              </w:rPr>
            </w:pPr>
          </w:p>
        </w:tc>
        <w:tc>
          <w:tcPr>
            <w:tcW w:w="3600" w:type="dxa"/>
            <w:tcBorders>
              <w:left w:val="single" w:sz="4" w:space="0" w:color="00000A"/>
              <w:right w:val="single" w:sz="4" w:space="0" w:color="00000A"/>
            </w:tcBorders>
          </w:tcPr>
          <w:p w14:paraId="539F017E" w14:textId="47C58836" w:rsidR="00FC6EDB" w:rsidRPr="004C223C" w:rsidRDefault="00FC6EDB"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37.1.Актив удирдлагын компани энэ хуулийн 36 дугаар зүйлд заасан онцгой ажиллагааны журмаар эцэслэн гарсан шүүхийн шийдвэрийг гардан авсан өдрөөс хойш ажлын 10 хоногийн дотор дуудлага худалдааг зохион байгуулна.</w:t>
            </w:r>
          </w:p>
        </w:tc>
      </w:tr>
      <w:tr w:rsidR="00FC6EDB" w:rsidRPr="004C223C" w14:paraId="24062E74" w14:textId="77777777" w:rsidTr="00D32B81">
        <w:trPr>
          <w:trHeight w:val="944"/>
        </w:trPr>
        <w:tc>
          <w:tcPr>
            <w:tcW w:w="810" w:type="dxa"/>
            <w:tcBorders>
              <w:left w:val="single" w:sz="4" w:space="0" w:color="00000A"/>
              <w:right w:val="single" w:sz="4" w:space="0" w:color="00000A"/>
            </w:tcBorders>
          </w:tcPr>
          <w:p w14:paraId="4875CABB" w14:textId="77777777" w:rsidR="00FC6EDB" w:rsidRPr="004C223C" w:rsidRDefault="00FC6EDB"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tcBorders>
              <w:left w:val="single" w:sz="4" w:space="0" w:color="00000A"/>
              <w:right w:val="single" w:sz="4" w:space="0" w:color="00000A"/>
            </w:tcBorders>
          </w:tcPr>
          <w:p w14:paraId="69EF564D" w14:textId="77777777" w:rsidR="00FC6EDB" w:rsidRPr="004C223C" w:rsidRDefault="00FC6EDB" w:rsidP="0065444F">
            <w:pPr>
              <w:tabs>
                <w:tab w:val="left" w:pos="3686"/>
              </w:tabs>
              <w:spacing w:line="240" w:lineRule="auto"/>
              <w:jc w:val="center"/>
              <w:rPr>
                <w:rFonts w:ascii="Arial" w:eastAsia="Microsoft Sans Serif" w:hAnsi="Arial" w:cs="Arial"/>
                <w:color w:val="000000"/>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14:paraId="1DCEB72B" w14:textId="4AE0E520" w:rsidR="00FC6EDB" w:rsidRPr="004C223C" w:rsidRDefault="00FC6EDB"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Төсөлд актив удирдлагын компанийн хувь нийлүүлсэн хөрөнгийн 80 хувь нь хувийн, 20 хувь нь төрийн хөрөнгө оруулалтаас бүрдэж байгаа боловч шийдвэр гаргалтад төрийн өмчийн оролцоо өндөр байна. Компанийн хуулийн зохицуулалтыг харахад засаглалын хувь нь тэнцвэргүй байна. Зарчмын хувьд буруу тогтолцоо гэж харагдаж байна. Төрийн оролцоо бага байвал зүгээр биш үү?</w:t>
            </w:r>
          </w:p>
        </w:tc>
        <w:tc>
          <w:tcPr>
            <w:tcW w:w="3060" w:type="dxa"/>
            <w:tcBorders>
              <w:left w:val="single" w:sz="4" w:space="0" w:color="00000A"/>
              <w:right w:val="single" w:sz="4" w:space="0" w:color="00000A"/>
            </w:tcBorders>
          </w:tcPr>
          <w:p w14:paraId="1E55B561" w14:textId="77777777" w:rsidR="00FC6EDB" w:rsidRPr="004C223C" w:rsidRDefault="00FC6EDB" w:rsidP="00335008">
            <w:pPr>
              <w:tabs>
                <w:tab w:val="left" w:pos="3686"/>
              </w:tabs>
              <w:spacing w:line="240" w:lineRule="auto"/>
              <w:jc w:val="both"/>
              <w:rPr>
                <w:rFonts w:ascii="Arial" w:eastAsia="Microsoft Sans Serif" w:hAnsi="Arial" w:cs="Arial"/>
                <w:b/>
                <w:color w:val="000000"/>
                <w:sz w:val="24"/>
                <w:szCs w:val="24"/>
                <w:lang w:val="mn-MN"/>
              </w:rPr>
            </w:pPr>
          </w:p>
        </w:tc>
        <w:tc>
          <w:tcPr>
            <w:tcW w:w="3600" w:type="dxa"/>
            <w:tcBorders>
              <w:left w:val="single" w:sz="4" w:space="0" w:color="00000A"/>
              <w:right w:val="single" w:sz="4" w:space="0" w:color="00000A"/>
            </w:tcBorders>
          </w:tcPr>
          <w:p w14:paraId="591C0C06" w14:textId="77777777" w:rsidR="00FC6EDB" w:rsidRPr="004C223C" w:rsidRDefault="00FC6EDB" w:rsidP="00335008">
            <w:pPr>
              <w:tabs>
                <w:tab w:val="left" w:pos="3686"/>
              </w:tabs>
              <w:spacing w:line="240" w:lineRule="auto"/>
              <w:jc w:val="both"/>
              <w:rPr>
                <w:rFonts w:ascii="Arial" w:eastAsia="Microsoft Sans Serif" w:hAnsi="Arial" w:cs="Arial"/>
                <w:color w:val="000000"/>
                <w:sz w:val="24"/>
                <w:szCs w:val="24"/>
                <w:lang w:val="mn-MN"/>
              </w:rPr>
            </w:pPr>
          </w:p>
        </w:tc>
      </w:tr>
      <w:tr w:rsidR="00FC6EDB" w:rsidRPr="004C223C" w14:paraId="338C5E61" w14:textId="77777777" w:rsidTr="00D32B81">
        <w:trPr>
          <w:trHeight w:val="944"/>
        </w:trPr>
        <w:tc>
          <w:tcPr>
            <w:tcW w:w="810" w:type="dxa"/>
            <w:tcBorders>
              <w:left w:val="single" w:sz="4" w:space="0" w:color="00000A"/>
              <w:right w:val="single" w:sz="4" w:space="0" w:color="00000A"/>
            </w:tcBorders>
          </w:tcPr>
          <w:p w14:paraId="7B9E1CB8" w14:textId="77777777" w:rsidR="00FC6EDB" w:rsidRPr="004C223C" w:rsidRDefault="00FC6EDB"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vMerge/>
            <w:tcBorders>
              <w:left w:val="single" w:sz="4" w:space="0" w:color="00000A"/>
              <w:right w:val="single" w:sz="4" w:space="0" w:color="00000A"/>
            </w:tcBorders>
          </w:tcPr>
          <w:p w14:paraId="7BC0B946" w14:textId="77777777" w:rsidR="00FC6EDB" w:rsidRPr="004C223C" w:rsidRDefault="00FC6EDB" w:rsidP="0065444F">
            <w:pPr>
              <w:tabs>
                <w:tab w:val="left" w:pos="3686"/>
              </w:tabs>
              <w:spacing w:line="240" w:lineRule="auto"/>
              <w:jc w:val="center"/>
              <w:rPr>
                <w:rFonts w:ascii="Arial" w:eastAsia="Microsoft Sans Serif" w:hAnsi="Arial" w:cs="Arial"/>
                <w:color w:val="000000"/>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14:paraId="2B90AB24" w14:textId="1EEDDC7C" w:rsidR="00FC6EDB" w:rsidRPr="004C223C" w:rsidRDefault="00FC6EDB"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Банкны бусад авлагыг хэрхэн барагдуулах вэ? Активын хувьд барьцаа хөрөнгөө хязгаарлагдахгүйгээр банкны авлага гэх зэрэг бусад зүйлсийг хаана тусгах вэ? Чанаргүй банкны авлагаа яаж барагдуулах нь тодорхой бус байна. Үүнийг хаана оруулах вэ?</w:t>
            </w:r>
          </w:p>
        </w:tc>
        <w:tc>
          <w:tcPr>
            <w:tcW w:w="3060" w:type="dxa"/>
            <w:tcBorders>
              <w:left w:val="single" w:sz="4" w:space="0" w:color="00000A"/>
              <w:right w:val="single" w:sz="4" w:space="0" w:color="00000A"/>
            </w:tcBorders>
          </w:tcPr>
          <w:p w14:paraId="68024F87" w14:textId="77777777" w:rsidR="00FC6EDB" w:rsidRPr="004C223C" w:rsidRDefault="00FC6EDB" w:rsidP="00335008">
            <w:pPr>
              <w:tabs>
                <w:tab w:val="left" w:pos="3686"/>
              </w:tabs>
              <w:spacing w:line="240" w:lineRule="auto"/>
              <w:jc w:val="both"/>
              <w:rPr>
                <w:rFonts w:ascii="Arial" w:eastAsia="Microsoft Sans Serif" w:hAnsi="Arial" w:cs="Arial"/>
                <w:b/>
                <w:color w:val="000000"/>
                <w:sz w:val="24"/>
                <w:szCs w:val="24"/>
                <w:lang w:val="mn-MN"/>
              </w:rPr>
            </w:pPr>
          </w:p>
        </w:tc>
        <w:tc>
          <w:tcPr>
            <w:tcW w:w="3600" w:type="dxa"/>
            <w:tcBorders>
              <w:left w:val="single" w:sz="4" w:space="0" w:color="00000A"/>
              <w:right w:val="single" w:sz="4" w:space="0" w:color="00000A"/>
            </w:tcBorders>
          </w:tcPr>
          <w:p w14:paraId="3BB1EAE0" w14:textId="77777777" w:rsidR="00FC6EDB" w:rsidRPr="004C223C" w:rsidRDefault="00FC6EDB" w:rsidP="00335008">
            <w:pPr>
              <w:tabs>
                <w:tab w:val="left" w:pos="3686"/>
              </w:tabs>
              <w:spacing w:line="240" w:lineRule="auto"/>
              <w:jc w:val="both"/>
              <w:rPr>
                <w:rFonts w:ascii="Arial" w:eastAsia="Microsoft Sans Serif" w:hAnsi="Arial" w:cs="Arial"/>
                <w:color w:val="000000"/>
                <w:sz w:val="24"/>
                <w:szCs w:val="24"/>
                <w:lang w:val="mn-MN"/>
              </w:rPr>
            </w:pPr>
          </w:p>
        </w:tc>
      </w:tr>
      <w:tr w:rsidR="007F40A7" w:rsidRPr="004C223C" w14:paraId="0F1BEDC5" w14:textId="77777777" w:rsidTr="00D32B81">
        <w:trPr>
          <w:trHeight w:val="944"/>
        </w:trPr>
        <w:tc>
          <w:tcPr>
            <w:tcW w:w="810" w:type="dxa"/>
            <w:tcBorders>
              <w:left w:val="single" w:sz="4" w:space="0" w:color="00000A"/>
              <w:right w:val="single" w:sz="4" w:space="0" w:color="00000A"/>
            </w:tcBorders>
          </w:tcPr>
          <w:p w14:paraId="3C00AF2B" w14:textId="77777777" w:rsidR="007F40A7" w:rsidRPr="004C223C" w:rsidRDefault="007F40A7" w:rsidP="0065444F">
            <w:pPr>
              <w:tabs>
                <w:tab w:val="left" w:pos="3686"/>
              </w:tabs>
              <w:spacing w:line="240" w:lineRule="auto"/>
              <w:jc w:val="center"/>
              <w:rPr>
                <w:rFonts w:ascii="Arial" w:eastAsia="Microsoft Sans Serif" w:hAnsi="Arial" w:cs="Arial"/>
                <w:color w:val="000000"/>
                <w:sz w:val="24"/>
                <w:szCs w:val="24"/>
                <w:lang w:val="mn-MN"/>
              </w:rPr>
            </w:pPr>
          </w:p>
        </w:tc>
        <w:tc>
          <w:tcPr>
            <w:tcW w:w="2250" w:type="dxa"/>
            <w:tcBorders>
              <w:left w:val="single" w:sz="4" w:space="0" w:color="00000A"/>
              <w:right w:val="single" w:sz="4" w:space="0" w:color="00000A"/>
            </w:tcBorders>
          </w:tcPr>
          <w:p w14:paraId="014CC849" w14:textId="575594BF" w:rsidR="007F40A7" w:rsidRPr="004C223C" w:rsidRDefault="00FC6EDB" w:rsidP="0065444F">
            <w:pPr>
              <w:tabs>
                <w:tab w:val="left" w:pos="3686"/>
              </w:tabs>
              <w:spacing w:line="240" w:lineRule="auto"/>
              <w:jc w:val="center"/>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Худалдаа хөгжлийн банк</w:t>
            </w:r>
          </w:p>
        </w:tc>
        <w:tc>
          <w:tcPr>
            <w:tcW w:w="4680" w:type="dxa"/>
            <w:tcBorders>
              <w:top w:val="single" w:sz="4" w:space="0" w:color="00000A"/>
              <w:left w:val="single" w:sz="4" w:space="0" w:color="00000A"/>
              <w:bottom w:val="single" w:sz="4" w:space="0" w:color="00000A"/>
              <w:right w:val="single" w:sz="4" w:space="0" w:color="00000A"/>
            </w:tcBorders>
          </w:tcPr>
          <w:p w14:paraId="79AC4CD1" w14:textId="2880A8D8" w:rsidR="007F40A7" w:rsidRPr="004C223C" w:rsidRDefault="00FC6EDB" w:rsidP="00335008">
            <w:pPr>
              <w:tabs>
                <w:tab w:val="left" w:pos="3686"/>
              </w:tabs>
              <w:spacing w:line="240" w:lineRule="auto"/>
              <w:jc w:val="both"/>
              <w:rPr>
                <w:rFonts w:ascii="Arial" w:eastAsia="Microsoft Sans Serif" w:hAnsi="Arial" w:cs="Arial"/>
                <w:color w:val="000000"/>
                <w:sz w:val="24"/>
                <w:szCs w:val="24"/>
                <w:lang w:val="mn-MN"/>
              </w:rPr>
            </w:pPr>
            <w:r w:rsidRPr="004C223C">
              <w:rPr>
                <w:rFonts w:ascii="Arial" w:eastAsia="Microsoft Sans Serif" w:hAnsi="Arial" w:cs="Arial"/>
                <w:color w:val="000000"/>
                <w:sz w:val="24"/>
                <w:szCs w:val="24"/>
                <w:lang w:val="mn-MN"/>
              </w:rPr>
              <w:t>Чанаргүй зээлийг шилжүүлэх банкийг Монголбанк тодорхойлно гэж төсөлд заасан байна. Чанаргүй зээлийн шилжүүлэх банкинд чанаргүй активын түвшин өндөр байх гэсэн шаардлага тавих уу?</w:t>
            </w:r>
          </w:p>
        </w:tc>
        <w:tc>
          <w:tcPr>
            <w:tcW w:w="3060" w:type="dxa"/>
            <w:tcBorders>
              <w:left w:val="single" w:sz="4" w:space="0" w:color="00000A"/>
              <w:right w:val="single" w:sz="4" w:space="0" w:color="00000A"/>
            </w:tcBorders>
          </w:tcPr>
          <w:p w14:paraId="620BE5E3" w14:textId="77777777" w:rsidR="007F40A7" w:rsidRPr="004C223C" w:rsidRDefault="007F40A7" w:rsidP="00335008">
            <w:pPr>
              <w:tabs>
                <w:tab w:val="left" w:pos="3686"/>
              </w:tabs>
              <w:spacing w:line="240" w:lineRule="auto"/>
              <w:jc w:val="both"/>
              <w:rPr>
                <w:rFonts w:ascii="Arial" w:eastAsia="Microsoft Sans Serif" w:hAnsi="Arial" w:cs="Arial"/>
                <w:color w:val="000000"/>
                <w:sz w:val="24"/>
                <w:szCs w:val="24"/>
                <w:lang w:val="mn-MN"/>
              </w:rPr>
            </w:pPr>
          </w:p>
        </w:tc>
        <w:tc>
          <w:tcPr>
            <w:tcW w:w="3600" w:type="dxa"/>
            <w:tcBorders>
              <w:left w:val="single" w:sz="4" w:space="0" w:color="00000A"/>
              <w:right w:val="single" w:sz="4" w:space="0" w:color="00000A"/>
            </w:tcBorders>
          </w:tcPr>
          <w:p w14:paraId="7D7F137F" w14:textId="77777777" w:rsidR="007F40A7" w:rsidRPr="004C223C" w:rsidRDefault="007F40A7" w:rsidP="00335008">
            <w:pPr>
              <w:tabs>
                <w:tab w:val="left" w:pos="3686"/>
              </w:tabs>
              <w:spacing w:line="240" w:lineRule="auto"/>
              <w:jc w:val="both"/>
              <w:rPr>
                <w:rFonts w:ascii="Arial" w:eastAsia="Microsoft Sans Serif" w:hAnsi="Arial" w:cs="Arial"/>
                <w:color w:val="000000"/>
                <w:sz w:val="24"/>
                <w:szCs w:val="24"/>
                <w:lang w:val="mn-MN"/>
              </w:rPr>
            </w:pPr>
          </w:p>
        </w:tc>
      </w:tr>
    </w:tbl>
    <w:p w14:paraId="0DCC5A01" w14:textId="77777777" w:rsidR="00FC6EDB" w:rsidRPr="004C223C" w:rsidRDefault="00FC6EDB">
      <w:pPr>
        <w:rPr>
          <w:rFonts w:ascii="Arial" w:hAnsi="Arial" w:cs="Arial"/>
          <w:sz w:val="24"/>
          <w:szCs w:val="24"/>
          <w:lang w:val="mn-MN"/>
        </w:rPr>
      </w:pPr>
    </w:p>
    <w:p w14:paraId="1693D986" w14:textId="64EDB1D6" w:rsidR="00E126BC" w:rsidRPr="004C223C" w:rsidRDefault="00FC6EDB" w:rsidP="00FC6EDB">
      <w:pPr>
        <w:jc w:val="center"/>
        <w:rPr>
          <w:rFonts w:ascii="Arial" w:hAnsi="Arial" w:cs="Arial"/>
          <w:sz w:val="24"/>
          <w:szCs w:val="24"/>
          <w:lang w:val="mn-MN"/>
        </w:rPr>
      </w:pPr>
      <w:r w:rsidRPr="004C223C">
        <w:rPr>
          <w:rFonts w:ascii="Arial" w:hAnsi="Arial" w:cs="Arial"/>
          <w:sz w:val="24"/>
          <w:szCs w:val="24"/>
          <w:lang w:val="mn-MN"/>
        </w:rPr>
        <w:t>---о0о---</w:t>
      </w:r>
    </w:p>
    <w:sectPr w:rsidR="00E126BC" w:rsidRPr="004C223C" w:rsidSect="0065444F">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DFEF4" w14:textId="77777777" w:rsidR="00A6776C" w:rsidRDefault="00A6776C" w:rsidP="00E24F6C">
      <w:pPr>
        <w:spacing w:after="0" w:line="240" w:lineRule="auto"/>
      </w:pPr>
      <w:r>
        <w:separator/>
      </w:r>
    </w:p>
  </w:endnote>
  <w:endnote w:type="continuationSeparator" w:id="0">
    <w:p w14:paraId="6CA3473A" w14:textId="77777777" w:rsidR="00A6776C" w:rsidRDefault="00A6776C" w:rsidP="00E2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0FB5" w14:textId="77777777" w:rsidR="00A6776C" w:rsidRDefault="00A6776C" w:rsidP="00E24F6C">
      <w:pPr>
        <w:spacing w:after="0" w:line="240" w:lineRule="auto"/>
      </w:pPr>
      <w:r>
        <w:separator/>
      </w:r>
    </w:p>
  </w:footnote>
  <w:footnote w:type="continuationSeparator" w:id="0">
    <w:p w14:paraId="2609BAEA" w14:textId="77777777" w:rsidR="00A6776C" w:rsidRDefault="00A6776C" w:rsidP="00E24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1345E"/>
    <w:multiLevelType w:val="hybridMultilevel"/>
    <w:tmpl w:val="53320BF0"/>
    <w:lvl w:ilvl="0" w:tplc="0BCABC9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972444"/>
    <w:multiLevelType w:val="multilevel"/>
    <w:tmpl w:val="5B6227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6C"/>
    <w:rsid w:val="00335008"/>
    <w:rsid w:val="004C223C"/>
    <w:rsid w:val="0065444F"/>
    <w:rsid w:val="006D43C0"/>
    <w:rsid w:val="007A165C"/>
    <w:rsid w:val="007F40A7"/>
    <w:rsid w:val="00A144E8"/>
    <w:rsid w:val="00A6776C"/>
    <w:rsid w:val="00AD0599"/>
    <w:rsid w:val="00D32B81"/>
    <w:rsid w:val="00E126BC"/>
    <w:rsid w:val="00E24F6C"/>
    <w:rsid w:val="00E57111"/>
    <w:rsid w:val="00FC6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7D03"/>
  <w15:chartTrackingRefBased/>
  <w15:docId w15:val="{42DDB76A-EBDF-416A-925C-95A1EF70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F6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F6C"/>
    <w:pPr>
      <w:ind w:left="720"/>
      <w:contextualSpacing/>
    </w:pPr>
    <w:rPr>
      <w:rFonts w:ascii="Arial" w:eastAsiaTheme="minorHAnsi" w:hAnsi="Arial" w:cs="Arial"/>
      <w:sz w:val="24"/>
      <w:szCs w:val="24"/>
    </w:rPr>
  </w:style>
  <w:style w:type="paragraph" w:customStyle="1" w:styleId="BodyText1">
    <w:name w:val="Body Text1"/>
    <w:basedOn w:val="Normal"/>
    <w:rsid w:val="00E24F6C"/>
    <w:pPr>
      <w:widowControl w:val="0"/>
      <w:shd w:val="clear" w:color="auto" w:fill="FFFFFF"/>
      <w:spacing w:after="240" w:line="256" w:lineRule="exact"/>
      <w:jc w:val="both"/>
    </w:pPr>
    <w:rPr>
      <w:rFonts w:ascii="Arial Unicode MS" w:eastAsia="Times New Roman" w:hAnsi="Arial Unicode MS" w:cs="Times New Roman"/>
      <w:color w:val="000000"/>
      <w:sz w:val="20"/>
      <w:szCs w:val="20"/>
      <w:lang w:val="mn-MN"/>
    </w:rPr>
  </w:style>
  <w:style w:type="paragraph" w:styleId="FootnoteText">
    <w:name w:val="footnote text"/>
    <w:basedOn w:val="Normal"/>
    <w:link w:val="FootnoteTextChar1"/>
    <w:unhideWhenUsed/>
    <w:rsid w:val="00E24F6C"/>
    <w:pPr>
      <w:spacing w:after="0" w:line="240" w:lineRule="auto"/>
    </w:pPr>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E24F6C"/>
    <w:rPr>
      <w:rFonts w:eastAsiaTheme="minorEastAsia"/>
      <w:sz w:val="20"/>
      <w:szCs w:val="20"/>
    </w:rPr>
  </w:style>
  <w:style w:type="character" w:customStyle="1" w:styleId="FootnoteTextChar1">
    <w:name w:val="Footnote Text Char1"/>
    <w:link w:val="FootnoteText"/>
    <w:locked/>
    <w:rsid w:val="00E24F6C"/>
    <w:rPr>
      <w:rFonts w:ascii="Calibri" w:eastAsia="MS Mincho" w:hAnsi="Calibri" w:cs="Times New Roman"/>
      <w:sz w:val="20"/>
      <w:szCs w:val="20"/>
    </w:rPr>
  </w:style>
  <w:style w:type="character" w:styleId="FootnoteReference">
    <w:name w:val="footnote reference"/>
    <w:unhideWhenUsed/>
    <w:rsid w:val="00E24F6C"/>
    <w:rPr>
      <w:vertAlign w:val="superscript"/>
    </w:rPr>
  </w:style>
  <w:style w:type="character" w:styleId="Hyperlink">
    <w:name w:val="Hyperlink"/>
    <w:basedOn w:val="DefaultParagraphFont"/>
    <w:uiPriority w:val="99"/>
    <w:unhideWhenUsed/>
    <w:rsid w:val="00E24F6C"/>
    <w:rPr>
      <w:color w:val="0563C1" w:themeColor="hyperlink"/>
      <w:u w:val="single"/>
    </w:rPr>
  </w:style>
  <w:style w:type="paragraph" w:styleId="Header">
    <w:name w:val="header"/>
    <w:basedOn w:val="Normal"/>
    <w:link w:val="HeaderChar"/>
    <w:uiPriority w:val="99"/>
    <w:unhideWhenUsed/>
    <w:rsid w:val="007F4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A7"/>
    <w:rPr>
      <w:rFonts w:eastAsiaTheme="minorEastAsia"/>
    </w:rPr>
  </w:style>
  <w:style w:type="paragraph" w:styleId="Footer">
    <w:name w:val="footer"/>
    <w:basedOn w:val="Normal"/>
    <w:link w:val="FooterChar"/>
    <w:uiPriority w:val="99"/>
    <w:unhideWhenUsed/>
    <w:rsid w:val="007F4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A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Batsaikhan Munkhsaikhan</dc:creator>
  <cp:keywords/>
  <dc:description/>
  <cp:lastModifiedBy>Khishigjargal</cp:lastModifiedBy>
  <cp:revision>3</cp:revision>
  <dcterms:created xsi:type="dcterms:W3CDTF">2019-06-24T06:27:00Z</dcterms:created>
  <dcterms:modified xsi:type="dcterms:W3CDTF">2019-06-24T08:34:00Z</dcterms:modified>
</cp:coreProperties>
</file>