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81F"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7D832A4"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6B9896AB" w14:textId="77777777" w:rsidR="00255E12" w:rsidRDefault="00717F64" w:rsidP="00717F64">
      <w:pPr>
        <w:pBdr>
          <w:top w:val="nil"/>
          <w:left w:val="nil"/>
          <w:bottom w:val="nil"/>
          <w:right w:val="nil"/>
          <w:between w:val="nil"/>
        </w:pBdr>
        <w:spacing w:after="0"/>
        <w:jc w:val="center"/>
        <w:rPr>
          <w:rFonts w:ascii="Arial" w:eastAsia="Arial" w:hAnsi="Arial" w:cs="Arial"/>
          <w:b/>
          <w:color w:val="000000"/>
          <w:sz w:val="24"/>
          <w:szCs w:val="24"/>
        </w:rPr>
      </w:pPr>
      <w:r w:rsidRPr="003F401D">
        <w:rPr>
          <w:rFonts w:ascii="Arial" w:eastAsia="Arial" w:hAnsi="Arial" w:cs="Arial"/>
          <w:b/>
          <w:color w:val="000000"/>
          <w:sz w:val="24"/>
          <w:szCs w:val="24"/>
        </w:rPr>
        <w:t>ЖАГСААЛ, ЦУГЛААН ХИЙХ ЖУРМЫН ТУХАЙ</w:t>
      </w:r>
      <w:r>
        <w:rPr>
          <w:rFonts w:ascii="Arial" w:eastAsia="Arial" w:hAnsi="Arial" w:cs="Arial"/>
          <w:b/>
          <w:color w:val="000000"/>
          <w:sz w:val="24"/>
          <w:szCs w:val="24"/>
        </w:rPr>
        <w:t xml:space="preserve"> </w:t>
      </w:r>
      <w:r w:rsidRPr="003F401D">
        <w:rPr>
          <w:rFonts w:ascii="Arial" w:eastAsia="Arial" w:hAnsi="Arial" w:cs="Arial"/>
          <w:b/>
          <w:color w:val="000000"/>
          <w:sz w:val="24"/>
          <w:szCs w:val="24"/>
        </w:rPr>
        <w:t>ХУУЛЬД НЭМЭЛТ, ӨӨРЧЛӨЛТ ОРУУЛАХ ТУХАЙ</w:t>
      </w:r>
      <w:r>
        <w:rPr>
          <w:rFonts w:ascii="Arial" w:eastAsia="Arial" w:hAnsi="Arial" w:cs="Arial"/>
          <w:b/>
          <w:color w:val="000000"/>
          <w:sz w:val="24"/>
          <w:szCs w:val="24"/>
        </w:rPr>
        <w:t xml:space="preserve"> </w:t>
      </w:r>
      <w:r w:rsidR="003A4E48">
        <w:rPr>
          <w:rFonts w:ascii="Arial" w:eastAsia="Arial" w:hAnsi="Arial" w:cs="Arial"/>
          <w:b/>
          <w:sz w:val="24"/>
          <w:szCs w:val="24"/>
        </w:rPr>
        <w:t>Х</w:t>
      </w:r>
      <w:r w:rsidR="003A4E48">
        <w:rPr>
          <w:rFonts w:ascii="Arial" w:eastAsia="Arial" w:hAnsi="Arial" w:cs="Arial"/>
          <w:b/>
          <w:sz w:val="24"/>
          <w:szCs w:val="24"/>
        </w:rPr>
        <w:t>УУЛ</w:t>
      </w:r>
      <w:r w:rsidR="003A4E48">
        <w:rPr>
          <w:rFonts w:ascii="Arial" w:eastAsia="Arial" w:hAnsi="Arial" w:cs="Arial"/>
          <w:b/>
          <w:color w:val="000000"/>
          <w:sz w:val="24"/>
          <w:szCs w:val="24"/>
        </w:rPr>
        <w:t xml:space="preserve">ИЙН ТӨСЛИЙН ҮР </w:t>
      </w:r>
      <w:r w:rsidR="003A4E48">
        <w:rPr>
          <w:rFonts w:ascii="Arial" w:eastAsia="Arial" w:hAnsi="Arial" w:cs="Arial"/>
          <w:b/>
          <w:color w:val="000000"/>
          <w:sz w:val="24"/>
          <w:szCs w:val="24"/>
        </w:rPr>
        <w:t xml:space="preserve">НӨЛӨӨГ ҮНЭЛСЭН </w:t>
      </w:r>
    </w:p>
    <w:p w14:paraId="005471F3" w14:textId="2E96D5E6" w:rsidR="00527BBC" w:rsidRDefault="003A4E48" w:rsidP="00717F64">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СУДАЛГААНЫ ТАЙЛАН</w:t>
      </w:r>
    </w:p>
    <w:p w14:paraId="42A421C3"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1B62E0F5" w:rsidR="00527BBC" w:rsidRDefault="003A4E48">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Улаанбаатар хот 20</w:t>
      </w:r>
      <w:r>
        <w:rPr>
          <w:rFonts w:ascii="Arial" w:eastAsia="Arial" w:hAnsi="Arial" w:cs="Arial"/>
          <w:b/>
          <w:sz w:val="24"/>
          <w:szCs w:val="24"/>
        </w:rPr>
        <w:t>2</w:t>
      </w:r>
      <w:r w:rsidR="00F92DA4">
        <w:rPr>
          <w:rFonts w:ascii="Arial" w:eastAsia="Arial" w:hAnsi="Arial" w:cs="Arial"/>
          <w:b/>
          <w:sz w:val="24"/>
          <w:szCs w:val="24"/>
        </w:rPr>
        <w:t>1</w:t>
      </w:r>
      <w:r>
        <w:rPr>
          <w:rFonts w:ascii="Arial" w:eastAsia="Arial" w:hAnsi="Arial" w:cs="Arial"/>
          <w:b/>
          <w:color w:val="000000"/>
          <w:sz w:val="24"/>
          <w:szCs w:val="24"/>
        </w:rPr>
        <w:t xml:space="preserve"> он </w:t>
      </w:r>
    </w:p>
    <w:p w14:paraId="28D8C624" w14:textId="77777777" w:rsidR="00F92DA4" w:rsidRDefault="00F92DA4" w:rsidP="00F92DA4">
      <w:pPr>
        <w:pBdr>
          <w:top w:val="nil"/>
          <w:left w:val="nil"/>
          <w:bottom w:val="nil"/>
          <w:right w:val="nil"/>
          <w:between w:val="nil"/>
        </w:pBdr>
        <w:spacing w:after="0"/>
        <w:jc w:val="center"/>
        <w:rPr>
          <w:rFonts w:ascii="Arial" w:eastAsia="Arial" w:hAnsi="Arial" w:cs="Arial"/>
          <w:b/>
          <w:color w:val="000000"/>
          <w:sz w:val="24"/>
          <w:szCs w:val="24"/>
        </w:rPr>
      </w:pPr>
      <w:r w:rsidRPr="003F401D">
        <w:rPr>
          <w:rFonts w:ascii="Arial" w:eastAsia="Arial" w:hAnsi="Arial" w:cs="Arial"/>
          <w:b/>
          <w:color w:val="000000"/>
          <w:sz w:val="24"/>
          <w:szCs w:val="24"/>
        </w:rPr>
        <w:lastRenderedPageBreak/>
        <w:t>ЖАГСААЛ, ЦУГЛААН ХИЙХ ЖУРМЫН ТУХАЙ</w:t>
      </w:r>
      <w:r>
        <w:rPr>
          <w:rFonts w:ascii="Arial" w:eastAsia="Arial" w:hAnsi="Arial" w:cs="Arial"/>
          <w:b/>
          <w:color w:val="000000"/>
          <w:sz w:val="24"/>
          <w:szCs w:val="24"/>
        </w:rPr>
        <w:t xml:space="preserve"> </w:t>
      </w:r>
      <w:r w:rsidRPr="003F401D">
        <w:rPr>
          <w:rFonts w:ascii="Arial" w:eastAsia="Arial" w:hAnsi="Arial" w:cs="Arial"/>
          <w:b/>
          <w:color w:val="000000"/>
          <w:sz w:val="24"/>
          <w:szCs w:val="24"/>
        </w:rPr>
        <w:t>ХУУЛЬД НЭМЭЛТ, ӨӨРЧЛӨЛТ ОРУУЛАХ ТУХАЙ</w:t>
      </w:r>
      <w:r>
        <w:rPr>
          <w:rFonts w:ascii="Arial" w:eastAsia="Arial" w:hAnsi="Arial" w:cs="Arial"/>
          <w:b/>
          <w:color w:val="000000"/>
          <w:sz w:val="24"/>
          <w:szCs w:val="24"/>
        </w:rPr>
        <w:t xml:space="preserve"> </w:t>
      </w:r>
      <w:r>
        <w:rPr>
          <w:rFonts w:ascii="Arial" w:eastAsia="Arial" w:hAnsi="Arial" w:cs="Arial"/>
          <w:b/>
          <w:sz w:val="24"/>
          <w:szCs w:val="24"/>
        </w:rPr>
        <w:t>ХУУЛ</w:t>
      </w:r>
      <w:r>
        <w:rPr>
          <w:rFonts w:ascii="Arial" w:eastAsia="Arial" w:hAnsi="Arial" w:cs="Arial"/>
          <w:b/>
          <w:color w:val="000000"/>
          <w:sz w:val="24"/>
          <w:szCs w:val="24"/>
        </w:rPr>
        <w:t xml:space="preserve">ИЙН ТӨСЛИЙН ҮР НӨЛӨӨГ ҮНЭЛСЭН </w:t>
      </w:r>
    </w:p>
    <w:p w14:paraId="1F36177D" w14:textId="77777777" w:rsidR="00F92DA4" w:rsidRDefault="00F92DA4" w:rsidP="00F92DA4">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СУДАЛГААНЫ ТАЙЛАН</w:t>
      </w:r>
    </w:p>
    <w:p w14:paraId="503A862D" w14:textId="77777777" w:rsidR="00527BBC" w:rsidRDefault="00527BBC">
      <w:pPr>
        <w:shd w:val="clear" w:color="auto" w:fill="FFFFFF"/>
        <w:spacing w:after="0"/>
        <w:jc w:val="center"/>
        <w:rPr>
          <w:rFonts w:ascii="Arial" w:eastAsia="Arial" w:hAnsi="Arial" w:cs="Arial"/>
          <w:b/>
          <w:sz w:val="24"/>
          <w:szCs w:val="24"/>
        </w:rPr>
      </w:pPr>
    </w:p>
    <w:p w14:paraId="703A3B3F" w14:textId="77777777" w:rsidR="00527BBC" w:rsidRDefault="003A4E48">
      <w:pPr>
        <w:shd w:val="clear" w:color="auto" w:fill="FFFFFF"/>
        <w:spacing w:after="0"/>
        <w:jc w:val="center"/>
        <w:rPr>
          <w:rFonts w:ascii="Arial" w:eastAsia="Arial" w:hAnsi="Arial" w:cs="Arial"/>
          <w:b/>
          <w:color w:val="000000"/>
          <w:sz w:val="24"/>
          <w:szCs w:val="24"/>
        </w:rPr>
      </w:pPr>
      <w:r>
        <w:rPr>
          <w:rFonts w:ascii="Arial" w:eastAsia="Arial" w:hAnsi="Arial" w:cs="Arial"/>
          <w:b/>
          <w:color w:val="000000"/>
          <w:sz w:val="24"/>
          <w:szCs w:val="24"/>
        </w:rPr>
        <w:t>НЭГ. ЕРӨНХИЙ ЗҮЙЛ</w:t>
      </w:r>
    </w:p>
    <w:p w14:paraId="04FFC3FF" w14:textId="77777777" w:rsidR="00527BBC" w:rsidRDefault="00527BBC">
      <w:pPr>
        <w:shd w:val="clear" w:color="auto" w:fill="FFFFFF"/>
        <w:spacing w:after="0"/>
        <w:jc w:val="center"/>
        <w:rPr>
          <w:rFonts w:ascii="Arial" w:eastAsia="Arial" w:hAnsi="Arial" w:cs="Arial"/>
          <w:color w:val="000000"/>
          <w:sz w:val="24"/>
          <w:szCs w:val="24"/>
        </w:rPr>
      </w:pPr>
    </w:p>
    <w:p w14:paraId="630EB486" w14:textId="4B987D9F" w:rsidR="00527BBC" w:rsidRDefault="003A4E48">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sidR="00F92DA4">
        <w:rPr>
          <w:rFonts w:ascii="Arial" w:eastAsia="Arial" w:hAnsi="Arial" w:cs="Arial"/>
          <w:color w:val="000000"/>
          <w:sz w:val="24"/>
          <w:szCs w:val="24"/>
        </w:rPr>
        <w:t xml:space="preserve">Жагсаал, цуглаан хийх журмын тухай хуульд нэмэлт, өөрчлөлт оруулах тухай </w:t>
      </w:r>
      <w:r>
        <w:rPr>
          <w:rFonts w:ascii="Arial" w:eastAsia="Arial" w:hAnsi="Arial" w:cs="Arial"/>
          <w:sz w:val="24"/>
          <w:szCs w:val="24"/>
        </w:rPr>
        <w:t xml:space="preserve">хуулийн төсөлд </w:t>
      </w:r>
      <w:r>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w:t>
      </w:r>
      <w:r>
        <w:rPr>
          <w:rFonts w:ascii="Arial" w:eastAsia="Arial" w:hAnsi="Arial" w:cs="Arial"/>
          <w:color w:val="000000"/>
          <w:sz w:val="24"/>
          <w:szCs w:val="24"/>
        </w:rPr>
        <w:t>омжтой байдлаар боловсруулахад зөвлөмж өгөх зорилгоор гүйцэтгэлээ.</w:t>
      </w:r>
    </w:p>
    <w:p w14:paraId="46305CEF" w14:textId="16584156" w:rsidR="00527BBC" w:rsidRDefault="00AE5C5E">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Жагсаал, цуглаан хийх журмын тухай хуульд нэмэлт, өөрчлөлт оруулах тухай </w:t>
      </w:r>
      <w:r>
        <w:rPr>
          <w:rFonts w:ascii="Arial" w:eastAsia="Arial" w:hAnsi="Arial" w:cs="Arial"/>
          <w:sz w:val="24"/>
          <w:szCs w:val="24"/>
        </w:rPr>
        <w:t xml:space="preserve">хуулийн </w:t>
      </w:r>
      <w:r w:rsidR="003A4E48">
        <w:rPr>
          <w:rFonts w:ascii="Arial" w:eastAsia="Arial" w:hAnsi="Arial" w:cs="Arial"/>
          <w:sz w:val="24"/>
          <w:szCs w:val="24"/>
        </w:rPr>
        <w:t>төсөл</w:t>
      </w:r>
      <w:r w:rsidR="003A4E48">
        <w:rPr>
          <w:rFonts w:ascii="Arial" w:eastAsia="Arial" w:hAnsi="Arial" w:cs="Arial"/>
          <w:color w:val="000000"/>
          <w:sz w:val="24"/>
          <w:szCs w:val="24"/>
        </w:rPr>
        <w:t xml:space="preserve"> нь Хууль тогтоомжийн тухай хуулийн 24 дүгээр зүйлд заасны дагуу “Хуульд өөрчлөлт оруула</w:t>
      </w:r>
      <w:r w:rsidR="003A4E48">
        <w:rPr>
          <w:rFonts w:ascii="Arial" w:eastAsia="Arial" w:hAnsi="Arial" w:cs="Arial"/>
          <w:color w:val="000000"/>
          <w:sz w:val="24"/>
          <w:szCs w:val="24"/>
        </w:rPr>
        <w:t>х хуулийн төсөл” хэлбэрээр боловсруулагдсан.</w:t>
      </w:r>
    </w:p>
    <w:p w14:paraId="486A1803" w14:textId="77777777" w:rsidR="00527BBC" w:rsidRDefault="003A4E48">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w:t>
      </w:r>
      <w:r>
        <w:rPr>
          <w:rFonts w:ascii="Arial" w:eastAsia="Arial" w:hAnsi="Arial" w:cs="Arial"/>
          <w:color w:val="000000"/>
          <w:sz w:val="24"/>
          <w:szCs w:val="24"/>
        </w:rPr>
        <w:t>х үе шатаар хийлээ.</w:t>
      </w:r>
    </w:p>
    <w:p w14:paraId="2928071A" w14:textId="77777777" w:rsidR="00527BBC"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Шалгуур үзүүлэлтийг сонгох;</w:t>
      </w:r>
    </w:p>
    <w:p w14:paraId="7FA54C61" w14:textId="77777777" w:rsidR="00527BBC"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Хуулийн төслөөс үр нөлөө тооцох хэсгээ тогтоох;</w:t>
      </w:r>
    </w:p>
    <w:p w14:paraId="03702093" w14:textId="77777777" w:rsidR="00527BBC"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 Үр дүнг үнэлэх, зөвлөмж өгөх.    </w:t>
      </w:r>
    </w:p>
    <w:p w14:paraId="78FA3C71" w14:textId="77777777" w:rsidR="00527BBC"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Default="003A4E48">
      <w:pPr>
        <w:shd w:val="clear" w:color="auto" w:fill="FFFFFF"/>
        <w:spacing w:after="0"/>
        <w:ind w:firstLine="540"/>
        <w:jc w:val="both"/>
        <w:rPr>
          <w:rFonts w:ascii="Arial" w:eastAsia="Arial" w:hAnsi="Arial" w:cs="Arial"/>
          <w:color w:val="000000"/>
          <w:sz w:val="24"/>
          <w:szCs w:val="24"/>
        </w:rPr>
      </w:pPr>
      <w:r>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w:t>
      </w:r>
      <w:r>
        <w:rPr>
          <w:rFonts w:ascii="Arial" w:eastAsia="Arial" w:hAnsi="Arial" w:cs="Arial"/>
          <w:color w:val="000000"/>
          <w:sz w:val="24"/>
          <w:szCs w:val="24"/>
        </w:rPr>
        <w:t>ах 4 шалгуур үзүүлэлтийг сонголоо.</w:t>
      </w:r>
    </w:p>
    <w:p w14:paraId="13560018" w14:textId="77777777" w:rsidR="00527BBC" w:rsidRDefault="003A4E48">
      <w:pPr>
        <w:shd w:val="clear" w:color="auto" w:fill="FFFFFF"/>
        <w:spacing w:after="0"/>
        <w:ind w:firstLine="540"/>
        <w:jc w:val="both"/>
        <w:rPr>
          <w:rFonts w:ascii="Arial" w:eastAsia="Arial" w:hAnsi="Arial" w:cs="Arial"/>
          <w:color w:val="000000"/>
          <w:sz w:val="24"/>
          <w:szCs w:val="24"/>
        </w:rPr>
      </w:pPr>
      <w:r>
        <w:rPr>
          <w:rFonts w:ascii="Arial" w:eastAsia="Arial" w:hAnsi="Arial" w:cs="Arial"/>
          <w:color w:val="000000"/>
          <w:sz w:val="24"/>
          <w:szCs w:val="24"/>
        </w:rPr>
        <w:t>Үүнд</w:t>
      </w:r>
      <w:r>
        <w:rPr>
          <w:rFonts w:ascii="Arial" w:eastAsia="Arial" w:hAnsi="Arial" w:cs="Arial"/>
          <w:color w:val="000000"/>
          <w:sz w:val="24"/>
          <w:szCs w:val="24"/>
        </w:rPr>
        <w:t>:</w:t>
      </w:r>
    </w:p>
    <w:p w14:paraId="654E4659" w14:textId="77777777" w:rsidR="00527BBC"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Зорилгод хүрэх байдал;                        </w:t>
      </w:r>
    </w:p>
    <w:p w14:paraId="06EDB5ED" w14:textId="77777777" w:rsidR="00527BBC"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Практикт хэрэгжих боломж;</w:t>
      </w:r>
    </w:p>
    <w:p w14:paraId="686906A8" w14:textId="77777777" w:rsidR="00527BBC"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Ойлгомжтой байдал;    </w:t>
      </w:r>
    </w:p>
    <w:p w14:paraId="203158C3" w14:textId="77777777" w:rsidR="00527BBC"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Харилцан уялдаа зэрэг болно. </w:t>
      </w:r>
    </w:p>
    <w:p w14:paraId="202702BD" w14:textId="77777777" w:rsidR="00527BBC" w:rsidRDefault="003A4E48">
      <w:pPr>
        <w:shd w:val="clear" w:color="auto" w:fill="FFFFFF"/>
        <w:spacing w:before="280" w:after="0"/>
        <w:ind w:firstLine="540"/>
        <w:jc w:val="both"/>
        <w:rPr>
          <w:rFonts w:ascii="Arial" w:eastAsia="Arial" w:hAnsi="Arial" w:cs="Arial"/>
          <w:color w:val="000000"/>
          <w:sz w:val="24"/>
          <w:szCs w:val="24"/>
        </w:rPr>
      </w:pPr>
      <w:r>
        <w:rPr>
          <w:rFonts w:ascii="Arial" w:eastAsia="Arial" w:hAnsi="Arial" w:cs="Arial"/>
          <w:b/>
          <w:color w:val="000000"/>
          <w:sz w:val="24"/>
          <w:szCs w:val="24"/>
        </w:rPr>
        <w:t>Шалгуур үзүүлэлтийг сонгосон үндэслэл</w:t>
      </w:r>
      <w:r>
        <w:rPr>
          <w:rFonts w:ascii="Arial" w:eastAsia="Arial" w:hAnsi="Arial" w:cs="Arial"/>
          <w:color w:val="000000"/>
          <w:sz w:val="24"/>
          <w:szCs w:val="24"/>
        </w:rPr>
        <w:t>:</w:t>
      </w:r>
    </w:p>
    <w:p w14:paraId="13A0D498" w14:textId="77777777" w:rsidR="00527BBC" w:rsidRDefault="003A4E48">
      <w:pPr>
        <w:shd w:val="clear" w:color="auto" w:fill="FFFFFF"/>
        <w:spacing w:before="280" w:after="0"/>
        <w:ind w:firstLine="540"/>
        <w:jc w:val="both"/>
        <w:rPr>
          <w:rFonts w:ascii="Arial" w:eastAsia="Arial" w:hAnsi="Arial" w:cs="Arial"/>
          <w:color w:val="000000"/>
          <w:sz w:val="24"/>
          <w:szCs w:val="24"/>
        </w:rPr>
      </w:pPr>
      <w:r>
        <w:rPr>
          <w:rFonts w:ascii="Arial" w:eastAsia="Arial" w:hAnsi="Arial" w:cs="Arial"/>
          <w:b/>
          <w:color w:val="000000"/>
          <w:sz w:val="24"/>
          <w:szCs w:val="24"/>
        </w:rPr>
        <w:t>“Зорилгод хүрэх байдал” </w:t>
      </w:r>
      <w:r>
        <w:rPr>
          <w:rFonts w:ascii="Arial" w:eastAsia="Arial" w:hAnsi="Arial" w:cs="Arial"/>
          <w:color w:val="000000"/>
          <w:sz w:val="24"/>
          <w:szCs w:val="24"/>
        </w:rPr>
        <w:t>гэсэн шалгуур үзүүлэлтийн</w:t>
      </w:r>
      <w:r>
        <w:rPr>
          <w:rFonts w:ascii="Arial" w:eastAsia="Arial" w:hAnsi="Arial" w:cs="Arial"/>
          <w:b/>
          <w:color w:val="000000"/>
          <w:sz w:val="24"/>
          <w:szCs w:val="24"/>
        </w:rPr>
        <w:t> </w:t>
      </w:r>
      <w:r>
        <w:rPr>
          <w:rFonts w:ascii="Arial" w:eastAsia="Arial" w:hAnsi="Arial" w:cs="Arial"/>
          <w:color w:val="000000"/>
          <w:sz w:val="24"/>
          <w:szCs w:val="24"/>
        </w:rPr>
        <w:t>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w:t>
      </w:r>
      <w:r>
        <w:rPr>
          <w:rFonts w:ascii="Arial" w:eastAsia="Arial" w:hAnsi="Arial" w:cs="Arial"/>
          <w:color w:val="000000"/>
          <w:sz w:val="24"/>
          <w:szCs w:val="24"/>
        </w:rPr>
        <w:t xml:space="preserve">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Pr>
          <w:rFonts w:ascii="Arial" w:eastAsia="Arial" w:hAnsi="Arial" w:cs="Arial"/>
          <w:color w:val="000000"/>
          <w:sz w:val="24"/>
          <w:szCs w:val="24"/>
        </w:rPr>
        <w:lastRenderedPageBreak/>
        <w:t>мөн түүнийг тодорхой илэрхийлж чадахуйц</w:t>
      </w:r>
      <w:r>
        <w:rPr>
          <w:rFonts w:ascii="Arial" w:eastAsia="Arial" w:hAnsi="Arial" w:cs="Arial"/>
          <w:color w:val="000000"/>
          <w:sz w:val="24"/>
          <w:szCs w:val="24"/>
        </w:rPr>
        <w:t xml:space="preserve"> арга хэмжээ, зохицуулалтыг сонгож авсан болно.  </w:t>
      </w:r>
    </w:p>
    <w:p w14:paraId="1C088D15" w14:textId="77777777" w:rsidR="00527BBC" w:rsidRDefault="003A4E48">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“Практикт хэрэгжих боломж” </w:t>
      </w:r>
      <w:r>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w:t>
      </w:r>
      <w:r>
        <w:rPr>
          <w:rFonts w:ascii="Arial" w:eastAsia="Arial" w:hAnsi="Arial" w:cs="Arial"/>
          <w:color w:val="000000"/>
          <w:sz w:val="24"/>
          <w:szCs w:val="24"/>
        </w:rPr>
        <w:t>оо байгаа эсэхийг үнэлэхээр сонгосон болно.</w:t>
      </w:r>
    </w:p>
    <w:p w14:paraId="0F192B82" w14:textId="77777777" w:rsidR="00527BBC" w:rsidRDefault="003A4E48">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“Ойлгомжтой байдал” </w:t>
      </w:r>
      <w:r>
        <w:rPr>
          <w:rFonts w:ascii="Arial" w:eastAsia="Arial" w:hAnsi="Arial" w:cs="Arial"/>
          <w:color w:val="000000"/>
          <w:sz w:val="24"/>
          <w:szCs w:val="24"/>
        </w:rPr>
        <w:t xml:space="preserve">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w:t>
      </w:r>
      <w:r>
        <w:rPr>
          <w:rFonts w:ascii="Arial" w:eastAsia="Arial" w:hAnsi="Arial" w:cs="Arial"/>
          <w:color w:val="000000"/>
          <w:sz w:val="24"/>
          <w:szCs w:val="24"/>
        </w:rPr>
        <w:t>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Default="003A4E48">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“Харилцан уялдаа” </w:t>
      </w:r>
      <w:r>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w:t>
      </w:r>
      <w:r>
        <w:rPr>
          <w:rFonts w:ascii="Arial" w:eastAsia="Arial" w:hAnsi="Arial" w:cs="Arial"/>
          <w:color w:val="000000"/>
          <w:sz w:val="24"/>
          <w:szCs w:val="24"/>
        </w:rPr>
        <w:t>богдох бусад хуульд нийцсэн эсэхийг Аргачлалд заасан асуултад хариулах замаар үнэлгээг хийхээр тооцов.</w:t>
      </w:r>
    </w:p>
    <w:p w14:paraId="4344EC02" w14:textId="77777777" w:rsidR="00527BBC" w:rsidRDefault="00527BBC">
      <w:pPr>
        <w:spacing w:after="0"/>
        <w:jc w:val="center"/>
        <w:rPr>
          <w:rFonts w:ascii="Arial" w:eastAsia="Arial" w:hAnsi="Arial" w:cs="Arial"/>
          <w:b/>
          <w:sz w:val="24"/>
          <w:szCs w:val="24"/>
        </w:rPr>
      </w:pPr>
    </w:p>
    <w:p w14:paraId="461EE2DE" w14:textId="77777777" w:rsidR="00527BBC" w:rsidRDefault="003A4E48">
      <w:pPr>
        <w:spacing w:after="0"/>
        <w:jc w:val="center"/>
        <w:rPr>
          <w:rFonts w:ascii="Arial" w:eastAsia="Arial" w:hAnsi="Arial" w:cs="Arial"/>
          <w:b/>
          <w:sz w:val="24"/>
          <w:szCs w:val="24"/>
        </w:rPr>
      </w:pPr>
      <w:r>
        <w:rPr>
          <w:rFonts w:ascii="Arial" w:eastAsia="Arial" w:hAnsi="Arial" w:cs="Arial"/>
          <w:b/>
          <w:sz w:val="24"/>
          <w:szCs w:val="24"/>
        </w:rPr>
        <w:t xml:space="preserve">ГУРАВ. ХУУЛИЙН ТӨСЛӨӨС ҮР НӨЛӨӨГ ҮНЭЛЭХ </w:t>
      </w:r>
    </w:p>
    <w:p w14:paraId="29F225D5" w14:textId="77777777" w:rsidR="00527BBC" w:rsidRDefault="003A4E48">
      <w:pPr>
        <w:spacing w:after="0"/>
        <w:jc w:val="center"/>
        <w:rPr>
          <w:rFonts w:ascii="Arial" w:eastAsia="Arial" w:hAnsi="Arial" w:cs="Arial"/>
          <w:b/>
          <w:sz w:val="24"/>
          <w:szCs w:val="24"/>
        </w:rPr>
      </w:pPr>
      <w:r>
        <w:rPr>
          <w:rFonts w:ascii="Arial" w:eastAsia="Arial" w:hAnsi="Arial" w:cs="Arial"/>
          <w:b/>
          <w:sz w:val="24"/>
          <w:szCs w:val="24"/>
        </w:rPr>
        <w:t>ХЭСГИЙГ ТОГТООСОН БАЙДАЛ</w:t>
      </w:r>
    </w:p>
    <w:p w14:paraId="49A22549" w14:textId="77777777" w:rsidR="00527BBC" w:rsidRDefault="00527BBC">
      <w:pPr>
        <w:spacing w:after="0"/>
        <w:rPr>
          <w:rFonts w:ascii="Arial" w:eastAsia="Arial" w:hAnsi="Arial" w:cs="Arial"/>
          <w:b/>
          <w:sz w:val="24"/>
          <w:szCs w:val="24"/>
        </w:rPr>
      </w:pPr>
    </w:p>
    <w:p w14:paraId="6C7D313E" w14:textId="77777777" w:rsidR="00527BBC" w:rsidRDefault="003A4E48">
      <w:pPr>
        <w:spacing w:after="0"/>
        <w:ind w:firstLine="567"/>
        <w:jc w:val="both"/>
        <w:rPr>
          <w:rFonts w:ascii="Arial" w:eastAsia="Arial" w:hAnsi="Arial" w:cs="Arial"/>
          <w:sz w:val="24"/>
          <w:szCs w:val="24"/>
        </w:rPr>
      </w:pPr>
      <w:r>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14:paraId="49C416BF" w14:textId="77777777">
        <w:trPr>
          <w:jc w:val="center"/>
        </w:trPr>
        <w:tc>
          <w:tcPr>
            <w:tcW w:w="563" w:type="dxa"/>
            <w:vAlign w:val="center"/>
          </w:tcPr>
          <w:p w14:paraId="677D3CF1" w14:textId="77777777" w:rsidR="00527BBC" w:rsidRDefault="003A4E48">
            <w:pPr>
              <w:spacing w:line="276" w:lineRule="auto"/>
              <w:jc w:val="center"/>
              <w:rPr>
                <w:highlight w:val="yellow"/>
              </w:rPr>
            </w:pPr>
            <w:r>
              <w:t>д/д</w:t>
            </w:r>
          </w:p>
        </w:tc>
        <w:tc>
          <w:tcPr>
            <w:tcW w:w="2041" w:type="dxa"/>
            <w:vAlign w:val="center"/>
          </w:tcPr>
          <w:p w14:paraId="4A97D8E5" w14:textId="77777777" w:rsidR="00527BBC" w:rsidRDefault="003A4E48">
            <w:pPr>
              <w:spacing w:line="276" w:lineRule="auto"/>
              <w:jc w:val="center"/>
              <w:rPr>
                <w:b/>
              </w:rPr>
            </w:pPr>
            <w:r>
              <w:rPr>
                <w:b/>
              </w:rPr>
              <w:t>Шалгуур үзүүлэлт</w:t>
            </w:r>
          </w:p>
        </w:tc>
        <w:tc>
          <w:tcPr>
            <w:tcW w:w="2817" w:type="dxa"/>
            <w:vAlign w:val="center"/>
          </w:tcPr>
          <w:p w14:paraId="3E689FE2" w14:textId="77777777" w:rsidR="00527BBC" w:rsidRDefault="003A4E48">
            <w:pPr>
              <w:spacing w:line="276" w:lineRule="auto"/>
              <w:jc w:val="center"/>
              <w:rPr>
                <w:b/>
              </w:rPr>
            </w:pPr>
            <w:r>
              <w:rPr>
                <w:b/>
              </w:rPr>
              <w:t>Үр</w:t>
            </w:r>
            <w:r>
              <w:rPr>
                <w:b/>
              </w:rPr>
              <w:t xml:space="preserve"> нөлөөг үнэлэх хэсэг</w:t>
            </w:r>
          </w:p>
        </w:tc>
        <w:tc>
          <w:tcPr>
            <w:tcW w:w="4077" w:type="dxa"/>
            <w:vAlign w:val="center"/>
          </w:tcPr>
          <w:p w14:paraId="4ECA8102" w14:textId="77777777" w:rsidR="00527BBC" w:rsidRDefault="003A4E48">
            <w:pPr>
              <w:spacing w:line="276" w:lineRule="auto"/>
              <w:jc w:val="center"/>
              <w:rPr>
                <w:b/>
              </w:rPr>
            </w:pPr>
            <w:r>
              <w:rPr>
                <w:b/>
              </w:rPr>
              <w:t>Шалгах хэрэгсэл</w:t>
            </w:r>
          </w:p>
        </w:tc>
      </w:tr>
      <w:tr w:rsidR="00527BBC" w14:paraId="41B51EBD" w14:textId="77777777">
        <w:trPr>
          <w:jc w:val="center"/>
        </w:trPr>
        <w:tc>
          <w:tcPr>
            <w:tcW w:w="563" w:type="dxa"/>
            <w:vAlign w:val="center"/>
          </w:tcPr>
          <w:p w14:paraId="02A9823F" w14:textId="77777777" w:rsidR="00527BBC" w:rsidRDefault="003A4E48">
            <w:pPr>
              <w:spacing w:line="276" w:lineRule="auto"/>
              <w:jc w:val="center"/>
            </w:pPr>
            <w:r>
              <w:t>1</w:t>
            </w:r>
          </w:p>
        </w:tc>
        <w:tc>
          <w:tcPr>
            <w:tcW w:w="2041" w:type="dxa"/>
            <w:vAlign w:val="center"/>
          </w:tcPr>
          <w:p w14:paraId="3BF64ABB" w14:textId="77777777" w:rsidR="00527BBC" w:rsidRDefault="003A4E48">
            <w:pPr>
              <w:spacing w:line="276" w:lineRule="auto"/>
              <w:jc w:val="center"/>
              <w:rPr>
                <w:b/>
                <w:highlight w:val="yellow"/>
              </w:rPr>
            </w:pPr>
            <w:r>
              <w:rPr>
                <w:b/>
              </w:rPr>
              <w:t>Зорилгод хүрэх байдал</w:t>
            </w:r>
          </w:p>
        </w:tc>
        <w:tc>
          <w:tcPr>
            <w:tcW w:w="2817" w:type="dxa"/>
            <w:vAlign w:val="center"/>
          </w:tcPr>
          <w:p w14:paraId="729DC957" w14:textId="77777777" w:rsidR="00527BBC" w:rsidRDefault="003A4E48">
            <w:pPr>
              <w:spacing w:line="276" w:lineRule="auto"/>
              <w:jc w:val="center"/>
              <w:rPr>
                <w:highlight w:val="yellow"/>
              </w:rPr>
            </w:pPr>
            <w:r>
              <w:t>Хуулийн төсөл бүхэлдээ</w:t>
            </w:r>
          </w:p>
        </w:tc>
        <w:tc>
          <w:tcPr>
            <w:tcW w:w="4077" w:type="dxa"/>
            <w:shd w:val="clear" w:color="auto" w:fill="auto"/>
          </w:tcPr>
          <w:p w14:paraId="2A42048B" w14:textId="77777777" w:rsidR="00527BBC" w:rsidRDefault="003A4E48">
            <w:pPr>
              <w:pBdr>
                <w:top w:val="nil"/>
                <w:left w:val="nil"/>
                <w:bottom w:val="nil"/>
                <w:right w:val="nil"/>
                <w:between w:val="nil"/>
              </w:pBdr>
              <w:spacing w:line="276" w:lineRule="auto"/>
              <w:jc w:val="both"/>
              <w:rPr>
                <w:color w:val="000000"/>
                <w:highlight w:val="yellow"/>
              </w:rPr>
            </w:pPr>
            <w:r>
              <w:rPr>
                <w:color w:val="000000"/>
              </w:rPr>
              <w:t xml:space="preserve">Хуулийн төслийн үзэл баримтлалд дэвшүүлсэн зорилгыг хангах эсэхэд дүн шинжилгээ хийх. </w:t>
            </w:r>
          </w:p>
        </w:tc>
      </w:tr>
      <w:tr w:rsidR="00527BBC" w14:paraId="508B5B1D" w14:textId="77777777">
        <w:trPr>
          <w:jc w:val="center"/>
        </w:trPr>
        <w:tc>
          <w:tcPr>
            <w:tcW w:w="563" w:type="dxa"/>
            <w:vAlign w:val="center"/>
          </w:tcPr>
          <w:p w14:paraId="5C69151F" w14:textId="77777777" w:rsidR="00527BBC" w:rsidRDefault="003A4E48">
            <w:pPr>
              <w:spacing w:line="276" w:lineRule="auto"/>
              <w:jc w:val="center"/>
            </w:pPr>
            <w:r>
              <w:t>2</w:t>
            </w:r>
          </w:p>
        </w:tc>
        <w:tc>
          <w:tcPr>
            <w:tcW w:w="2041" w:type="dxa"/>
            <w:vAlign w:val="center"/>
          </w:tcPr>
          <w:p w14:paraId="465C25A5" w14:textId="77777777" w:rsidR="00527BBC" w:rsidRDefault="003A4E48">
            <w:pPr>
              <w:tabs>
                <w:tab w:val="left" w:pos="1134"/>
              </w:tabs>
              <w:spacing w:line="276" w:lineRule="auto"/>
              <w:jc w:val="center"/>
              <w:rPr>
                <w:b/>
              </w:rPr>
            </w:pPr>
            <w:r>
              <w:rPr>
                <w:b/>
              </w:rPr>
              <w:t>Практикт хэрэгжих боломж</w:t>
            </w:r>
          </w:p>
        </w:tc>
        <w:tc>
          <w:tcPr>
            <w:tcW w:w="2817" w:type="dxa"/>
            <w:vAlign w:val="center"/>
          </w:tcPr>
          <w:p w14:paraId="581D0D8C" w14:textId="77777777" w:rsidR="00527BBC" w:rsidRDefault="003A4E48">
            <w:pPr>
              <w:spacing w:line="276" w:lineRule="auto"/>
              <w:jc w:val="center"/>
            </w:pPr>
            <w:r>
              <w:t>Хуулийн төслийн 4</w:t>
            </w:r>
            <w:r>
              <w:rPr>
                <w:vertAlign w:val="superscript"/>
              </w:rPr>
              <w:t>1</w:t>
            </w:r>
            <w:r>
              <w:t>.2 дүгээр зүйл</w:t>
            </w:r>
          </w:p>
        </w:tc>
        <w:tc>
          <w:tcPr>
            <w:tcW w:w="4077" w:type="dxa"/>
          </w:tcPr>
          <w:p w14:paraId="6D9D8F32" w14:textId="77777777" w:rsidR="00527BBC" w:rsidRDefault="003A4E48">
            <w:pPr>
              <w:spacing w:line="276" w:lineRule="auto"/>
              <w:jc w:val="both"/>
              <w:rPr>
                <w:highlight w:val="yellow"/>
              </w:rPr>
            </w:pPr>
            <w:r>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14:paraId="50370C04" w14:textId="77777777">
        <w:trPr>
          <w:jc w:val="center"/>
        </w:trPr>
        <w:tc>
          <w:tcPr>
            <w:tcW w:w="563" w:type="dxa"/>
            <w:vAlign w:val="center"/>
          </w:tcPr>
          <w:p w14:paraId="0D333B62" w14:textId="77777777" w:rsidR="00527BBC" w:rsidRDefault="003A4E48">
            <w:pPr>
              <w:spacing w:line="276" w:lineRule="auto"/>
              <w:jc w:val="center"/>
            </w:pPr>
            <w:r>
              <w:t>3</w:t>
            </w:r>
          </w:p>
        </w:tc>
        <w:tc>
          <w:tcPr>
            <w:tcW w:w="2041" w:type="dxa"/>
            <w:vAlign w:val="center"/>
          </w:tcPr>
          <w:p w14:paraId="0179DBE6" w14:textId="77777777" w:rsidR="00527BBC" w:rsidRDefault="003A4E48">
            <w:pPr>
              <w:spacing w:line="276" w:lineRule="auto"/>
              <w:jc w:val="center"/>
              <w:rPr>
                <w:b/>
                <w:highlight w:val="yellow"/>
              </w:rPr>
            </w:pPr>
            <w:r>
              <w:rPr>
                <w:b/>
              </w:rPr>
              <w:t>Ойлгомжтой байдал</w:t>
            </w:r>
          </w:p>
        </w:tc>
        <w:tc>
          <w:tcPr>
            <w:tcW w:w="2817" w:type="dxa"/>
            <w:vAlign w:val="center"/>
          </w:tcPr>
          <w:p w14:paraId="3AF5A9FF" w14:textId="77777777" w:rsidR="00527BBC" w:rsidRDefault="003A4E48">
            <w:pPr>
              <w:spacing w:line="276" w:lineRule="auto"/>
              <w:jc w:val="center"/>
              <w:rPr>
                <w:highlight w:val="yellow"/>
              </w:rPr>
            </w:pPr>
            <w:r>
              <w:t>Хуулийн төслийг зохицуулалтыг бүхэлд нь хамруулах</w:t>
            </w:r>
          </w:p>
        </w:tc>
        <w:tc>
          <w:tcPr>
            <w:tcW w:w="4077" w:type="dxa"/>
          </w:tcPr>
          <w:p w14:paraId="7D877240" w14:textId="77777777" w:rsidR="00527BBC" w:rsidRDefault="003A4E48">
            <w:pPr>
              <w:spacing w:line="276" w:lineRule="auto"/>
              <w:jc w:val="both"/>
              <w:rPr>
                <w:highlight w:val="yellow"/>
              </w:rPr>
            </w:pPr>
            <w:r>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14:paraId="33112AFC" w14:textId="77777777">
        <w:trPr>
          <w:jc w:val="center"/>
        </w:trPr>
        <w:tc>
          <w:tcPr>
            <w:tcW w:w="563" w:type="dxa"/>
            <w:vAlign w:val="center"/>
          </w:tcPr>
          <w:p w14:paraId="6AD4DE93" w14:textId="77777777" w:rsidR="00527BBC" w:rsidRDefault="003A4E48">
            <w:pPr>
              <w:spacing w:line="276" w:lineRule="auto"/>
              <w:jc w:val="center"/>
            </w:pPr>
            <w:r>
              <w:t>4</w:t>
            </w:r>
          </w:p>
        </w:tc>
        <w:tc>
          <w:tcPr>
            <w:tcW w:w="2041" w:type="dxa"/>
            <w:vAlign w:val="center"/>
          </w:tcPr>
          <w:p w14:paraId="036BA78A" w14:textId="77777777" w:rsidR="00527BBC" w:rsidRDefault="003A4E48">
            <w:pPr>
              <w:spacing w:line="276" w:lineRule="auto"/>
              <w:jc w:val="center"/>
              <w:rPr>
                <w:b/>
                <w:highlight w:val="yellow"/>
              </w:rPr>
            </w:pPr>
            <w:r>
              <w:rPr>
                <w:b/>
              </w:rPr>
              <w:t>Харилцан уялдаа</w:t>
            </w:r>
          </w:p>
        </w:tc>
        <w:tc>
          <w:tcPr>
            <w:tcW w:w="2817" w:type="dxa"/>
            <w:vAlign w:val="center"/>
          </w:tcPr>
          <w:p w14:paraId="54070F9B" w14:textId="77777777" w:rsidR="00527BBC" w:rsidRDefault="003A4E48">
            <w:pPr>
              <w:pBdr>
                <w:top w:val="nil"/>
                <w:left w:val="nil"/>
                <w:bottom w:val="nil"/>
                <w:right w:val="nil"/>
                <w:between w:val="nil"/>
              </w:pBdr>
              <w:spacing w:line="276" w:lineRule="auto"/>
              <w:jc w:val="center"/>
              <w:rPr>
                <w:color w:val="000000"/>
                <w:highlight w:val="yellow"/>
              </w:rPr>
            </w:pPr>
            <w:r>
              <w:rPr>
                <w:color w:val="000000"/>
              </w:rPr>
              <w:t>Хуулийн төслийг зохицуулалтыг бүхэлд нь хамруулах</w:t>
            </w:r>
          </w:p>
        </w:tc>
        <w:tc>
          <w:tcPr>
            <w:tcW w:w="4077" w:type="dxa"/>
          </w:tcPr>
          <w:p w14:paraId="2DEE892C" w14:textId="77777777" w:rsidR="00527BBC" w:rsidRDefault="003A4E48">
            <w:pPr>
              <w:pBdr>
                <w:top w:val="nil"/>
                <w:left w:val="nil"/>
                <w:bottom w:val="nil"/>
                <w:right w:val="nil"/>
                <w:between w:val="nil"/>
              </w:pBdr>
              <w:spacing w:line="276" w:lineRule="auto"/>
              <w:jc w:val="both"/>
              <w:rPr>
                <w:color w:val="000000"/>
                <w:highlight w:val="yellow"/>
              </w:rPr>
            </w:pPr>
            <w:r>
              <w:rPr>
                <w:color w:val="000000"/>
              </w:rPr>
              <w:t xml:space="preserve">Хууль тогтоомжийн тухай хуулийн 29 дүгээр зүйлийн 29.1.1, 29.1.5, 29.1.7, 29.1.10-т болон Аргачлалын 4.10-т заасан </w:t>
            </w:r>
            <w:r>
              <w:rPr>
                <w:color w:val="000000"/>
              </w:rPr>
              <w:lastRenderedPageBreak/>
              <w:t xml:space="preserve">шаардлага, шалгуурыг хангасан шалгах. </w:t>
            </w:r>
          </w:p>
        </w:tc>
      </w:tr>
    </w:tbl>
    <w:p w14:paraId="34AAE2C2" w14:textId="77777777" w:rsidR="00527BBC" w:rsidRDefault="00527BBC">
      <w:pPr>
        <w:spacing w:after="0"/>
        <w:rPr>
          <w:rFonts w:ascii="Arial" w:eastAsia="Arial" w:hAnsi="Arial" w:cs="Arial"/>
          <w:b/>
          <w:sz w:val="24"/>
          <w:szCs w:val="24"/>
        </w:rPr>
      </w:pPr>
    </w:p>
    <w:p w14:paraId="1ACA04D2" w14:textId="77777777" w:rsidR="00527BBC"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w:t>
      </w:r>
      <w:r>
        <w:rPr>
          <w:rFonts w:ascii="Arial" w:eastAsia="Arial" w:hAnsi="Arial" w:cs="Arial"/>
          <w:color w:val="000000"/>
          <w:sz w:val="24"/>
          <w:szCs w:val="24"/>
        </w:rPr>
        <w:t>өг</w:t>
      </w:r>
      <w:r>
        <w:rPr>
          <w:rFonts w:ascii="Arial" w:eastAsia="Arial" w:hAnsi="Arial" w:cs="Arial"/>
          <w:color w:val="000000"/>
          <w:sz w:val="24"/>
          <w:szCs w:val="24"/>
        </w:rPr>
        <w:t xml:space="preserve"> дараах байдлаар үнэллээ.</w:t>
      </w:r>
    </w:p>
    <w:p w14:paraId="5327A5AF" w14:textId="77777777" w:rsidR="00527BBC" w:rsidRDefault="00527BBC">
      <w:pPr>
        <w:spacing w:after="0"/>
        <w:rPr>
          <w:rFonts w:ascii="Arial" w:eastAsia="Arial" w:hAnsi="Arial" w:cs="Arial"/>
          <w:b/>
          <w:sz w:val="24"/>
          <w:szCs w:val="24"/>
        </w:rPr>
      </w:pPr>
    </w:p>
    <w:p w14:paraId="330C09A9" w14:textId="77777777" w:rsidR="00527BBC" w:rsidRDefault="003A4E48">
      <w:pPr>
        <w:pStyle w:val="Heading2"/>
        <w:spacing w:line="276" w:lineRule="auto"/>
        <w:ind w:firstLine="567"/>
        <w:jc w:val="left"/>
        <w:rPr>
          <w:rFonts w:ascii="Arial" w:eastAsia="Arial" w:hAnsi="Arial" w:cs="Arial"/>
        </w:rPr>
      </w:pPr>
      <w:r>
        <w:rPr>
          <w:rFonts w:ascii="Arial" w:eastAsia="Arial" w:hAnsi="Arial" w:cs="Arial"/>
        </w:rPr>
        <w:t>“Зорилгод хүрэх байдал” шалгуур үзүүлэлтийн хүрээнд хийсэн үнэлгээ</w:t>
      </w:r>
    </w:p>
    <w:p w14:paraId="6FDB5F20" w14:textId="77777777" w:rsidR="00527BBC" w:rsidRDefault="00527BBC">
      <w:pPr>
        <w:spacing w:after="0"/>
        <w:rPr>
          <w:rFonts w:ascii="Arial" w:eastAsia="Arial" w:hAnsi="Arial" w:cs="Arial"/>
          <w:b/>
          <w:sz w:val="24"/>
          <w:szCs w:val="24"/>
        </w:rPr>
      </w:pPr>
    </w:p>
    <w:p w14:paraId="48654490" w14:textId="0F058EDA" w:rsidR="00944DD2" w:rsidRDefault="00944DD2">
      <w:pPr>
        <w:spacing w:after="0"/>
        <w:ind w:firstLine="567"/>
        <w:jc w:val="both"/>
        <w:rPr>
          <w:rFonts w:ascii="Arial" w:eastAsia="Arial" w:hAnsi="Arial" w:cs="Arial"/>
          <w:color w:val="000000"/>
          <w:sz w:val="24"/>
          <w:szCs w:val="24"/>
        </w:rPr>
      </w:pPr>
      <w:r>
        <w:rPr>
          <w:rFonts w:ascii="Arial" w:eastAsia="Arial" w:hAnsi="Arial" w:cs="Arial"/>
          <w:color w:val="000000"/>
          <w:sz w:val="24"/>
          <w:szCs w:val="24"/>
        </w:rPr>
        <w:t xml:space="preserve">Жагсаал, цуглаан хийх журмын тухай хуульд нэмэлт, өөрчлөлт оруулах тухай </w:t>
      </w:r>
      <w:r w:rsidR="003A4E48">
        <w:rPr>
          <w:rFonts w:ascii="Arial" w:eastAsia="Arial" w:hAnsi="Arial" w:cs="Arial"/>
          <w:sz w:val="24"/>
          <w:szCs w:val="24"/>
        </w:rPr>
        <w:t xml:space="preserve">хуулийн </w:t>
      </w:r>
      <w:r w:rsidR="003A4E48">
        <w:rPr>
          <w:rFonts w:ascii="Arial" w:eastAsia="Arial" w:hAnsi="Arial" w:cs="Arial"/>
          <w:color w:val="000000"/>
          <w:sz w:val="24"/>
          <w:szCs w:val="24"/>
        </w:rPr>
        <w:t>үзэл</w:t>
      </w:r>
      <w:r w:rsidR="003A4E48">
        <w:rPr>
          <w:rFonts w:ascii="Arial" w:eastAsia="Arial" w:hAnsi="Arial" w:cs="Arial"/>
          <w:color w:val="000000"/>
          <w:sz w:val="24"/>
          <w:szCs w:val="24"/>
        </w:rPr>
        <w:t xml:space="preserve"> баримтлалаар </w:t>
      </w:r>
      <w:r>
        <w:rPr>
          <w:rFonts w:ascii="Arial" w:eastAsia="Arial" w:hAnsi="Arial" w:cs="Arial"/>
          <w:color w:val="000000"/>
          <w:sz w:val="24"/>
          <w:szCs w:val="24"/>
        </w:rPr>
        <w:t xml:space="preserve">иргэд өөрсдийн үзэл бодлоо илэрхийлэхэд төрийн байгууллагаас, тэр тусмаа тухайн шатныхаа Засаг даргаар зөвшөөрөл авдагыг өөрчлөх, аяндаа үүссэн жагсаал цуглааны тухай ойлголтыг хуульд нийцүүлэн тодорхойлж өгөх гэсэн зорилгыг тодорхойлсон. </w:t>
      </w:r>
    </w:p>
    <w:p w14:paraId="3B180FF1" w14:textId="77777777" w:rsidR="00527BBC" w:rsidRPr="00F82076" w:rsidRDefault="003A4E48">
      <w:pPr>
        <w:spacing w:after="0"/>
        <w:ind w:firstLine="567"/>
        <w:jc w:val="both"/>
        <w:rPr>
          <w:rFonts w:ascii="Arial" w:eastAsia="Arial" w:hAnsi="Arial" w:cs="Arial"/>
          <w:color w:val="FF0000"/>
          <w:sz w:val="24"/>
          <w:szCs w:val="24"/>
        </w:rPr>
      </w:pPr>
      <w:r w:rsidRPr="00F82076">
        <w:rPr>
          <w:rFonts w:ascii="Arial" w:eastAsia="Arial" w:hAnsi="Arial" w:cs="Arial"/>
          <w:color w:val="FF0000"/>
          <w:sz w:val="24"/>
          <w:szCs w:val="24"/>
        </w:rPr>
        <w:t>Энэ хүрээнд уг хуулийн 6 дугаар зүйлийн 6.1.5 дугаар хэсэгт төрийн үйлчилгээ болон дэд бүтцийг ашиглан үүсч байгаа байгаа мэдээлэл боловсруулалт хийж болох байдлаар ил тодоор иргэд, олон нийтэд ашиглахаар оруулж өгсө</w:t>
      </w:r>
      <w:r w:rsidRPr="00F82076">
        <w:rPr>
          <w:rFonts w:ascii="Arial" w:eastAsia="Arial" w:hAnsi="Arial" w:cs="Arial"/>
          <w:color w:val="FF0000"/>
          <w:sz w:val="24"/>
          <w:szCs w:val="24"/>
        </w:rPr>
        <w:t xml:space="preserve">н. Энэ нь Монгол Улсын Үндсэн хуулийн Арван есдүгээр зүйлийн 1-д </w:t>
      </w:r>
      <w:r w:rsidRPr="00F82076">
        <w:rPr>
          <w:rFonts w:ascii="Arial" w:eastAsia="Arial" w:hAnsi="Arial" w:cs="Arial"/>
          <w:color w:val="FF0000"/>
          <w:sz w:val="24"/>
          <w:szCs w:val="24"/>
          <w:highlight w:val="white"/>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w:t>
      </w:r>
      <w:r w:rsidRPr="00F82076">
        <w:rPr>
          <w:rFonts w:ascii="Arial" w:eastAsia="Arial" w:hAnsi="Arial" w:cs="Arial"/>
          <w:color w:val="FF0000"/>
          <w:sz w:val="24"/>
          <w:szCs w:val="24"/>
          <w:highlight w:val="white"/>
        </w:rPr>
        <w:t xml:space="preserve">энийхээ өмнө хариуцна” гэж, Арван зургадугаар зүйлд  “Монгол Улсын иргэн дараахь үндсэн эрх, эрх чөлөөг баталгаатай эдэлнэ” гээд мөн зүйлийн 17-д “төр, түүний байгууллагаас хууль ёсоор тусгайлан хамгаалбал зохих нууцад хамаарахгүй асуудлаар мэдээлэл хайх, </w:t>
      </w:r>
      <w:r w:rsidRPr="00F82076">
        <w:rPr>
          <w:rFonts w:ascii="Arial" w:eastAsia="Arial" w:hAnsi="Arial" w:cs="Arial"/>
          <w:color w:val="FF0000"/>
          <w:sz w:val="24"/>
          <w:szCs w:val="24"/>
          <w:highlight w:val="white"/>
        </w:rPr>
        <w:t>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заасныг, Нэгдсэн Үндэстний Байгуу</w:t>
      </w:r>
      <w:r w:rsidRPr="00F82076">
        <w:rPr>
          <w:rFonts w:ascii="Arial" w:eastAsia="Arial" w:hAnsi="Arial" w:cs="Arial"/>
          <w:color w:val="FF0000"/>
          <w:sz w:val="24"/>
          <w:szCs w:val="24"/>
          <w:highlight w:val="white"/>
        </w:rPr>
        <w:t>ллагын Ерөнхий Ассемлейн анхдугаар чуулга уулзалтын 59 тоот тогтоолд заасан байдаг "Мэдээллийн эрх чөлөө бол хүний язгуур эрх бөгөөд............Нэгдсэн Үндэстний Байгууллагаас эрхэмлэдэг хүний бусад эрхийн үндсэн хэмжүүр мөн" гэж заасныг, Монгол Улсын Засг</w:t>
      </w:r>
      <w:r w:rsidRPr="00F82076">
        <w:rPr>
          <w:rFonts w:ascii="Arial" w:eastAsia="Arial" w:hAnsi="Arial" w:cs="Arial"/>
          <w:color w:val="FF0000"/>
          <w:sz w:val="24"/>
          <w:szCs w:val="24"/>
          <w:highlight w:val="white"/>
        </w:rPr>
        <w:t>ийн Газрын 2020-2024 онд хэрэгжүүлэх үйл ажиллагааны хөтөлбөрийн 4.1.4-т “Төрийн үйлчилгээнд мэдээлэл, харилцаа холбооны технологийн дэвшил, инновац нэвтрүүлэх замаар бүтээмж, үр ашгийг дээшлүүлнэ” гэж, мөн 4.4.11-т “Монгол Улсын Үндсэн хуульд заасан иргэн</w:t>
      </w:r>
      <w:r w:rsidRPr="00F82076">
        <w:rPr>
          <w:rFonts w:ascii="Arial" w:eastAsia="Arial" w:hAnsi="Arial" w:cs="Arial"/>
          <w:color w:val="FF0000"/>
          <w:sz w:val="24"/>
          <w:szCs w:val="24"/>
          <w:highlight w:val="white"/>
        </w:rPr>
        <w:t>ий шашин шүтэх, эс шүтэх эрх чөлөө, эвлэлдэн нэгдэх болон мэдээлэл авах эрхээ хэрэгжүүлэх хууль, эрх зүйн орчныг сайжруулна” гэсний дагуу иргэдийн төрд үүсэн буй мэдээллийг авч ашиглан, бизнес хийх боломжийг бүрдүүлэх эрхийг баталгаажуулж өгөх заалтыг бата</w:t>
      </w:r>
      <w:r w:rsidRPr="00F82076">
        <w:rPr>
          <w:rFonts w:ascii="Arial" w:eastAsia="Arial" w:hAnsi="Arial" w:cs="Arial"/>
          <w:color w:val="FF0000"/>
          <w:sz w:val="24"/>
          <w:szCs w:val="24"/>
          <w:highlight w:val="white"/>
        </w:rPr>
        <w:t xml:space="preserve">лгаажуулсан явдал гэж үзэж байна.  </w:t>
      </w:r>
    </w:p>
    <w:p w14:paraId="252852F0" w14:textId="77777777" w:rsidR="00527BBC" w:rsidRPr="00F82076" w:rsidRDefault="003A4E48">
      <w:pPr>
        <w:spacing w:after="0"/>
        <w:ind w:firstLine="567"/>
        <w:jc w:val="both"/>
        <w:rPr>
          <w:rFonts w:ascii="Arial" w:eastAsia="Arial" w:hAnsi="Arial" w:cs="Arial"/>
          <w:color w:val="FF0000"/>
          <w:sz w:val="24"/>
          <w:szCs w:val="24"/>
        </w:rPr>
      </w:pPr>
      <w:r w:rsidRPr="00F82076">
        <w:rPr>
          <w:rFonts w:ascii="Arial" w:eastAsia="Arial" w:hAnsi="Arial" w:cs="Arial"/>
          <w:color w:val="FF0000"/>
          <w:sz w:val="24"/>
          <w:szCs w:val="24"/>
        </w:rPr>
        <w:t xml:space="preserve"> Мөн уг хуулийн 10</w:t>
      </w:r>
      <w:r w:rsidRPr="00F82076">
        <w:rPr>
          <w:rFonts w:ascii="Arial" w:eastAsia="Arial" w:hAnsi="Arial" w:cs="Arial"/>
          <w:color w:val="FF0000"/>
          <w:sz w:val="24"/>
          <w:szCs w:val="24"/>
          <w:vertAlign w:val="superscript"/>
        </w:rPr>
        <w:t>1</w:t>
      </w:r>
      <w:r w:rsidRPr="00F82076">
        <w:rPr>
          <w:rFonts w:ascii="Arial" w:eastAsia="Arial" w:hAnsi="Arial" w:cs="Arial"/>
          <w:color w:val="FF0000"/>
          <w:sz w:val="24"/>
          <w:szCs w:val="24"/>
        </w:rPr>
        <w:t>.1.1 дүгээр зүйлд “Өөрийн үзүүлж буй үйлчилгээ болон төрийн дэд бүтцийг ашиглуулсны үр дүнд үүсэн хуримтлагдаж буй мэдээллийг цагийн хоцрогдолгүйгээр тухай бүр шинэчлэн энэхүү хуулийн 16.5-аар тодорхой</w:t>
      </w:r>
      <w:r w:rsidRPr="00F82076">
        <w:rPr>
          <w:rFonts w:ascii="Arial" w:eastAsia="Arial" w:hAnsi="Arial" w:cs="Arial"/>
          <w:color w:val="FF0000"/>
          <w:sz w:val="24"/>
          <w:szCs w:val="24"/>
        </w:rPr>
        <w:t>логдсон үйлчилгээний хөлсөөр  иргэн, хуулийн этгээдийн хүсэлтээр нийлүүлж болно” гэж тодорхойлон зааснаар энэхүү өгөгдөл, мэдээллийг шууд зардлаар хязгаарлагдахгүй үнээр борлуулах боломжийг нээж нээж өглөө. Уг үнийг төрд үүсэн буй өгөгдлийн үнэ цэнэ, бизне</w:t>
      </w:r>
      <w:r w:rsidRPr="00F82076">
        <w:rPr>
          <w:rFonts w:ascii="Arial" w:eastAsia="Arial" w:hAnsi="Arial" w:cs="Arial"/>
          <w:color w:val="FF0000"/>
          <w:sz w:val="24"/>
          <w:szCs w:val="24"/>
        </w:rPr>
        <w:t xml:space="preserve">сүүдийн худалдан авах эрэлтэд тулгуурлан Засгийн Газар батлахаар зааж өглөө. Ингэснээр уг үйлчилгээнээс төсөвт орлого </w:t>
      </w:r>
      <w:r w:rsidRPr="00F82076">
        <w:rPr>
          <w:rFonts w:ascii="Arial" w:eastAsia="Arial" w:hAnsi="Arial" w:cs="Arial"/>
          <w:color w:val="FF0000"/>
          <w:sz w:val="24"/>
          <w:szCs w:val="24"/>
        </w:rPr>
        <w:lastRenderedPageBreak/>
        <w:t xml:space="preserve">төвлөрөх боломж бий бүрлэх бөгөөд энэхүү орлого нь цаашид жил өссөөр нэмэгдсээр байх болно гэж үзэж байна. </w:t>
      </w:r>
    </w:p>
    <w:p w14:paraId="1702987B" w14:textId="77777777" w:rsidR="00527BBC" w:rsidRDefault="00527BBC">
      <w:pPr>
        <w:spacing w:after="0"/>
        <w:ind w:firstLine="567"/>
        <w:jc w:val="both"/>
        <w:rPr>
          <w:rFonts w:ascii="Arial" w:eastAsia="Arial" w:hAnsi="Arial" w:cs="Arial"/>
          <w:sz w:val="24"/>
          <w:szCs w:val="24"/>
        </w:rPr>
      </w:pPr>
    </w:p>
    <w:p w14:paraId="59A0719C" w14:textId="77777777" w:rsidR="00527BBC" w:rsidRDefault="003A4E48">
      <w:pPr>
        <w:spacing w:after="120"/>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“Практик хэрэгжих боломж” ш</w:t>
      </w:r>
      <w:r>
        <w:rPr>
          <w:rFonts w:ascii="Arial" w:eastAsia="Arial" w:hAnsi="Arial" w:cs="Arial"/>
          <w:b/>
          <w:sz w:val="24"/>
          <w:szCs w:val="24"/>
        </w:rPr>
        <w:t>алгуур үзүүлэлтийн хүрээнд хийсэн үнэлгээ</w:t>
      </w:r>
    </w:p>
    <w:p w14:paraId="30CFAAA7" w14:textId="491E62A6" w:rsidR="00F82076" w:rsidRDefault="00F82076">
      <w:pPr>
        <w:spacing w:after="120"/>
        <w:ind w:firstLine="720"/>
        <w:jc w:val="both"/>
        <w:rPr>
          <w:rFonts w:ascii="Arial" w:eastAsia="Arial" w:hAnsi="Arial" w:cs="Arial"/>
          <w:sz w:val="24"/>
          <w:szCs w:val="24"/>
        </w:rPr>
      </w:pPr>
      <w:r>
        <w:rPr>
          <w:rFonts w:ascii="Arial" w:eastAsia="Arial" w:hAnsi="Arial" w:cs="Arial"/>
          <w:sz w:val="24"/>
          <w:szCs w:val="24"/>
        </w:rPr>
        <w:t xml:space="preserve">Өдгөөгийн хэрэгжиж буй хуулиар жагсаал, цуглааны асуудалд хэт субьектив байдлаар хандаж, олон улсад мэдэгдлийн байдлаар ашиглагддаг системийг </w:t>
      </w:r>
    </w:p>
    <w:p w14:paraId="045C9D65" w14:textId="77777777" w:rsidR="00580754" w:rsidRDefault="00580754">
      <w:pPr>
        <w:pStyle w:val="Heading2"/>
        <w:spacing w:line="276" w:lineRule="auto"/>
        <w:ind w:firstLine="720"/>
        <w:jc w:val="left"/>
        <w:rPr>
          <w:rFonts w:ascii="Arial" w:eastAsia="Arial" w:hAnsi="Arial" w:cs="Arial"/>
        </w:rPr>
      </w:pPr>
    </w:p>
    <w:p w14:paraId="7CFA13D7" w14:textId="544C0B5C" w:rsidR="00527BBC" w:rsidRDefault="003A4E48">
      <w:pPr>
        <w:pStyle w:val="Heading2"/>
        <w:spacing w:line="276" w:lineRule="auto"/>
        <w:ind w:firstLine="720"/>
        <w:jc w:val="left"/>
        <w:rPr>
          <w:rFonts w:ascii="Arial" w:eastAsia="Arial" w:hAnsi="Arial" w:cs="Arial"/>
        </w:rPr>
      </w:pPr>
      <w:r>
        <w:rPr>
          <w:rFonts w:ascii="Arial" w:eastAsia="Arial" w:hAnsi="Arial" w:cs="Arial"/>
        </w:rPr>
        <w:t>“Ойлгомжтой” шалгуур</w:t>
      </w:r>
      <w:r>
        <w:rPr>
          <w:rFonts w:ascii="Arial" w:eastAsia="Arial" w:hAnsi="Arial" w:cs="Arial"/>
        </w:rPr>
        <w:t xml:space="preserve"> үзүүлэлтийн хүрээнд хийсэн үнэлгээ</w:t>
      </w:r>
    </w:p>
    <w:p w14:paraId="20D81605" w14:textId="77777777" w:rsidR="00527BBC" w:rsidRDefault="00527BBC">
      <w:pPr>
        <w:spacing w:after="0"/>
        <w:rPr>
          <w:rFonts w:ascii="Arial" w:eastAsia="Arial" w:hAnsi="Arial" w:cs="Arial"/>
          <w:b/>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14:paraId="2B7B0A55" w14:textId="77777777">
        <w:trPr>
          <w:jc w:val="center"/>
        </w:trPr>
        <w:tc>
          <w:tcPr>
            <w:tcW w:w="9464" w:type="dxa"/>
            <w:gridSpan w:val="2"/>
            <w:vAlign w:val="center"/>
          </w:tcPr>
          <w:p w14:paraId="1CD17B7C" w14:textId="77777777" w:rsidR="00527BBC" w:rsidRDefault="003A4E48">
            <w:pPr>
              <w:spacing w:line="276" w:lineRule="auto"/>
              <w:jc w:val="center"/>
              <w:rPr>
                <w:b/>
              </w:rPr>
            </w:pPr>
            <w:r>
              <w:rPr>
                <w:b/>
              </w:rPr>
              <w:t>Хууль тогтоомжийн тухай хуулийн 29 дүгээр зүйлд заасан хуулийн төслийн эх бичвэрийн агуулгад тавих нийтлэг шаардлага</w:t>
            </w:r>
          </w:p>
        </w:tc>
      </w:tr>
      <w:tr w:rsidR="00527BBC" w14:paraId="4839641D" w14:textId="77777777">
        <w:trPr>
          <w:jc w:val="center"/>
        </w:trPr>
        <w:tc>
          <w:tcPr>
            <w:tcW w:w="6674" w:type="dxa"/>
            <w:vAlign w:val="center"/>
          </w:tcPr>
          <w:p w14:paraId="2A4820E4" w14:textId="77777777" w:rsidR="00527BBC" w:rsidRDefault="003A4E48">
            <w:pPr>
              <w:spacing w:line="276" w:lineRule="auto"/>
              <w:jc w:val="center"/>
              <w:rPr>
                <w:b/>
              </w:rPr>
            </w:pPr>
            <w:r>
              <w:rPr>
                <w:b/>
              </w:rPr>
              <w:t>Хууль тогтоомжийн тухай хуулийн зохицуулалт</w:t>
            </w:r>
          </w:p>
        </w:tc>
        <w:tc>
          <w:tcPr>
            <w:tcW w:w="2790" w:type="dxa"/>
            <w:vAlign w:val="center"/>
          </w:tcPr>
          <w:p w14:paraId="2C22A5A5" w14:textId="77777777" w:rsidR="00527BBC" w:rsidRDefault="003A4E48">
            <w:pPr>
              <w:spacing w:line="276" w:lineRule="auto"/>
              <w:jc w:val="center"/>
              <w:rPr>
                <w:b/>
              </w:rPr>
            </w:pPr>
            <w:r>
              <w:rPr>
                <w:b/>
              </w:rPr>
              <w:t>Хуулийн төслийн зохицуулалтад үнэлгээ хийсэн байдал</w:t>
            </w:r>
          </w:p>
        </w:tc>
      </w:tr>
      <w:tr w:rsidR="00527BBC" w14:paraId="61E87B19" w14:textId="77777777">
        <w:trPr>
          <w:jc w:val="center"/>
        </w:trPr>
        <w:tc>
          <w:tcPr>
            <w:tcW w:w="6674" w:type="dxa"/>
          </w:tcPr>
          <w:p w14:paraId="5CC276B6" w14:textId="77777777" w:rsidR="00527BBC" w:rsidRDefault="003A4E48">
            <w:pPr>
              <w:pBdr>
                <w:top w:val="nil"/>
                <w:left w:val="nil"/>
                <w:bottom w:val="nil"/>
                <w:right w:val="nil"/>
                <w:between w:val="nil"/>
              </w:pBdr>
              <w:spacing w:line="276" w:lineRule="auto"/>
              <w:jc w:val="both"/>
              <w:rPr>
                <w:color w:val="000000"/>
              </w:rPr>
            </w:pPr>
            <w:r>
              <w:rPr>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Default="003A4E48">
            <w:pPr>
              <w:pBdr>
                <w:top w:val="nil"/>
                <w:left w:val="nil"/>
                <w:bottom w:val="nil"/>
                <w:right w:val="nil"/>
                <w:between w:val="nil"/>
              </w:pBdr>
              <w:spacing w:line="276" w:lineRule="auto"/>
              <w:jc w:val="center"/>
              <w:rPr>
                <w:color w:val="000000"/>
              </w:rPr>
            </w:pPr>
            <w:r>
              <w:rPr>
                <w:color w:val="000000"/>
              </w:rPr>
              <w:t>Шаардлагад нийцсэн</w:t>
            </w:r>
          </w:p>
        </w:tc>
      </w:tr>
      <w:tr w:rsidR="00527BBC" w14:paraId="31E43C6F" w14:textId="77777777">
        <w:trPr>
          <w:jc w:val="center"/>
        </w:trPr>
        <w:tc>
          <w:tcPr>
            <w:tcW w:w="6674" w:type="dxa"/>
          </w:tcPr>
          <w:p w14:paraId="2EC76119" w14:textId="77777777" w:rsidR="00527BBC" w:rsidRDefault="003A4E48">
            <w:pPr>
              <w:spacing w:line="276" w:lineRule="auto"/>
              <w:jc w:val="both"/>
            </w:pPr>
            <w:r>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Default="003A4E48">
            <w:pPr>
              <w:spacing w:line="276" w:lineRule="auto"/>
              <w:jc w:val="center"/>
            </w:pPr>
            <w:r>
              <w:t>Шаардлагад нийцсэн</w:t>
            </w:r>
          </w:p>
        </w:tc>
      </w:tr>
      <w:tr w:rsidR="00527BBC" w14:paraId="594AAB0D" w14:textId="77777777">
        <w:trPr>
          <w:jc w:val="center"/>
        </w:trPr>
        <w:tc>
          <w:tcPr>
            <w:tcW w:w="6674" w:type="dxa"/>
          </w:tcPr>
          <w:p w14:paraId="1BEF4757" w14:textId="77777777" w:rsidR="00527BBC" w:rsidRDefault="003A4E48">
            <w:pPr>
              <w:spacing w:line="276" w:lineRule="auto"/>
              <w:jc w:val="both"/>
            </w:pPr>
            <w:r>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Default="003A4E48">
            <w:pPr>
              <w:spacing w:line="276" w:lineRule="auto"/>
              <w:jc w:val="center"/>
            </w:pPr>
            <w:r>
              <w:t>Шаардлагад нийцсэн</w:t>
            </w:r>
          </w:p>
        </w:tc>
      </w:tr>
      <w:tr w:rsidR="00527BBC" w14:paraId="0D07BBEC" w14:textId="77777777">
        <w:trPr>
          <w:jc w:val="center"/>
        </w:trPr>
        <w:tc>
          <w:tcPr>
            <w:tcW w:w="6674" w:type="dxa"/>
          </w:tcPr>
          <w:p w14:paraId="20910231" w14:textId="77777777" w:rsidR="00527BBC" w:rsidRDefault="003A4E48">
            <w:pPr>
              <w:spacing w:line="276" w:lineRule="auto"/>
              <w:jc w:val="both"/>
            </w:pPr>
            <w:r>
              <w:t>29.1.4.тухайн хуулиар зохицу</w:t>
            </w:r>
            <w:r>
              <w:t>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Default="003A4E48">
            <w:pPr>
              <w:spacing w:line="276" w:lineRule="auto"/>
              <w:jc w:val="center"/>
            </w:pPr>
            <w:r>
              <w:t>Шаардлагад нийцсэн</w:t>
            </w:r>
          </w:p>
        </w:tc>
      </w:tr>
      <w:tr w:rsidR="00527BBC" w14:paraId="734D211A" w14:textId="77777777">
        <w:trPr>
          <w:jc w:val="center"/>
        </w:trPr>
        <w:tc>
          <w:tcPr>
            <w:tcW w:w="6674" w:type="dxa"/>
          </w:tcPr>
          <w:p w14:paraId="7CC0F2B8" w14:textId="77777777" w:rsidR="00527BBC" w:rsidRDefault="003A4E48">
            <w:pPr>
              <w:spacing w:line="276" w:lineRule="auto"/>
              <w:jc w:val="both"/>
            </w:pPr>
            <w:r>
              <w:t>29.1.5.зүйл, хэсэг, заалт нь хоорондоо зөрчилгүй байх;</w:t>
            </w:r>
          </w:p>
        </w:tc>
        <w:tc>
          <w:tcPr>
            <w:tcW w:w="2790" w:type="dxa"/>
            <w:vAlign w:val="center"/>
          </w:tcPr>
          <w:p w14:paraId="112C8092" w14:textId="77777777" w:rsidR="00527BBC" w:rsidRDefault="003A4E48">
            <w:pPr>
              <w:spacing w:line="276" w:lineRule="auto"/>
              <w:jc w:val="center"/>
            </w:pPr>
            <w:r>
              <w:t>Шаардлагад нийцсэн</w:t>
            </w:r>
          </w:p>
        </w:tc>
      </w:tr>
      <w:tr w:rsidR="00527BBC" w14:paraId="119C2410" w14:textId="77777777">
        <w:trPr>
          <w:jc w:val="center"/>
        </w:trPr>
        <w:tc>
          <w:tcPr>
            <w:tcW w:w="6674" w:type="dxa"/>
          </w:tcPr>
          <w:p w14:paraId="70FBC7E5" w14:textId="77777777" w:rsidR="00527BBC" w:rsidRDefault="003A4E48">
            <w:pPr>
              <w:spacing w:line="276" w:lineRule="auto"/>
              <w:jc w:val="both"/>
            </w:pPr>
            <w:r>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Default="003A4E48">
            <w:pPr>
              <w:spacing w:line="276" w:lineRule="auto"/>
              <w:jc w:val="center"/>
            </w:pPr>
            <w:r>
              <w:t>Шаардлагад нийцсэн</w:t>
            </w:r>
          </w:p>
        </w:tc>
      </w:tr>
      <w:tr w:rsidR="00527BBC" w14:paraId="3DC56207" w14:textId="77777777">
        <w:trPr>
          <w:jc w:val="center"/>
        </w:trPr>
        <w:tc>
          <w:tcPr>
            <w:tcW w:w="6674" w:type="dxa"/>
          </w:tcPr>
          <w:p w14:paraId="2E20341C"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Default="003A4E48">
            <w:pPr>
              <w:spacing w:line="276" w:lineRule="auto"/>
              <w:jc w:val="center"/>
            </w:pPr>
            <w:r>
              <w:t>Шаардлагад нийцсэн</w:t>
            </w:r>
          </w:p>
        </w:tc>
      </w:tr>
      <w:tr w:rsidR="00527BBC" w14:paraId="010E0301" w14:textId="77777777">
        <w:trPr>
          <w:jc w:val="center"/>
        </w:trPr>
        <w:tc>
          <w:tcPr>
            <w:tcW w:w="6674" w:type="dxa"/>
          </w:tcPr>
          <w:p w14:paraId="584E707F"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 xml:space="preserve">29.1.8.тухайн хуулиар </w:t>
            </w:r>
            <w:r>
              <w:rPr>
                <w:color w:val="000000"/>
              </w:rPr>
              <w:t>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Default="003A4E48">
            <w:pPr>
              <w:spacing w:line="276" w:lineRule="auto"/>
              <w:jc w:val="center"/>
            </w:pPr>
            <w:r>
              <w:t>Шаардлагад нийцсэн</w:t>
            </w:r>
          </w:p>
        </w:tc>
      </w:tr>
      <w:tr w:rsidR="00527BBC" w14:paraId="743D6B10" w14:textId="77777777">
        <w:trPr>
          <w:jc w:val="center"/>
        </w:trPr>
        <w:tc>
          <w:tcPr>
            <w:tcW w:w="6674" w:type="dxa"/>
          </w:tcPr>
          <w:p w14:paraId="1195E288"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 xml:space="preserve">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w:t>
            </w:r>
            <w:r>
              <w:rPr>
                <w:color w:val="000000"/>
              </w:rPr>
              <w:lastRenderedPageBreak/>
              <w:t>зохицуулалт, бусад хуулийн з</w:t>
            </w:r>
            <w:r>
              <w:rPr>
                <w:color w:val="000000"/>
              </w:rPr>
              <w:t>үйл</w:t>
            </w:r>
            <w:r>
              <w:rPr>
                <w:color w:val="000000"/>
              </w:rPr>
              <w:t>, заалтыг хүчингүй болсонд тооцох, хасах заалт;</w:t>
            </w:r>
          </w:p>
        </w:tc>
        <w:tc>
          <w:tcPr>
            <w:tcW w:w="2790" w:type="dxa"/>
            <w:vAlign w:val="center"/>
          </w:tcPr>
          <w:p w14:paraId="3E20327B" w14:textId="77777777" w:rsidR="00527BBC" w:rsidRDefault="003A4E48">
            <w:pPr>
              <w:spacing w:line="276" w:lineRule="auto"/>
              <w:jc w:val="center"/>
            </w:pPr>
            <w:r>
              <w:lastRenderedPageBreak/>
              <w:t>Шаардлагад нийцсэн</w:t>
            </w:r>
          </w:p>
        </w:tc>
      </w:tr>
      <w:tr w:rsidR="00527BBC" w14:paraId="09FEC72D" w14:textId="77777777">
        <w:trPr>
          <w:jc w:val="center"/>
        </w:trPr>
        <w:tc>
          <w:tcPr>
            <w:tcW w:w="6674" w:type="dxa"/>
          </w:tcPr>
          <w:p w14:paraId="73414D2E"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Default="003A4E48">
            <w:pPr>
              <w:spacing w:line="276" w:lineRule="auto"/>
              <w:jc w:val="center"/>
            </w:pPr>
            <w:r>
              <w:t>Шаардлагад нийцсэн</w:t>
            </w:r>
          </w:p>
        </w:tc>
      </w:tr>
      <w:tr w:rsidR="00527BBC" w14:paraId="430696B6" w14:textId="77777777">
        <w:trPr>
          <w:jc w:val="center"/>
        </w:trPr>
        <w:tc>
          <w:tcPr>
            <w:tcW w:w="6674" w:type="dxa"/>
          </w:tcPr>
          <w:p w14:paraId="0E2BBAA7"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Default="003A4E48">
            <w:pPr>
              <w:spacing w:line="276" w:lineRule="auto"/>
              <w:jc w:val="center"/>
            </w:pPr>
            <w:r>
              <w:t>Шаардлагад нийцсэн</w:t>
            </w:r>
          </w:p>
        </w:tc>
      </w:tr>
      <w:tr w:rsidR="00527BBC" w14:paraId="56A9F642" w14:textId="77777777">
        <w:trPr>
          <w:jc w:val="center"/>
        </w:trPr>
        <w:tc>
          <w:tcPr>
            <w:tcW w:w="9464" w:type="dxa"/>
            <w:gridSpan w:val="2"/>
          </w:tcPr>
          <w:p w14:paraId="6ED0ADD7" w14:textId="77777777" w:rsidR="00527BBC" w:rsidRDefault="003A4E48">
            <w:pPr>
              <w:spacing w:line="276" w:lineRule="auto"/>
              <w:jc w:val="center"/>
            </w:pPr>
            <w:r>
              <w:rPr>
                <w:b/>
              </w:rPr>
              <w:t>Хууль тогтоомжийн тухай хуулийн 30 дугаар зүйлд заа</w:t>
            </w:r>
            <w:r>
              <w:rPr>
                <w:b/>
              </w:rPr>
              <w:t>сан хуулийн төслийн эх бичвэрийн агуулгад тавих нийтлэг шаардлага</w:t>
            </w:r>
          </w:p>
        </w:tc>
      </w:tr>
      <w:tr w:rsidR="00527BBC" w14:paraId="131204BB" w14:textId="77777777">
        <w:trPr>
          <w:jc w:val="center"/>
        </w:trPr>
        <w:tc>
          <w:tcPr>
            <w:tcW w:w="6674" w:type="dxa"/>
          </w:tcPr>
          <w:p w14:paraId="51592435"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Default="003A4E48">
            <w:pPr>
              <w:spacing w:line="276" w:lineRule="auto"/>
              <w:jc w:val="center"/>
            </w:pPr>
            <w:r>
              <w:t>Шаардлагад нийцсэн</w:t>
            </w:r>
          </w:p>
        </w:tc>
      </w:tr>
      <w:tr w:rsidR="00527BBC" w14:paraId="43137704" w14:textId="77777777">
        <w:trPr>
          <w:jc w:val="center"/>
        </w:trPr>
        <w:tc>
          <w:tcPr>
            <w:tcW w:w="6674" w:type="dxa"/>
          </w:tcPr>
          <w:p w14:paraId="354C2565"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30.1.2.нэг нэр томьёогоор өөр өөр ойлголтыг илэрхийлэхгүй байх;</w:t>
            </w:r>
          </w:p>
        </w:tc>
        <w:tc>
          <w:tcPr>
            <w:tcW w:w="2790" w:type="dxa"/>
            <w:vAlign w:val="center"/>
          </w:tcPr>
          <w:p w14:paraId="454354A7" w14:textId="77777777" w:rsidR="00527BBC" w:rsidRDefault="003A4E48">
            <w:pPr>
              <w:spacing w:line="276" w:lineRule="auto"/>
              <w:jc w:val="center"/>
            </w:pPr>
            <w:r>
              <w:t>Шаардлагад нийцсэн</w:t>
            </w:r>
          </w:p>
        </w:tc>
      </w:tr>
      <w:tr w:rsidR="00527BBC" w14:paraId="69DB2438" w14:textId="77777777">
        <w:trPr>
          <w:jc w:val="center"/>
        </w:trPr>
        <w:tc>
          <w:tcPr>
            <w:tcW w:w="6674" w:type="dxa"/>
          </w:tcPr>
          <w:p w14:paraId="5CC9A0F4"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Default="003A4E48">
            <w:pPr>
              <w:spacing w:line="276" w:lineRule="auto"/>
              <w:jc w:val="center"/>
            </w:pPr>
            <w:r>
              <w:t>Шаардлагад нийцсэн</w:t>
            </w:r>
          </w:p>
        </w:tc>
      </w:tr>
      <w:tr w:rsidR="00527BBC" w14:paraId="0AF0DF18" w14:textId="77777777">
        <w:trPr>
          <w:jc w:val="center"/>
        </w:trPr>
        <w:tc>
          <w:tcPr>
            <w:tcW w:w="6674" w:type="dxa"/>
          </w:tcPr>
          <w:p w14:paraId="170976FA"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30.1.4.хүч оруулсан нэр томьёо хэрэгл</w:t>
            </w:r>
            <w:r>
              <w:rPr>
                <w:color w:val="000000"/>
              </w:rPr>
              <w:t>эхгүй байх;</w:t>
            </w:r>
          </w:p>
        </w:tc>
        <w:tc>
          <w:tcPr>
            <w:tcW w:w="2790" w:type="dxa"/>
            <w:vAlign w:val="center"/>
          </w:tcPr>
          <w:p w14:paraId="6126073F" w14:textId="77777777" w:rsidR="00527BBC" w:rsidRDefault="003A4E48">
            <w:pPr>
              <w:spacing w:line="276" w:lineRule="auto"/>
              <w:jc w:val="center"/>
            </w:pPr>
            <w:r>
              <w:t>Шаардлагад нийцсэн</w:t>
            </w:r>
          </w:p>
        </w:tc>
      </w:tr>
      <w:tr w:rsidR="00527BBC" w14:paraId="306BE194" w14:textId="77777777">
        <w:trPr>
          <w:jc w:val="center"/>
        </w:trPr>
        <w:tc>
          <w:tcPr>
            <w:tcW w:w="6674" w:type="dxa"/>
          </w:tcPr>
          <w:p w14:paraId="55AB6213" w14:textId="77777777" w:rsidR="00527BBC" w:rsidRDefault="003A4E48">
            <w:pPr>
              <w:pBdr>
                <w:top w:val="nil"/>
                <w:left w:val="nil"/>
                <w:bottom w:val="nil"/>
                <w:right w:val="nil"/>
                <w:between w:val="nil"/>
              </w:pBdr>
              <w:shd w:val="clear" w:color="auto" w:fill="FFFFFF"/>
              <w:spacing w:line="276" w:lineRule="auto"/>
              <w:jc w:val="both"/>
              <w:rPr>
                <w:color w:val="000000"/>
              </w:rPr>
            </w:pPr>
            <w:r>
              <w:rPr>
                <w:color w:val="000000"/>
              </w:rPr>
              <w:t>30.1.5.жинхэнэ нэрийг ганц тоон дээр хэрэглэх.</w:t>
            </w:r>
          </w:p>
        </w:tc>
        <w:tc>
          <w:tcPr>
            <w:tcW w:w="2790" w:type="dxa"/>
            <w:vAlign w:val="center"/>
          </w:tcPr>
          <w:p w14:paraId="2ADE623F" w14:textId="77777777" w:rsidR="00527BBC" w:rsidRDefault="003A4E48">
            <w:pPr>
              <w:spacing w:line="276" w:lineRule="auto"/>
              <w:jc w:val="center"/>
            </w:pPr>
            <w:r>
              <w:t>Шаардлагад нийцсэн</w:t>
            </w:r>
          </w:p>
        </w:tc>
      </w:tr>
    </w:tbl>
    <w:p w14:paraId="35B9CAAD" w14:textId="77777777" w:rsidR="00527BBC" w:rsidRDefault="00527BBC">
      <w:pPr>
        <w:spacing w:after="0"/>
        <w:rPr>
          <w:rFonts w:ascii="Arial" w:eastAsia="Arial" w:hAnsi="Arial" w:cs="Arial"/>
          <w:b/>
          <w:sz w:val="24"/>
          <w:szCs w:val="24"/>
        </w:rPr>
      </w:pPr>
    </w:p>
    <w:p w14:paraId="33A11582" w14:textId="77777777" w:rsidR="00527BBC" w:rsidRDefault="003A4E48">
      <w:pPr>
        <w:pStyle w:val="Heading2"/>
        <w:spacing w:line="276" w:lineRule="auto"/>
        <w:ind w:firstLine="720"/>
        <w:jc w:val="left"/>
        <w:rPr>
          <w:rFonts w:ascii="Arial" w:eastAsia="Arial" w:hAnsi="Arial" w:cs="Arial"/>
        </w:rPr>
      </w:pPr>
      <w:r>
        <w:rPr>
          <w:rFonts w:ascii="Arial" w:eastAsia="Arial" w:hAnsi="Arial" w:cs="Arial"/>
        </w:rPr>
        <w:t>“Харилцан уялдаа” шалгуур үзүүлэлтийн хүрээнд хийсэн үнэлгээ</w:t>
      </w:r>
    </w:p>
    <w:p w14:paraId="45C2DAB7" w14:textId="77777777" w:rsidR="00527BBC" w:rsidRDefault="00527BBC">
      <w:pPr>
        <w:spacing w:after="120"/>
        <w:ind w:firstLine="720"/>
        <w:jc w:val="both"/>
        <w:rPr>
          <w:rFonts w:ascii="Arial" w:eastAsia="Arial" w:hAnsi="Arial" w:cs="Arial"/>
          <w:sz w:val="24"/>
          <w:szCs w:val="24"/>
        </w:rPr>
      </w:pPr>
    </w:p>
    <w:p w14:paraId="5F4D8B0D" w14:textId="7722C5A1" w:rsidR="00527BBC" w:rsidRDefault="00580754">
      <w:pPr>
        <w:spacing w:after="120"/>
        <w:ind w:firstLine="720"/>
        <w:jc w:val="both"/>
        <w:rPr>
          <w:rFonts w:ascii="Arial" w:eastAsia="Arial" w:hAnsi="Arial" w:cs="Arial"/>
          <w:sz w:val="24"/>
          <w:szCs w:val="24"/>
        </w:rPr>
      </w:pPr>
      <w:r>
        <w:rPr>
          <w:rFonts w:ascii="Arial" w:eastAsia="Arial" w:hAnsi="Arial" w:cs="Arial"/>
          <w:color w:val="000000"/>
          <w:sz w:val="24"/>
          <w:szCs w:val="24"/>
        </w:rPr>
        <w:t xml:space="preserve">Жагсаал, цуглаан хийх журмын тухай хуульд нэмэлт, өөрчлөлт оруулах тухай </w:t>
      </w:r>
      <w:r>
        <w:rPr>
          <w:rFonts w:ascii="Arial" w:eastAsia="Arial" w:hAnsi="Arial" w:cs="Arial"/>
          <w:sz w:val="24"/>
          <w:szCs w:val="24"/>
        </w:rPr>
        <w:t xml:space="preserve">хуулийн </w:t>
      </w:r>
      <w:r w:rsidR="003A4E48">
        <w:rPr>
          <w:rFonts w:ascii="Arial" w:eastAsia="Arial" w:hAnsi="Arial" w:cs="Arial"/>
          <w:sz w:val="24"/>
          <w:szCs w:val="24"/>
        </w:rPr>
        <w:t xml:space="preserve">хуулийн төслийн зүйл заалтуудыг үзэхэд уялдаа, хамаарлыг сайтар тодорхойлж өгч чаджээ. </w:t>
      </w:r>
      <w:r w:rsidR="00BE4ACE">
        <w:rPr>
          <w:rFonts w:ascii="Arial" w:eastAsia="Arial" w:hAnsi="Arial" w:cs="Arial"/>
          <w:sz w:val="24"/>
          <w:szCs w:val="24"/>
        </w:rPr>
        <w:t xml:space="preserve">Жагсаал зохион байгуулагч мэдэгдэл хүргүүлснээр жагсах эрх нээгдэх бол, зохион байгуулагчгүй жагсаал буюу аяндаа үүссэн цуглааны хувьд уг шаардлага үл хамаарна. </w:t>
      </w:r>
    </w:p>
    <w:p w14:paraId="3CDC5321" w14:textId="77777777" w:rsidR="00527BBC"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14:paraId="4A0FA758" w14:textId="77777777">
        <w:trPr>
          <w:jc w:val="center"/>
        </w:trPr>
        <w:tc>
          <w:tcPr>
            <w:tcW w:w="483" w:type="dxa"/>
            <w:vAlign w:val="center"/>
          </w:tcPr>
          <w:p w14:paraId="6B6DF7EC" w14:textId="77777777" w:rsidR="00527BBC" w:rsidRDefault="003A4E48">
            <w:pPr>
              <w:pBdr>
                <w:top w:val="nil"/>
                <w:left w:val="nil"/>
                <w:bottom w:val="nil"/>
                <w:right w:val="nil"/>
                <w:between w:val="nil"/>
              </w:pBdr>
              <w:spacing w:line="276" w:lineRule="auto"/>
              <w:jc w:val="center"/>
              <w:rPr>
                <w:color w:val="000000"/>
              </w:rPr>
            </w:pPr>
            <w:r>
              <w:rPr>
                <w:color w:val="000000"/>
              </w:rPr>
              <w:t>№</w:t>
            </w:r>
          </w:p>
        </w:tc>
        <w:tc>
          <w:tcPr>
            <w:tcW w:w="5920" w:type="dxa"/>
            <w:vAlign w:val="center"/>
          </w:tcPr>
          <w:p w14:paraId="74CCF7E4" w14:textId="77777777" w:rsidR="00527BBC" w:rsidRDefault="003A4E48">
            <w:pPr>
              <w:spacing w:line="276" w:lineRule="auto"/>
              <w:jc w:val="center"/>
            </w:pPr>
            <w:r>
              <w:t>Асуулт</w:t>
            </w:r>
          </w:p>
        </w:tc>
        <w:tc>
          <w:tcPr>
            <w:tcW w:w="3168" w:type="dxa"/>
            <w:vAlign w:val="center"/>
          </w:tcPr>
          <w:p w14:paraId="764EDA0A" w14:textId="77777777" w:rsidR="00527BBC" w:rsidRDefault="003A4E48">
            <w:pPr>
              <w:spacing w:line="276" w:lineRule="auto"/>
              <w:jc w:val="center"/>
            </w:pPr>
            <w:r>
              <w:t>Хариулт</w:t>
            </w:r>
          </w:p>
        </w:tc>
      </w:tr>
      <w:tr w:rsidR="00527BBC" w14:paraId="00C820F5" w14:textId="77777777">
        <w:trPr>
          <w:jc w:val="center"/>
        </w:trPr>
        <w:tc>
          <w:tcPr>
            <w:tcW w:w="483" w:type="dxa"/>
            <w:vAlign w:val="center"/>
          </w:tcPr>
          <w:p w14:paraId="5593C298" w14:textId="77777777" w:rsidR="00527BBC" w:rsidRDefault="003A4E48">
            <w:pPr>
              <w:spacing w:line="276" w:lineRule="auto"/>
              <w:jc w:val="center"/>
            </w:pPr>
            <w:r>
              <w:t>1</w:t>
            </w:r>
          </w:p>
        </w:tc>
        <w:tc>
          <w:tcPr>
            <w:tcW w:w="5920" w:type="dxa"/>
          </w:tcPr>
          <w:p w14:paraId="209D2314"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Default="003A4E48">
            <w:pPr>
              <w:spacing w:line="276" w:lineRule="auto"/>
              <w:jc w:val="center"/>
              <w:rPr>
                <w:color w:val="000000"/>
              </w:rPr>
            </w:pPr>
            <w:r>
              <w:t>Нийцсэн</w:t>
            </w:r>
          </w:p>
        </w:tc>
      </w:tr>
      <w:tr w:rsidR="00527BBC" w14:paraId="77576962" w14:textId="77777777">
        <w:trPr>
          <w:jc w:val="center"/>
        </w:trPr>
        <w:tc>
          <w:tcPr>
            <w:tcW w:w="483" w:type="dxa"/>
            <w:vAlign w:val="center"/>
          </w:tcPr>
          <w:p w14:paraId="18A50098" w14:textId="77777777" w:rsidR="00527BBC" w:rsidRDefault="003A4E48">
            <w:pPr>
              <w:spacing w:line="276" w:lineRule="auto"/>
              <w:jc w:val="center"/>
            </w:pPr>
            <w:r>
              <w:t>2</w:t>
            </w:r>
          </w:p>
        </w:tc>
        <w:tc>
          <w:tcPr>
            <w:tcW w:w="5920" w:type="dxa"/>
          </w:tcPr>
          <w:p w14:paraId="0D14736E"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Default="003A4E48">
            <w:pPr>
              <w:spacing w:line="276" w:lineRule="auto"/>
              <w:jc w:val="center"/>
            </w:pPr>
            <w:r>
              <w:t>Нийцсэн</w:t>
            </w:r>
          </w:p>
        </w:tc>
      </w:tr>
      <w:tr w:rsidR="00527BBC" w14:paraId="31CEAA8E" w14:textId="77777777">
        <w:trPr>
          <w:jc w:val="center"/>
        </w:trPr>
        <w:tc>
          <w:tcPr>
            <w:tcW w:w="483" w:type="dxa"/>
            <w:vAlign w:val="center"/>
          </w:tcPr>
          <w:p w14:paraId="6F72CB96" w14:textId="77777777" w:rsidR="00527BBC" w:rsidRDefault="003A4E48">
            <w:pPr>
              <w:spacing w:line="276" w:lineRule="auto"/>
              <w:jc w:val="center"/>
            </w:pPr>
            <w:r>
              <w:t>3</w:t>
            </w:r>
          </w:p>
        </w:tc>
        <w:tc>
          <w:tcPr>
            <w:tcW w:w="5920" w:type="dxa"/>
          </w:tcPr>
          <w:p w14:paraId="21F9246B"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төсөлд тодорхойлсон нэр томьёо тухайн хуули</w:t>
            </w:r>
            <w:r>
              <w:rPr>
                <w:color w:val="333333"/>
              </w:rPr>
              <w:t>йн төслийн болон бусад хуулийн нэр томьёотой нийцэж байгаа эсэх;</w:t>
            </w:r>
          </w:p>
        </w:tc>
        <w:tc>
          <w:tcPr>
            <w:tcW w:w="3168" w:type="dxa"/>
            <w:vAlign w:val="center"/>
          </w:tcPr>
          <w:p w14:paraId="6DF6D823" w14:textId="77777777" w:rsidR="00527BBC" w:rsidRDefault="003A4E48">
            <w:pPr>
              <w:spacing w:line="276" w:lineRule="auto"/>
              <w:jc w:val="center"/>
            </w:pPr>
            <w:r>
              <w:t>Нийцсэн</w:t>
            </w:r>
          </w:p>
        </w:tc>
      </w:tr>
      <w:tr w:rsidR="00527BBC" w14:paraId="117E0214" w14:textId="77777777">
        <w:trPr>
          <w:jc w:val="center"/>
        </w:trPr>
        <w:tc>
          <w:tcPr>
            <w:tcW w:w="483" w:type="dxa"/>
            <w:vAlign w:val="center"/>
          </w:tcPr>
          <w:p w14:paraId="6071DC88" w14:textId="77777777" w:rsidR="00527BBC" w:rsidRDefault="003A4E48">
            <w:pPr>
              <w:spacing w:line="276" w:lineRule="auto"/>
              <w:jc w:val="center"/>
            </w:pPr>
            <w:r>
              <w:t>4</w:t>
            </w:r>
          </w:p>
        </w:tc>
        <w:tc>
          <w:tcPr>
            <w:tcW w:w="5920" w:type="dxa"/>
          </w:tcPr>
          <w:p w14:paraId="0B262A2C"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Default="003A4E48">
            <w:pPr>
              <w:spacing w:line="276" w:lineRule="auto"/>
              <w:jc w:val="center"/>
            </w:pPr>
            <w:r>
              <w:t>Нийцсэн</w:t>
            </w:r>
          </w:p>
        </w:tc>
      </w:tr>
      <w:tr w:rsidR="00527BBC" w14:paraId="1A54536D" w14:textId="77777777">
        <w:trPr>
          <w:jc w:val="center"/>
        </w:trPr>
        <w:tc>
          <w:tcPr>
            <w:tcW w:w="483" w:type="dxa"/>
            <w:vAlign w:val="center"/>
          </w:tcPr>
          <w:p w14:paraId="2A226FBD" w14:textId="77777777" w:rsidR="00527BBC" w:rsidRDefault="003A4E48">
            <w:pPr>
              <w:spacing w:line="276" w:lineRule="auto"/>
              <w:jc w:val="center"/>
            </w:pPr>
            <w:r>
              <w:t>5</w:t>
            </w:r>
          </w:p>
        </w:tc>
        <w:tc>
          <w:tcPr>
            <w:tcW w:w="5920" w:type="dxa"/>
          </w:tcPr>
          <w:p w14:paraId="06258187"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Default="003A4E48">
            <w:pPr>
              <w:spacing w:line="276" w:lineRule="auto"/>
              <w:jc w:val="center"/>
            </w:pPr>
            <w:r>
              <w:t>Давхардаагүй</w:t>
            </w:r>
          </w:p>
        </w:tc>
      </w:tr>
      <w:tr w:rsidR="00527BBC" w14:paraId="75C4BFEA" w14:textId="77777777">
        <w:trPr>
          <w:jc w:val="center"/>
        </w:trPr>
        <w:tc>
          <w:tcPr>
            <w:tcW w:w="483" w:type="dxa"/>
            <w:vAlign w:val="center"/>
          </w:tcPr>
          <w:p w14:paraId="30112E93" w14:textId="77777777" w:rsidR="00527BBC" w:rsidRDefault="003A4E48">
            <w:pPr>
              <w:spacing w:line="276" w:lineRule="auto"/>
              <w:jc w:val="center"/>
            </w:pPr>
            <w:r>
              <w:lastRenderedPageBreak/>
              <w:t>6</w:t>
            </w:r>
          </w:p>
        </w:tc>
        <w:tc>
          <w:tcPr>
            <w:tcW w:w="5920" w:type="dxa"/>
          </w:tcPr>
          <w:p w14:paraId="1E349D2A"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төслийг хэрэгжүүлэх этгээд</w:t>
            </w:r>
            <w:r>
              <w:rPr>
                <w:color w:val="333333"/>
              </w:rPr>
              <w:t>ийг тодорхой тусгасан эсэх;</w:t>
            </w:r>
          </w:p>
        </w:tc>
        <w:tc>
          <w:tcPr>
            <w:tcW w:w="3168" w:type="dxa"/>
            <w:vAlign w:val="center"/>
          </w:tcPr>
          <w:p w14:paraId="637E0CFA" w14:textId="77777777" w:rsidR="00527BBC" w:rsidRDefault="003A4E48">
            <w:pPr>
              <w:spacing w:line="276" w:lineRule="auto"/>
              <w:jc w:val="center"/>
            </w:pPr>
            <w:r>
              <w:t>Тусгасан</w:t>
            </w:r>
          </w:p>
        </w:tc>
      </w:tr>
      <w:tr w:rsidR="00527BBC" w14:paraId="3EBBE365" w14:textId="77777777">
        <w:trPr>
          <w:jc w:val="center"/>
        </w:trPr>
        <w:tc>
          <w:tcPr>
            <w:tcW w:w="483" w:type="dxa"/>
            <w:vAlign w:val="center"/>
          </w:tcPr>
          <w:p w14:paraId="18035FD5" w14:textId="77777777" w:rsidR="00527BBC" w:rsidRDefault="003A4E48">
            <w:pPr>
              <w:spacing w:line="276" w:lineRule="auto"/>
              <w:jc w:val="center"/>
            </w:pPr>
            <w:r>
              <w:t>7</w:t>
            </w:r>
          </w:p>
        </w:tc>
        <w:tc>
          <w:tcPr>
            <w:tcW w:w="5920" w:type="dxa"/>
          </w:tcPr>
          <w:p w14:paraId="5480308A"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төсөлд шаардлагатай зохицуулалтыг орхигдуулсан эсэх;</w:t>
            </w:r>
          </w:p>
        </w:tc>
        <w:tc>
          <w:tcPr>
            <w:tcW w:w="3168" w:type="dxa"/>
            <w:vAlign w:val="center"/>
          </w:tcPr>
          <w:p w14:paraId="54D306E2" w14:textId="77777777" w:rsidR="00527BBC" w:rsidRDefault="003A4E48">
            <w:pPr>
              <w:spacing w:line="276" w:lineRule="auto"/>
              <w:jc w:val="center"/>
            </w:pPr>
            <w:r>
              <w:t>Орхигдуулаагүй</w:t>
            </w:r>
          </w:p>
        </w:tc>
      </w:tr>
      <w:tr w:rsidR="00527BBC" w14:paraId="5E82650E" w14:textId="77777777">
        <w:trPr>
          <w:jc w:val="center"/>
        </w:trPr>
        <w:tc>
          <w:tcPr>
            <w:tcW w:w="483" w:type="dxa"/>
            <w:vAlign w:val="center"/>
          </w:tcPr>
          <w:p w14:paraId="490F649F" w14:textId="77777777" w:rsidR="00527BBC" w:rsidRDefault="003A4E48">
            <w:pPr>
              <w:spacing w:line="276" w:lineRule="auto"/>
              <w:jc w:val="center"/>
            </w:pPr>
            <w:r>
              <w:t>8</w:t>
            </w:r>
          </w:p>
        </w:tc>
        <w:tc>
          <w:tcPr>
            <w:tcW w:w="5920" w:type="dxa"/>
          </w:tcPr>
          <w:p w14:paraId="6E93F3D0"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Default="003A4E48">
            <w:pPr>
              <w:spacing w:line="276" w:lineRule="auto"/>
              <w:jc w:val="center"/>
            </w:pPr>
            <w:r>
              <w:t>Тусгаагүй</w:t>
            </w:r>
          </w:p>
        </w:tc>
      </w:tr>
      <w:tr w:rsidR="00527BBC" w14:paraId="5CEDE29A" w14:textId="77777777">
        <w:trPr>
          <w:jc w:val="center"/>
        </w:trPr>
        <w:tc>
          <w:tcPr>
            <w:tcW w:w="483" w:type="dxa"/>
            <w:vAlign w:val="center"/>
          </w:tcPr>
          <w:p w14:paraId="4B6BAE0A" w14:textId="77777777" w:rsidR="00527BBC" w:rsidRDefault="003A4E48">
            <w:pPr>
              <w:spacing w:line="276" w:lineRule="auto"/>
              <w:jc w:val="center"/>
            </w:pPr>
            <w:r>
              <w:t>9</w:t>
            </w:r>
          </w:p>
        </w:tc>
        <w:tc>
          <w:tcPr>
            <w:tcW w:w="5920" w:type="dxa"/>
          </w:tcPr>
          <w:p w14:paraId="7D009B4F"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Default="003A4E48">
            <w:pPr>
              <w:spacing w:line="276" w:lineRule="auto"/>
              <w:jc w:val="center"/>
            </w:pPr>
            <w:r>
              <w:t>Боломжтой</w:t>
            </w:r>
          </w:p>
        </w:tc>
      </w:tr>
      <w:tr w:rsidR="00527BBC" w14:paraId="421EF378" w14:textId="77777777">
        <w:trPr>
          <w:jc w:val="center"/>
        </w:trPr>
        <w:tc>
          <w:tcPr>
            <w:tcW w:w="483" w:type="dxa"/>
            <w:vAlign w:val="center"/>
          </w:tcPr>
          <w:p w14:paraId="2D1B1101" w14:textId="77777777" w:rsidR="00527BBC" w:rsidRDefault="003A4E48">
            <w:pPr>
              <w:spacing w:line="276" w:lineRule="auto"/>
              <w:jc w:val="center"/>
            </w:pPr>
            <w:r>
              <w:t>10</w:t>
            </w:r>
          </w:p>
        </w:tc>
        <w:tc>
          <w:tcPr>
            <w:tcW w:w="5920" w:type="dxa"/>
          </w:tcPr>
          <w:p w14:paraId="02680BCA"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Default="003A4E48">
            <w:pPr>
              <w:spacing w:line="276" w:lineRule="auto"/>
              <w:jc w:val="center"/>
            </w:pPr>
            <w:r>
              <w:t>Үгүй</w:t>
            </w:r>
          </w:p>
        </w:tc>
      </w:tr>
      <w:tr w:rsidR="00527BBC" w14:paraId="7F1B1BAE" w14:textId="77777777">
        <w:trPr>
          <w:jc w:val="center"/>
        </w:trPr>
        <w:tc>
          <w:tcPr>
            <w:tcW w:w="483" w:type="dxa"/>
            <w:vAlign w:val="center"/>
          </w:tcPr>
          <w:p w14:paraId="386F1A30" w14:textId="77777777" w:rsidR="00527BBC" w:rsidRDefault="003A4E48">
            <w:pPr>
              <w:spacing w:line="276" w:lineRule="auto"/>
              <w:jc w:val="center"/>
            </w:pPr>
            <w:r>
              <w:t>11</w:t>
            </w:r>
          </w:p>
        </w:tc>
        <w:tc>
          <w:tcPr>
            <w:tcW w:w="5920" w:type="dxa"/>
          </w:tcPr>
          <w:p w14:paraId="194C63E1"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Default="003A4E48">
            <w:pPr>
              <w:spacing w:line="276" w:lineRule="auto"/>
              <w:jc w:val="center"/>
            </w:pPr>
            <w:r>
              <w:t>Үгүй</w:t>
            </w:r>
          </w:p>
        </w:tc>
      </w:tr>
      <w:tr w:rsidR="00527BBC" w14:paraId="65C3E9B5" w14:textId="77777777">
        <w:trPr>
          <w:jc w:val="center"/>
        </w:trPr>
        <w:tc>
          <w:tcPr>
            <w:tcW w:w="483" w:type="dxa"/>
            <w:vAlign w:val="center"/>
          </w:tcPr>
          <w:p w14:paraId="4E01F140" w14:textId="77777777" w:rsidR="00527BBC" w:rsidRDefault="003A4E48">
            <w:pPr>
              <w:spacing w:line="276" w:lineRule="auto"/>
              <w:jc w:val="center"/>
            </w:pPr>
            <w:r>
              <w:t>12</w:t>
            </w:r>
          </w:p>
        </w:tc>
        <w:tc>
          <w:tcPr>
            <w:tcW w:w="5920" w:type="dxa"/>
          </w:tcPr>
          <w:p w14:paraId="3B90F4A6"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Default="003A4E48">
            <w:pPr>
              <w:spacing w:line="276" w:lineRule="auto"/>
              <w:jc w:val="center"/>
            </w:pPr>
            <w:r>
              <w:t>Тусгаагүй</w:t>
            </w:r>
          </w:p>
        </w:tc>
      </w:tr>
      <w:tr w:rsidR="00527BBC" w14:paraId="0D2AF509" w14:textId="77777777">
        <w:trPr>
          <w:jc w:val="center"/>
        </w:trPr>
        <w:tc>
          <w:tcPr>
            <w:tcW w:w="483" w:type="dxa"/>
            <w:vAlign w:val="center"/>
          </w:tcPr>
          <w:p w14:paraId="27E9B081" w14:textId="77777777" w:rsidR="00527BBC" w:rsidRDefault="003A4E48">
            <w:pPr>
              <w:spacing w:line="276" w:lineRule="auto"/>
              <w:jc w:val="center"/>
            </w:pPr>
            <w:r>
              <w:t>13</w:t>
            </w:r>
          </w:p>
        </w:tc>
        <w:tc>
          <w:tcPr>
            <w:tcW w:w="5920" w:type="dxa"/>
          </w:tcPr>
          <w:p w14:paraId="4B24FFFB"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жендэрийн эрх тэгш байдлыг хангасан эсэх;</w:t>
            </w:r>
          </w:p>
        </w:tc>
        <w:tc>
          <w:tcPr>
            <w:tcW w:w="3168" w:type="dxa"/>
            <w:vAlign w:val="center"/>
          </w:tcPr>
          <w:p w14:paraId="657D2616" w14:textId="77777777" w:rsidR="00527BBC" w:rsidRDefault="003A4E48">
            <w:pPr>
              <w:spacing w:line="276" w:lineRule="auto"/>
              <w:jc w:val="center"/>
            </w:pPr>
            <w:r>
              <w:t>Ийм зохицуулалт шаардлагагүй</w:t>
            </w:r>
          </w:p>
        </w:tc>
      </w:tr>
      <w:tr w:rsidR="00527BBC" w14:paraId="6FAD887E" w14:textId="77777777">
        <w:trPr>
          <w:jc w:val="center"/>
        </w:trPr>
        <w:tc>
          <w:tcPr>
            <w:tcW w:w="483" w:type="dxa"/>
            <w:vAlign w:val="center"/>
          </w:tcPr>
          <w:p w14:paraId="440701FB" w14:textId="77777777" w:rsidR="00527BBC" w:rsidRDefault="003A4E48">
            <w:pPr>
              <w:spacing w:line="276" w:lineRule="auto"/>
              <w:jc w:val="center"/>
            </w:pPr>
            <w:r>
              <w:t>14</w:t>
            </w:r>
          </w:p>
        </w:tc>
        <w:tc>
          <w:tcPr>
            <w:tcW w:w="5920" w:type="dxa"/>
          </w:tcPr>
          <w:p w14:paraId="5BE3DE5D"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 xml:space="preserve">Хуулийн төсөлд </w:t>
            </w:r>
            <w:r>
              <w:rPr>
                <w:color w:val="333333"/>
              </w:rPr>
              <w:t>шударга бус өрсөлдөөнийг бий болгоход чиглэсэн заалт тусгагдсан эсэх;</w:t>
            </w:r>
          </w:p>
        </w:tc>
        <w:tc>
          <w:tcPr>
            <w:tcW w:w="3168" w:type="dxa"/>
            <w:vAlign w:val="center"/>
          </w:tcPr>
          <w:p w14:paraId="4FD66A01" w14:textId="77777777" w:rsidR="00527BBC" w:rsidRDefault="003A4E48">
            <w:pPr>
              <w:spacing w:line="276" w:lineRule="auto"/>
              <w:jc w:val="center"/>
            </w:pPr>
            <w:r>
              <w:t>Ийм зохицуулалт шаардлагагүй</w:t>
            </w:r>
          </w:p>
        </w:tc>
      </w:tr>
      <w:tr w:rsidR="00527BBC" w14:paraId="6634E5DF" w14:textId="77777777">
        <w:trPr>
          <w:jc w:val="center"/>
        </w:trPr>
        <w:tc>
          <w:tcPr>
            <w:tcW w:w="483" w:type="dxa"/>
            <w:vAlign w:val="center"/>
          </w:tcPr>
          <w:p w14:paraId="6F5A4BB2" w14:textId="77777777" w:rsidR="00527BBC" w:rsidRDefault="003A4E48">
            <w:pPr>
              <w:spacing w:line="276" w:lineRule="auto"/>
              <w:jc w:val="center"/>
            </w:pPr>
            <w:r>
              <w:t>15</w:t>
            </w:r>
          </w:p>
        </w:tc>
        <w:tc>
          <w:tcPr>
            <w:tcW w:w="5920" w:type="dxa"/>
          </w:tcPr>
          <w:p w14:paraId="7616EAAA"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Default="003A4E48">
            <w:pPr>
              <w:spacing w:line="276" w:lineRule="auto"/>
              <w:jc w:val="center"/>
            </w:pPr>
            <w:r>
              <w:t>Ийм зохицуулалт шаардлагагүй</w:t>
            </w:r>
          </w:p>
        </w:tc>
      </w:tr>
      <w:tr w:rsidR="00527BBC" w14:paraId="63C588BA" w14:textId="77777777">
        <w:trPr>
          <w:jc w:val="center"/>
        </w:trPr>
        <w:tc>
          <w:tcPr>
            <w:tcW w:w="483" w:type="dxa"/>
            <w:vAlign w:val="center"/>
          </w:tcPr>
          <w:p w14:paraId="16638D75" w14:textId="77777777" w:rsidR="00527BBC" w:rsidRDefault="003A4E48">
            <w:pPr>
              <w:spacing w:line="276" w:lineRule="auto"/>
              <w:jc w:val="center"/>
            </w:pPr>
            <w:r>
              <w:t>16</w:t>
            </w:r>
          </w:p>
        </w:tc>
        <w:tc>
          <w:tcPr>
            <w:tcW w:w="5920" w:type="dxa"/>
          </w:tcPr>
          <w:p w14:paraId="04367522" w14:textId="77777777" w:rsidR="00527BBC" w:rsidRDefault="003A4E48">
            <w:pPr>
              <w:pBdr>
                <w:top w:val="nil"/>
                <w:left w:val="nil"/>
                <w:bottom w:val="nil"/>
                <w:right w:val="nil"/>
                <w:between w:val="nil"/>
              </w:pBdr>
              <w:shd w:val="clear" w:color="auto" w:fill="FFFFFF"/>
              <w:spacing w:line="276" w:lineRule="auto"/>
              <w:jc w:val="both"/>
              <w:rPr>
                <w:color w:val="333333"/>
              </w:rPr>
            </w:pPr>
            <w:r>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Default="003A4E48">
            <w:pPr>
              <w:spacing w:line="276" w:lineRule="auto"/>
              <w:jc w:val="center"/>
            </w:pPr>
            <w:r>
              <w:t>Ийм зохицуулалт шаардлага</w:t>
            </w:r>
            <w:r>
              <w:t>гүй</w:t>
            </w:r>
          </w:p>
        </w:tc>
      </w:tr>
    </w:tbl>
    <w:p w14:paraId="2C1B3CE9" w14:textId="77777777" w:rsidR="00527BBC" w:rsidRDefault="00527BBC">
      <w:pPr>
        <w:pStyle w:val="Heading3"/>
        <w:spacing w:after="0"/>
        <w:rPr>
          <w:rFonts w:ascii="Arial" w:eastAsia="Arial" w:hAnsi="Arial" w:cs="Arial"/>
          <w:color w:val="000000"/>
          <w:sz w:val="24"/>
          <w:szCs w:val="24"/>
        </w:rPr>
      </w:pPr>
    </w:p>
    <w:p w14:paraId="2BFC7B5B" w14:textId="77777777" w:rsidR="00527BBC" w:rsidRDefault="003A4E48">
      <w:pPr>
        <w:pStyle w:val="Heading3"/>
        <w:spacing w:before="120" w:after="120"/>
        <w:jc w:val="center"/>
        <w:rPr>
          <w:rFonts w:ascii="Arial" w:eastAsia="Arial" w:hAnsi="Arial" w:cs="Arial"/>
          <w:color w:val="000000"/>
          <w:sz w:val="24"/>
          <w:szCs w:val="24"/>
        </w:rPr>
      </w:pPr>
      <w:r>
        <w:rPr>
          <w:rFonts w:ascii="Arial" w:eastAsia="Arial" w:hAnsi="Arial" w:cs="Arial"/>
          <w:color w:val="000000"/>
          <w:sz w:val="24"/>
          <w:szCs w:val="24"/>
        </w:rPr>
        <w:t>ДҮГНЭЛТ, ЗӨВЛӨМЖ</w:t>
      </w:r>
    </w:p>
    <w:p w14:paraId="10151B31" w14:textId="27D1AB20" w:rsidR="00527BBC" w:rsidRDefault="003A4E48">
      <w:pPr>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sidR="00BE4ACE">
        <w:rPr>
          <w:rFonts w:ascii="Arial" w:eastAsia="Arial" w:hAnsi="Arial" w:cs="Arial"/>
          <w:color w:val="000000"/>
          <w:sz w:val="24"/>
          <w:szCs w:val="24"/>
        </w:rPr>
        <w:t xml:space="preserve">Жагсаал, цуглаан хийх журмын тухай хуульд нэмэлт, өөрчлөлт оруулах тухай </w:t>
      </w:r>
      <w:r w:rsidR="00BE4ACE">
        <w:rPr>
          <w:rFonts w:ascii="Arial" w:eastAsia="Arial" w:hAnsi="Arial" w:cs="Arial"/>
          <w:sz w:val="24"/>
          <w:szCs w:val="24"/>
        </w:rPr>
        <w:t xml:space="preserve">хуулийн </w:t>
      </w:r>
      <w:r>
        <w:rPr>
          <w:rFonts w:ascii="Arial" w:eastAsia="Arial" w:hAnsi="Arial" w:cs="Arial"/>
          <w:color w:val="000000"/>
          <w:sz w:val="24"/>
          <w:szCs w:val="24"/>
        </w:rPr>
        <w:t>төслүүдийн 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Default="003A4E48">
      <w:pPr>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Pr>
          <w:rFonts w:ascii="Arial" w:eastAsia="Arial" w:hAnsi="Arial" w:cs="Arial"/>
          <w:sz w:val="24"/>
          <w:szCs w:val="24"/>
        </w:rPr>
        <w:t xml:space="preserve">эдгээр </w:t>
      </w:r>
      <w:r>
        <w:rPr>
          <w:rFonts w:ascii="Arial" w:eastAsia="Arial" w:hAnsi="Arial" w:cs="Arial"/>
          <w:color w:val="000000"/>
          <w:sz w:val="24"/>
          <w:szCs w:val="24"/>
        </w:rPr>
        <w:t>хуулийн төслүүд</w:t>
      </w:r>
      <w:r>
        <w:rPr>
          <w:rFonts w:ascii="Arial" w:eastAsia="Arial" w:hAnsi="Arial" w:cs="Arial"/>
          <w:sz w:val="24"/>
          <w:szCs w:val="24"/>
        </w:rPr>
        <w:t xml:space="preserve">эд хийхэд </w:t>
      </w:r>
      <w:r>
        <w:rPr>
          <w:rFonts w:ascii="Arial" w:eastAsia="Arial" w:hAnsi="Arial" w:cs="Arial"/>
          <w:color w:val="000000"/>
          <w:sz w:val="24"/>
          <w:szCs w:val="24"/>
        </w:rPr>
        <w:t xml:space="preserve">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w:t>
      </w:r>
      <w:r>
        <w:rPr>
          <w:rFonts w:ascii="Arial" w:eastAsia="Arial" w:hAnsi="Arial" w:cs="Arial"/>
          <w:color w:val="000000"/>
          <w:sz w:val="24"/>
          <w:szCs w:val="24"/>
        </w:rPr>
        <w:t>тогтоомж болон тухайн хуулийн зүйл, заалттай давхардаагүй, зөрчилдөөгүй гэж дүгнэж байна.</w:t>
      </w:r>
    </w:p>
    <w:p w14:paraId="472094D7" w14:textId="24283AF6" w:rsidR="00527BBC" w:rsidRDefault="003A4E48">
      <w:pPr>
        <w:spacing w:after="0"/>
        <w:ind w:firstLine="567"/>
        <w:jc w:val="both"/>
        <w:rPr>
          <w:rFonts w:ascii="Arial" w:eastAsia="Arial" w:hAnsi="Arial" w:cs="Arial"/>
          <w:color w:val="000000"/>
          <w:sz w:val="24"/>
          <w:szCs w:val="24"/>
        </w:rPr>
      </w:pPr>
      <w:r>
        <w:rPr>
          <w:rFonts w:ascii="Arial" w:eastAsia="Arial" w:hAnsi="Arial" w:cs="Arial"/>
          <w:color w:val="000000"/>
          <w:sz w:val="24"/>
          <w:szCs w:val="24"/>
        </w:rPr>
        <w:t xml:space="preserve">Иймд хууль тогтоомжийн төслийн үр нөлөөг үнэлэх аргачлалын дагуу </w:t>
      </w:r>
      <w:r w:rsidR="00E307A0">
        <w:rPr>
          <w:rFonts w:ascii="Arial" w:eastAsia="Arial" w:hAnsi="Arial" w:cs="Arial"/>
          <w:color w:val="000000"/>
          <w:sz w:val="24"/>
          <w:szCs w:val="24"/>
        </w:rPr>
        <w:t xml:space="preserve">Жагсаал, цуглаан хийх журмын тухай хуульд нэмэлт, өөрчлөлт оруулах тухай </w:t>
      </w:r>
      <w:r w:rsidR="00E307A0">
        <w:rPr>
          <w:rFonts w:ascii="Arial" w:eastAsia="Arial" w:hAnsi="Arial" w:cs="Arial"/>
          <w:sz w:val="24"/>
          <w:szCs w:val="24"/>
        </w:rPr>
        <w:t xml:space="preserve">хуулийн </w:t>
      </w:r>
      <w:r>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Pr>
          <w:rFonts w:ascii="Arial" w:eastAsia="Arial" w:hAnsi="Arial" w:cs="Arial"/>
          <w:sz w:val="24"/>
          <w:szCs w:val="24"/>
        </w:rPr>
        <w:t xml:space="preserve"> </w:t>
      </w:r>
    </w:p>
    <w:sectPr w:rsidR="00527BBC">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DC0A" w14:textId="77777777" w:rsidR="003A4E48" w:rsidRDefault="003A4E48">
      <w:pPr>
        <w:spacing w:after="0" w:line="240" w:lineRule="auto"/>
      </w:pPr>
      <w:r>
        <w:separator/>
      </w:r>
    </w:p>
  </w:endnote>
  <w:endnote w:type="continuationSeparator" w:id="0">
    <w:p w14:paraId="4089640A" w14:textId="77777777" w:rsidR="003A4E48" w:rsidRDefault="003A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621F" w14:textId="7777777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17F6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67CA" w14:textId="77777777" w:rsidR="003A4E48" w:rsidRDefault="003A4E48">
      <w:pPr>
        <w:spacing w:after="0" w:line="240" w:lineRule="auto"/>
      </w:pPr>
      <w:r>
        <w:separator/>
      </w:r>
    </w:p>
  </w:footnote>
  <w:footnote w:type="continuationSeparator" w:id="0">
    <w:p w14:paraId="10537C5F" w14:textId="77777777" w:rsidR="003A4E48" w:rsidRDefault="003A4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C"/>
    <w:rsid w:val="00255E12"/>
    <w:rsid w:val="003A4E48"/>
    <w:rsid w:val="00527BBC"/>
    <w:rsid w:val="00580754"/>
    <w:rsid w:val="00717F64"/>
    <w:rsid w:val="00944DD2"/>
    <w:rsid w:val="00AD67ED"/>
    <w:rsid w:val="00AE5C5E"/>
    <w:rsid w:val="00BE4ACE"/>
    <w:rsid w:val="00E307A0"/>
    <w:rsid w:val="00F82076"/>
    <w:rsid w:val="00F92DA4"/>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2023</Words>
  <Characters>11537</Characters>
  <Application>Microsoft Office Word</Application>
  <DocSecurity>0</DocSecurity>
  <Lines>96</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2019-03-25T10:54:00Z</dcterms:created>
  <dcterms:modified xsi:type="dcterms:W3CDTF">2021-11-08T07:58:00Z</dcterms:modified>
</cp:coreProperties>
</file>