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48" w:rsidRDefault="00600513" w:rsidP="007D4136">
      <w:pPr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 xml:space="preserve">БАТЛАВ. </w:t>
      </w:r>
      <w:r w:rsidR="005C1450"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>МОНГОЛ УЛСЫН ИХ</w:t>
      </w:r>
    </w:p>
    <w:p w:rsidR="00600513" w:rsidRDefault="005C1450" w:rsidP="007D4136">
      <w:pPr>
        <w:spacing w:after="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  <w:t xml:space="preserve">       </w:t>
      </w:r>
      <w:r>
        <w:rPr>
          <w:rFonts w:ascii="Arial" w:hAnsi="Arial"/>
          <w:lang w:val="mn-MN"/>
        </w:rPr>
        <w:tab/>
      </w:r>
      <w:r w:rsidR="00600513">
        <w:rPr>
          <w:rFonts w:ascii="Arial" w:hAnsi="Arial"/>
          <w:lang w:val="mn-MN"/>
        </w:rPr>
        <w:t>ХУРЛЫН ГИШҮҮН</w:t>
      </w:r>
      <w:r w:rsidR="00600513">
        <w:rPr>
          <w:rFonts w:ascii="Arial" w:hAnsi="Arial"/>
          <w:lang w:val="mn-MN"/>
        </w:rPr>
        <w:tab/>
      </w:r>
      <w:r w:rsidR="00600513">
        <w:rPr>
          <w:rFonts w:ascii="Arial" w:hAnsi="Arial"/>
          <w:lang w:val="mn-MN"/>
        </w:rPr>
        <w:tab/>
      </w:r>
      <w:r w:rsidR="00600513">
        <w:rPr>
          <w:rFonts w:ascii="Arial" w:hAnsi="Arial"/>
          <w:lang w:val="mn-MN"/>
        </w:rPr>
        <w:tab/>
      </w:r>
      <w:r w:rsidR="00600513">
        <w:rPr>
          <w:rFonts w:ascii="Arial" w:hAnsi="Arial"/>
          <w:lang w:val="mn-MN"/>
        </w:rPr>
        <w:tab/>
      </w:r>
      <w:r w:rsidR="00600513">
        <w:rPr>
          <w:rFonts w:ascii="Arial" w:hAnsi="Arial"/>
          <w:lang w:val="mn-MN"/>
        </w:rPr>
        <w:tab/>
      </w:r>
      <w:r w:rsidR="00600513">
        <w:rPr>
          <w:rFonts w:ascii="Arial" w:hAnsi="Arial"/>
          <w:lang w:val="mn-MN"/>
        </w:rPr>
        <w:tab/>
        <w:t>Ц.ЦЭРЭНПУНЦАГ</w:t>
      </w:r>
    </w:p>
    <w:p w:rsidR="00AB6753" w:rsidRDefault="005C1450" w:rsidP="00AB6753">
      <w:pPr>
        <w:spacing w:after="0"/>
        <w:ind w:left="72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 xml:space="preserve">      </w:t>
      </w:r>
      <w:r>
        <w:rPr>
          <w:rFonts w:ascii="Arial" w:hAnsi="Arial"/>
          <w:lang w:val="mn-MN"/>
        </w:rPr>
        <w:tab/>
      </w:r>
    </w:p>
    <w:p w:rsidR="005C1450" w:rsidRPr="001273E1" w:rsidRDefault="005C1450" w:rsidP="00633D60">
      <w:pPr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bookmarkStart w:id="0" w:name="_GoBack"/>
      <w:bookmarkEnd w:id="0"/>
      <w:r w:rsidR="001273E1">
        <w:rPr>
          <w:rFonts w:ascii="Arial" w:hAnsi="Arial"/>
          <w:lang w:val="mn-MN"/>
        </w:rPr>
        <w:t>Ж</w:t>
      </w:r>
      <w:r w:rsidR="001273E1">
        <w:rPr>
          <w:rFonts w:ascii="Arial" w:hAnsi="Arial"/>
        </w:rPr>
        <w:t>.</w:t>
      </w:r>
      <w:r w:rsidR="001273E1">
        <w:rPr>
          <w:rFonts w:ascii="Arial" w:hAnsi="Arial"/>
          <w:lang w:val="mn-MN"/>
        </w:rPr>
        <w:t>ГАНБААТАР</w:t>
      </w:r>
    </w:p>
    <w:p w:rsidR="005C1450" w:rsidRDefault="005C1450" w:rsidP="00AB6753">
      <w:pPr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1273E1">
        <w:rPr>
          <w:rFonts w:ascii="Arial" w:hAnsi="Arial"/>
          <w:lang w:val="mn-MN"/>
        </w:rPr>
        <w:t>Б</w:t>
      </w:r>
      <w:r>
        <w:rPr>
          <w:rFonts w:ascii="Arial" w:hAnsi="Arial"/>
          <w:lang w:val="mn-MN"/>
        </w:rPr>
        <w:t>.</w:t>
      </w:r>
      <w:r w:rsidR="001273E1">
        <w:rPr>
          <w:rFonts w:ascii="Arial" w:hAnsi="Arial"/>
          <w:lang w:val="mn-MN"/>
        </w:rPr>
        <w:t>САРАНЧИМЭГ</w:t>
      </w:r>
    </w:p>
    <w:p w:rsidR="005C1450" w:rsidRDefault="005C1450" w:rsidP="00AB6753">
      <w:pPr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AB6753">
        <w:rPr>
          <w:rFonts w:ascii="Arial" w:hAnsi="Arial"/>
          <w:lang w:val="mn-MN"/>
        </w:rPr>
        <w:tab/>
      </w:r>
      <w:r w:rsidR="001273E1">
        <w:rPr>
          <w:rFonts w:ascii="Arial" w:hAnsi="Arial"/>
          <w:lang w:val="mn-MN"/>
        </w:rPr>
        <w:t>Г</w:t>
      </w:r>
      <w:r>
        <w:rPr>
          <w:rFonts w:ascii="Arial" w:hAnsi="Arial"/>
          <w:lang w:val="mn-MN"/>
        </w:rPr>
        <w:t>.</w:t>
      </w:r>
      <w:r w:rsidR="001273E1">
        <w:rPr>
          <w:rFonts w:ascii="Arial" w:hAnsi="Arial"/>
          <w:lang w:val="mn-MN"/>
        </w:rPr>
        <w:t>ТЭМҮҮЛЭН</w:t>
      </w:r>
    </w:p>
    <w:p w:rsidR="00600513" w:rsidRPr="00600513" w:rsidRDefault="00600513" w:rsidP="00600513">
      <w:pPr>
        <w:spacing w:after="0"/>
        <w:jc w:val="both"/>
        <w:rPr>
          <w:rFonts w:ascii="Arial" w:hAnsi="Arial"/>
          <w:lang w:val="mn-MN"/>
        </w:rPr>
      </w:pPr>
    </w:p>
    <w:p w:rsidR="003C6881" w:rsidRPr="00985687" w:rsidRDefault="003171CA" w:rsidP="003C6881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ТӨРИЙН ӨМЧИТ ЗАРИМ ҮЙЛДВЭРИЙН</w:t>
      </w:r>
      <w:r w:rsidR="00AB6753">
        <w:rPr>
          <w:rFonts w:ascii="Arial" w:hAnsi="Arial" w:cs="Arial"/>
          <w:b/>
          <w:sz w:val="24"/>
          <w:szCs w:val="24"/>
        </w:rPr>
        <w:t xml:space="preserve"> </w:t>
      </w:r>
      <w:r w:rsidR="00AB6753">
        <w:rPr>
          <w:rFonts w:ascii="Arial" w:hAnsi="Arial" w:cs="Arial"/>
          <w:b/>
          <w:sz w:val="24"/>
          <w:szCs w:val="24"/>
          <w:lang w:val="mn-MN"/>
        </w:rPr>
        <w:t>ГАЗРЫН</w:t>
      </w:r>
      <w:r>
        <w:rPr>
          <w:rFonts w:ascii="Arial" w:hAnsi="Arial" w:cs="Arial"/>
          <w:b/>
          <w:sz w:val="24"/>
          <w:szCs w:val="24"/>
          <w:lang w:val="mn-MN"/>
        </w:rPr>
        <w:t xml:space="preserve"> ТАЛААР АВАХ АРГА ХЭМЖЭЭНИЙ</w:t>
      </w:r>
      <w:r w:rsidR="00D56139" w:rsidRPr="00D56139">
        <w:rPr>
          <w:rFonts w:ascii="Arial" w:hAnsi="Arial" w:cs="Arial"/>
          <w:b/>
          <w:sz w:val="24"/>
          <w:szCs w:val="24"/>
          <w:lang w:val="mn-MN"/>
        </w:rPr>
        <w:t xml:space="preserve"> ТУХАЙ </w:t>
      </w:r>
      <w:r w:rsidR="00D56139">
        <w:rPr>
          <w:rFonts w:ascii="Arial" w:hAnsi="Arial" w:cs="Arial"/>
          <w:b/>
          <w:sz w:val="24"/>
          <w:szCs w:val="24"/>
          <w:lang w:val="mn-MN"/>
        </w:rPr>
        <w:t xml:space="preserve">ТОГТООЛЫН </w:t>
      </w:r>
      <w:r w:rsidR="003C6881" w:rsidRPr="00985687">
        <w:rPr>
          <w:rFonts w:ascii="Arial" w:hAnsi="Arial" w:cs="Arial"/>
          <w:b/>
          <w:sz w:val="24"/>
          <w:szCs w:val="24"/>
          <w:lang w:val="mn-MN"/>
        </w:rPr>
        <w:t>ТӨСЛИЙН ҮЗЭЛ БАРИМТЛАЛ</w:t>
      </w:r>
    </w:p>
    <w:p w:rsidR="003C6881" w:rsidRDefault="003C6881" w:rsidP="003C6881">
      <w:pPr>
        <w:pStyle w:val="NoSpacing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3C6881" w:rsidRPr="007D4136" w:rsidRDefault="003C6881" w:rsidP="007D4136">
      <w:pPr>
        <w:pStyle w:val="NoSpacing"/>
        <w:spacing w:after="24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Нэг. </w:t>
      </w:r>
      <w:r w:rsidR="006324FA">
        <w:rPr>
          <w:rFonts w:ascii="Arial" w:hAnsi="Arial" w:cs="Arial"/>
          <w:b/>
          <w:sz w:val="24"/>
          <w:szCs w:val="24"/>
          <w:lang w:val="mn-MN"/>
        </w:rPr>
        <w:t>Тогтоолын</w:t>
      </w:r>
      <w:r>
        <w:rPr>
          <w:rFonts w:ascii="Arial" w:hAnsi="Arial" w:cs="Arial"/>
          <w:b/>
          <w:sz w:val="24"/>
          <w:szCs w:val="24"/>
          <w:lang w:val="mn-MN"/>
        </w:rPr>
        <w:t xml:space="preserve"> төсөл боловсруулах үндэслэл, шаардлага</w:t>
      </w:r>
    </w:p>
    <w:p w:rsidR="00CB6593" w:rsidRDefault="003C6881" w:rsidP="007D4136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07514">
        <w:rPr>
          <w:rFonts w:ascii="Arial" w:hAnsi="Arial" w:cs="Arial"/>
          <w:i/>
          <w:sz w:val="24"/>
          <w:szCs w:val="24"/>
          <w:lang w:val="mn-MN"/>
        </w:rPr>
        <w:t>Хууль зүйн үндэслэл</w:t>
      </w:r>
      <w:r w:rsidR="007240D1" w:rsidRPr="00007514">
        <w:rPr>
          <w:rFonts w:ascii="Arial" w:hAnsi="Arial" w:cs="Arial"/>
          <w:sz w:val="24"/>
          <w:szCs w:val="24"/>
          <w:lang w:val="mn-MN"/>
        </w:rPr>
        <w:t xml:space="preserve">: </w:t>
      </w:r>
      <w:r>
        <w:rPr>
          <w:rFonts w:ascii="Arial" w:hAnsi="Arial" w:cs="Arial"/>
          <w:sz w:val="24"/>
          <w:szCs w:val="24"/>
          <w:lang w:val="mn-MN"/>
        </w:rPr>
        <w:t xml:space="preserve">Монгол Улсын Үндсэн хуулийн </w:t>
      </w:r>
      <w:r w:rsidR="00D56139">
        <w:rPr>
          <w:rFonts w:ascii="Arial" w:hAnsi="Arial" w:cs="Arial"/>
          <w:sz w:val="24"/>
          <w:szCs w:val="24"/>
          <w:lang w:val="mn-MN"/>
        </w:rPr>
        <w:t>Зурга</w:t>
      </w:r>
      <w:r>
        <w:rPr>
          <w:rFonts w:ascii="Arial" w:hAnsi="Arial" w:cs="Arial"/>
          <w:sz w:val="24"/>
          <w:szCs w:val="24"/>
          <w:lang w:val="mn-MN"/>
        </w:rPr>
        <w:t>дугаар зүйлийн 1</w:t>
      </w:r>
      <w:r w:rsidR="00AB6753">
        <w:rPr>
          <w:rFonts w:ascii="Arial" w:hAnsi="Arial" w:cs="Arial"/>
          <w:sz w:val="24"/>
          <w:szCs w:val="24"/>
          <w:lang w:val="mn-MN"/>
        </w:rPr>
        <w:t xml:space="preserve"> дэх хэсэгт</w:t>
      </w:r>
      <w:r>
        <w:rPr>
          <w:rFonts w:ascii="Arial" w:hAnsi="Arial" w:cs="Arial"/>
          <w:sz w:val="24"/>
          <w:szCs w:val="24"/>
          <w:lang w:val="mn-MN"/>
        </w:rPr>
        <w:t xml:space="preserve"> “</w:t>
      </w:r>
      <w:r w:rsidR="00D56139" w:rsidRPr="00D56139">
        <w:rPr>
          <w:rFonts w:ascii="Arial" w:hAnsi="Arial" w:cs="Arial"/>
          <w:sz w:val="24"/>
          <w:szCs w:val="24"/>
          <w:lang w:val="mn-MN"/>
        </w:rPr>
        <w:t>Монгол Улсад газар, түүний хэвлий, ой, ус, амьтан, ургамал болон байгалийн бусад баялаг гагцхүү ард түмний мэдэл, төрийн хамгаалалтад байна</w:t>
      </w:r>
      <w:r w:rsidR="00D56139">
        <w:rPr>
          <w:rFonts w:ascii="Arial" w:hAnsi="Arial" w:cs="Arial"/>
          <w:sz w:val="24"/>
          <w:szCs w:val="24"/>
          <w:lang w:val="mn-MN"/>
        </w:rPr>
        <w:t xml:space="preserve">” </w:t>
      </w:r>
      <w:r w:rsidR="00985687">
        <w:rPr>
          <w:rFonts w:ascii="Arial" w:hAnsi="Arial" w:cs="Arial"/>
          <w:sz w:val="24"/>
          <w:szCs w:val="24"/>
          <w:lang w:val="mn-MN"/>
        </w:rPr>
        <w:t>гэж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="00D56139">
        <w:rPr>
          <w:rFonts w:ascii="Arial" w:hAnsi="Arial" w:cs="Arial"/>
          <w:sz w:val="24"/>
          <w:szCs w:val="24"/>
          <w:lang w:val="mn-MN"/>
        </w:rPr>
        <w:t>Зургадугаар зүйлийн 2</w:t>
      </w:r>
      <w:r w:rsidR="00AB6753">
        <w:rPr>
          <w:rFonts w:ascii="Arial" w:hAnsi="Arial" w:cs="Arial"/>
          <w:sz w:val="24"/>
          <w:szCs w:val="24"/>
          <w:lang w:val="mn-MN"/>
        </w:rPr>
        <w:t xml:space="preserve"> дахь хэсэгт</w:t>
      </w:r>
      <w:r w:rsidR="00985687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“</w:t>
      </w:r>
      <w:r w:rsidR="00D56139" w:rsidRPr="00D56139">
        <w:rPr>
          <w:rFonts w:ascii="Arial" w:hAnsi="Arial" w:cs="Arial"/>
          <w:sz w:val="24"/>
          <w:szCs w:val="24"/>
          <w:lang w:val="mn-MN"/>
        </w:rPr>
        <w:t>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</w:t>
      </w:r>
      <w:r>
        <w:rPr>
          <w:rFonts w:ascii="Arial" w:hAnsi="Arial" w:cs="Arial"/>
          <w:sz w:val="24"/>
          <w:szCs w:val="24"/>
          <w:lang w:val="mn-MN"/>
        </w:rPr>
        <w:t xml:space="preserve">” гэж </w:t>
      </w:r>
      <w:r w:rsidR="00985687">
        <w:rPr>
          <w:rFonts w:ascii="Arial" w:hAnsi="Arial" w:cs="Arial"/>
          <w:sz w:val="24"/>
          <w:szCs w:val="24"/>
          <w:lang w:val="mn-MN"/>
        </w:rPr>
        <w:t xml:space="preserve">тус тус </w:t>
      </w:r>
      <w:r>
        <w:rPr>
          <w:rFonts w:ascii="Arial" w:hAnsi="Arial" w:cs="Arial"/>
          <w:sz w:val="24"/>
          <w:szCs w:val="24"/>
          <w:lang w:val="mn-MN"/>
        </w:rPr>
        <w:t xml:space="preserve">заасан. </w:t>
      </w:r>
    </w:p>
    <w:p w:rsidR="003C6881" w:rsidRDefault="00E907B2" w:rsidP="007D4136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2006 онд батлагдсан Ашигт малтмалын тухай хуулийн 5 дугаар зүйлийн 6-д “</w:t>
      </w:r>
      <w:r w:rsidRPr="00D56139">
        <w:rPr>
          <w:rFonts w:ascii="Arial" w:hAnsi="Arial" w:cs="Arial"/>
          <w:sz w:val="24"/>
          <w:szCs w:val="24"/>
          <w:lang w:val="mn-MN"/>
        </w:rPr>
        <w:t>Стратегийн ач холбогдол бүхий ашигт малтмалын ордын ашиглалтын тусгай зөвшөөрөл эзэмшиж байгаа этгээд нь хувьцааныхаа 10-аас доошгүй хувийг Монголын хөрөнгийн биржээр арилжина</w:t>
      </w:r>
      <w:r>
        <w:rPr>
          <w:rFonts w:ascii="Arial" w:hAnsi="Arial" w:cs="Arial"/>
          <w:sz w:val="24"/>
          <w:szCs w:val="24"/>
          <w:lang w:val="mn-MN"/>
        </w:rPr>
        <w:t xml:space="preserve">” гэж хуульчилсан. </w:t>
      </w:r>
    </w:p>
    <w:p w:rsidR="007F3B39" w:rsidRPr="007D4136" w:rsidRDefault="007F3B39" w:rsidP="007D4136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Улсын Их Хурлын 2010 оны 48 дугаар тогтоолоор баталсан Үндэсний аюулгүй байдлын үзэл баримтлалын, 3.2.1.3-т “</w:t>
      </w:r>
      <w:r w:rsidRPr="00E907B2">
        <w:rPr>
          <w:rFonts w:ascii="Arial" w:hAnsi="Arial" w:cs="Arial"/>
          <w:b/>
          <w:sz w:val="24"/>
          <w:szCs w:val="24"/>
          <w:lang w:val="mn-MN"/>
        </w:rPr>
        <w:t>Ил тод, хариуцлагатай уул уурхай, эрдэс баялгийн салбарыг хөгжүүлж</w:t>
      </w:r>
      <w:r w:rsidRPr="00E907B2">
        <w:rPr>
          <w:rFonts w:ascii="Arial" w:hAnsi="Arial" w:cs="Arial"/>
          <w:sz w:val="24"/>
          <w:szCs w:val="24"/>
          <w:lang w:val="mn-MN"/>
        </w:rPr>
        <w:t>, түүнээс олох орлогыг ойрын болон дунд хугацаанд эдийн засгийн бие даасан хөгжлийг хангах олон тулгуурт бүтцийг бий болгох, хүний хөгжлийг дэмжиж, боловсрол, эрүүл мэнд, нийтийн биеийн тамир, спортыг хөгжүүлэхэд зарцуулна</w:t>
      </w:r>
      <w:r>
        <w:rPr>
          <w:rFonts w:ascii="Arial" w:hAnsi="Arial" w:cs="Arial"/>
          <w:sz w:val="24"/>
          <w:szCs w:val="24"/>
          <w:lang w:val="mn-MN"/>
        </w:rPr>
        <w:t>” гэж, 3.2.4.1-д “</w:t>
      </w:r>
      <w:r w:rsidRPr="00E907B2">
        <w:rPr>
          <w:rFonts w:ascii="Arial" w:hAnsi="Arial" w:cs="Arial"/>
          <w:sz w:val="24"/>
          <w:szCs w:val="24"/>
          <w:lang w:val="mn-MN"/>
        </w:rPr>
        <w:t xml:space="preserve">Эрдэс баялгийн салбарыг хөгжүүлэхдээ үндэсний аюулгүй байдлын баталгааг хангахыг чухалчилж, түүхий эдийн хавсарга, гадаад, дотоодын улс төр, бизнесийн ашиг сонирхлын сөргөлдөөний талбар болох, байгаль орчныг доройтуулахаас сэргийлнэ. </w:t>
      </w:r>
      <w:r w:rsidRPr="00E907B2">
        <w:rPr>
          <w:rFonts w:ascii="Arial" w:hAnsi="Arial" w:cs="Arial"/>
          <w:b/>
          <w:sz w:val="24"/>
          <w:szCs w:val="24"/>
          <w:lang w:val="mn-MN"/>
        </w:rPr>
        <w:t>Уул уурхайн ил тод, хариуцлагатай байдлыг дээшлүүлж, орлогод тавих хяналтыг сайжруулна</w:t>
      </w:r>
      <w:r>
        <w:rPr>
          <w:rFonts w:ascii="Arial" w:hAnsi="Arial" w:cs="Arial"/>
          <w:sz w:val="24"/>
          <w:szCs w:val="24"/>
          <w:lang w:val="mn-MN"/>
        </w:rPr>
        <w:t>” гэж тус тус заасан.</w:t>
      </w:r>
    </w:p>
    <w:p w:rsidR="003C6881" w:rsidRDefault="007F3B39" w:rsidP="007D4136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Мөн </w:t>
      </w:r>
      <w:r w:rsidR="00C463EC">
        <w:rPr>
          <w:rFonts w:ascii="Arial" w:hAnsi="Arial" w:cs="Arial"/>
          <w:sz w:val="24"/>
          <w:szCs w:val="24"/>
          <w:lang w:val="mn-MN"/>
        </w:rPr>
        <w:t>Монгол Улсын Их хурлын</w:t>
      </w:r>
      <w:r w:rsidR="00CB6593" w:rsidRPr="00CB6593">
        <w:rPr>
          <w:rFonts w:ascii="Arial" w:hAnsi="Arial" w:cs="Arial"/>
          <w:sz w:val="24"/>
          <w:szCs w:val="24"/>
          <w:lang w:val="mn-MN"/>
        </w:rPr>
        <w:t xml:space="preserve"> 20</w:t>
      </w:r>
      <w:r w:rsidR="00C463EC">
        <w:rPr>
          <w:rFonts w:ascii="Arial" w:hAnsi="Arial" w:cs="Arial"/>
          <w:sz w:val="24"/>
          <w:szCs w:val="24"/>
          <w:lang w:val="mn-MN"/>
        </w:rPr>
        <w:t>21</w:t>
      </w:r>
      <w:r w:rsidR="00CB6593" w:rsidRPr="00CB6593">
        <w:rPr>
          <w:rFonts w:ascii="Arial" w:hAnsi="Arial" w:cs="Arial"/>
          <w:sz w:val="24"/>
          <w:szCs w:val="24"/>
          <w:lang w:val="mn-MN"/>
        </w:rPr>
        <w:t xml:space="preserve"> оны 11 дүгээр сарын </w:t>
      </w:r>
      <w:r w:rsidR="00C463EC">
        <w:rPr>
          <w:rFonts w:ascii="Arial" w:hAnsi="Arial" w:cs="Arial"/>
          <w:sz w:val="24"/>
          <w:szCs w:val="24"/>
          <w:lang w:val="mn-MN"/>
        </w:rPr>
        <w:t>12</w:t>
      </w:r>
      <w:r w:rsidR="00CB6593" w:rsidRPr="00CB6593">
        <w:rPr>
          <w:rFonts w:ascii="Arial" w:hAnsi="Arial" w:cs="Arial"/>
          <w:sz w:val="24"/>
          <w:szCs w:val="24"/>
          <w:lang w:val="mn-MN"/>
        </w:rPr>
        <w:t xml:space="preserve">-ны өдрийн </w:t>
      </w:r>
      <w:r w:rsidR="00C463EC">
        <w:rPr>
          <w:rFonts w:ascii="Arial" w:hAnsi="Arial" w:cs="Arial"/>
          <w:sz w:val="24"/>
          <w:szCs w:val="24"/>
          <w:lang w:val="mn-MN"/>
        </w:rPr>
        <w:t>88</w:t>
      </w:r>
      <w:r w:rsidR="00CB6593" w:rsidRPr="00CB6593">
        <w:rPr>
          <w:rFonts w:ascii="Arial" w:hAnsi="Arial" w:cs="Arial"/>
          <w:sz w:val="24"/>
          <w:szCs w:val="24"/>
          <w:lang w:val="mn-MN"/>
        </w:rPr>
        <w:t xml:space="preserve"> д</w:t>
      </w:r>
      <w:r w:rsidR="00C463EC">
        <w:rPr>
          <w:rFonts w:ascii="Arial" w:hAnsi="Arial" w:cs="Arial"/>
          <w:sz w:val="24"/>
          <w:szCs w:val="24"/>
          <w:lang w:val="mn-MN"/>
        </w:rPr>
        <w:t>угаар тогтоолын 1 дүгээр зүйлийн 1</w:t>
      </w:r>
      <w:r w:rsidR="00CB6593" w:rsidRPr="00CB6593">
        <w:rPr>
          <w:rFonts w:ascii="Arial" w:hAnsi="Arial" w:cs="Arial"/>
          <w:sz w:val="24"/>
          <w:szCs w:val="24"/>
          <w:lang w:val="mn-MN"/>
        </w:rPr>
        <w:t xml:space="preserve"> дэх хэсэгт “</w:t>
      </w:r>
      <w:r w:rsidR="00C463EC" w:rsidRPr="00C463EC">
        <w:rPr>
          <w:rFonts w:ascii="Arial" w:hAnsi="Arial" w:cs="Arial"/>
          <w:sz w:val="24"/>
          <w:szCs w:val="24"/>
          <w:lang w:val="mn-MN"/>
        </w:rPr>
        <w:t>төрийн болон төрийн өмчийн оролцоот хуулийн этгээдүүд жилийн эцсийн санхүүгийн тайлангаар гарсан цэвэр ашгийн 50 хувь болон төрийн эзэмшилд хамаарах эздийн өмчийн 1 хувьтай тэнцэх дүнгийн аль өндөр хэмжээгээр ногдол ашиг тооцон хуваарилж төсөвт төвлөрүүлэх арга хэмжээг холбогдох хууль тогтоомжийн хүрээнд авахыг чиглэл болгон ажиллах;</w:t>
      </w:r>
      <w:r w:rsidR="00C463EC">
        <w:rPr>
          <w:rFonts w:ascii="Arial" w:hAnsi="Arial" w:cs="Arial"/>
          <w:sz w:val="24"/>
          <w:szCs w:val="24"/>
          <w:lang w:val="mn-MN"/>
        </w:rPr>
        <w:t xml:space="preserve">” гэж </w:t>
      </w:r>
      <w:r w:rsidR="00CB6593" w:rsidRPr="00CB6593">
        <w:rPr>
          <w:rFonts w:ascii="Arial" w:hAnsi="Arial" w:cs="Arial"/>
          <w:sz w:val="24"/>
          <w:szCs w:val="24"/>
          <w:lang w:val="mn-MN"/>
        </w:rPr>
        <w:t xml:space="preserve">Засгийн газарт даалгасан </w:t>
      </w:r>
      <w:r w:rsidR="00C463EC">
        <w:rPr>
          <w:rFonts w:ascii="Arial" w:hAnsi="Arial" w:cs="Arial"/>
          <w:sz w:val="24"/>
          <w:szCs w:val="24"/>
          <w:lang w:val="mn-MN"/>
        </w:rPr>
        <w:t xml:space="preserve">бөгөөд </w:t>
      </w:r>
      <w:r w:rsidR="00CB6593" w:rsidRPr="00CB6593">
        <w:rPr>
          <w:rFonts w:ascii="Arial" w:hAnsi="Arial" w:cs="Arial"/>
          <w:sz w:val="24"/>
          <w:szCs w:val="24"/>
          <w:lang w:val="mn-MN"/>
        </w:rPr>
        <w:t>төрийн</w:t>
      </w:r>
      <w:r w:rsidR="00C463EC">
        <w:rPr>
          <w:rFonts w:ascii="Arial" w:hAnsi="Arial" w:cs="Arial"/>
          <w:sz w:val="24"/>
          <w:szCs w:val="24"/>
          <w:lang w:val="mn-MN"/>
        </w:rPr>
        <w:t xml:space="preserve"> болон төрийн</w:t>
      </w:r>
      <w:r w:rsidR="003171CA">
        <w:rPr>
          <w:rFonts w:ascii="Arial" w:hAnsi="Arial" w:cs="Arial"/>
          <w:sz w:val="24"/>
          <w:szCs w:val="24"/>
          <w:lang w:val="mn-MN"/>
        </w:rPr>
        <w:t xml:space="preserve"> өмчийн</w:t>
      </w:r>
      <w:r w:rsidR="00C463EC">
        <w:rPr>
          <w:rFonts w:ascii="Arial" w:hAnsi="Arial" w:cs="Arial"/>
          <w:sz w:val="24"/>
          <w:szCs w:val="24"/>
          <w:lang w:val="mn-MN"/>
        </w:rPr>
        <w:t xml:space="preserve"> оролцоотой хуулийн этгээдэд ол</w:t>
      </w:r>
      <w:r w:rsidR="00E907B2">
        <w:rPr>
          <w:rFonts w:ascii="Arial" w:hAnsi="Arial" w:cs="Arial"/>
          <w:sz w:val="24"/>
          <w:szCs w:val="24"/>
          <w:lang w:val="mn-MN"/>
        </w:rPr>
        <w:t>он нийтийн хяналт, ил тод байдлыг сайжруулснаар</w:t>
      </w:r>
      <w:r w:rsidR="00C463EC">
        <w:rPr>
          <w:rFonts w:ascii="Arial" w:hAnsi="Arial" w:cs="Arial"/>
          <w:sz w:val="24"/>
          <w:szCs w:val="24"/>
          <w:lang w:val="mn-MN"/>
        </w:rPr>
        <w:t xml:space="preserve"> компанийн</w:t>
      </w:r>
      <w:r w:rsidR="00E907B2">
        <w:rPr>
          <w:rFonts w:ascii="Arial" w:hAnsi="Arial" w:cs="Arial"/>
          <w:sz w:val="24"/>
          <w:szCs w:val="24"/>
          <w:lang w:val="mn-MN"/>
        </w:rPr>
        <w:t xml:space="preserve"> үр ашиг нэмэгдэх ач холбогдолтой юм.</w:t>
      </w:r>
    </w:p>
    <w:p w:rsidR="00D77CEE" w:rsidRDefault="003C6881" w:rsidP="007D4136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907B2">
        <w:rPr>
          <w:rFonts w:ascii="Arial" w:hAnsi="Arial" w:cs="Arial"/>
          <w:i/>
          <w:sz w:val="24"/>
          <w:lang w:val="mn-MN"/>
        </w:rPr>
        <w:t>Практик шаардлага</w:t>
      </w:r>
      <w:r w:rsidR="007240D1" w:rsidRPr="00007514">
        <w:rPr>
          <w:rFonts w:ascii="Arial" w:hAnsi="Arial" w:cs="Arial"/>
          <w:i/>
          <w:lang w:val="mn-MN"/>
        </w:rPr>
        <w:t>:</w:t>
      </w:r>
      <w:r w:rsidR="007240D1" w:rsidRPr="00007514">
        <w:rPr>
          <w:rFonts w:ascii="Arial" w:hAnsi="Arial" w:cs="Arial"/>
          <w:lang w:val="mn-MN"/>
        </w:rPr>
        <w:t xml:space="preserve"> </w:t>
      </w:r>
      <w:r w:rsidR="00D56139">
        <w:rPr>
          <w:rFonts w:ascii="Arial" w:hAnsi="Arial" w:cs="Arial"/>
          <w:sz w:val="24"/>
          <w:szCs w:val="24"/>
          <w:lang w:val="mn-MN"/>
        </w:rPr>
        <w:t xml:space="preserve">Стратегийн ач холбогдол бүхий </w:t>
      </w:r>
      <w:r w:rsidR="00D56139" w:rsidRPr="00CB6593">
        <w:rPr>
          <w:rFonts w:ascii="Arial" w:hAnsi="Arial" w:cs="Arial"/>
          <w:sz w:val="24"/>
          <w:szCs w:val="24"/>
          <w:lang w:val="mn-MN"/>
        </w:rPr>
        <w:t>Эрдэн</w:t>
      </w:r>
      <w:r w:rsidR="00E636EE">
        <w:rPr>
          <w:rFonts w:ascii="Arial" w:hAnsi="Arial" w:cs="Arial"/>
          <w:sz w:val="24"/>
          <w:szCs w:val="24"/>
          <w:lang w:val="mn-MN"/>
        </w:rPr>
        <w:t>этийн Овооны зэс, молибдени,</w:t>
      </w:r>
      <w:r w:rsidR="00D56139" w:rsidRPr="00CB6593">
        <w:rPr>
          <w:rFonts w:ascii="Arial" w:hAnsi="Arial" w:cs="Arial"/>
          <w:sz w:val="24"/>
          <w:szCs w:val="24"/>
          <w:lang w:val="mn-MN"/>
        </w:rPr>
        <w:t xml:space="preserve"> </w:t>
      </w:r>
      <w:r w:rsidR="00D56139">
        <w:rPr>
          <w:rFonts w:ascii="Arial" w:hAnsi="Arial" w:cs="Arial"/>
          <w:sz w:val="24"/>
          <w:szCs w:val="24"/>
          <w:lang w:val="mn-MN"/>
        </w:rPr>
        <w:t xml:space="preserve">Тавантолгой, Багануур зэрэг </w:t>
      </w:r>
      <w:r w:rsidR="00D56139" w:rsidRPr="00CB6593">
        <w:rPr>
          <w:rFonts w:ascii="Arial" w:hAnsi="Arial" w:cs="Arial"/>
          <w:sz w:val="24"/>
          <w:szCs w:val="24"/>
          <w:lang w:val="mn-MN"/>
        </w:rPr>
        <w:t>ордуудад үйл ажиллагаа явуулж байгаа төрийн өмчит болон төрийн өмчийн</w:t>
      </w:r>
      <w:r w:rsidR="00D56139">
        <w:rPr>
          <w:rFonts w:ascii="Arial" w:hAnsi="Arial" w:cs="Arial"/>
          <w:sz w:val="24"/>
          <w:szCs w:val="24"/>
          <w:lang w:val="mn-MN"/>
        </w:rPr>
        <w:t xml:space="preserve"> </w:t>
      </w:r>
      <w:r w:rsidR="00D56139" w:rsidRPr="00CB6593">
        <w:rPr>
          <w:rFonts w:ascii="Arial" w:hAnsi="Arial" w:cs="Arial"/>
          <w:sz w:val="24"/>
          <w:szCs w:val="24"/>
          <w:lang w:val="mn-MN"/>
        </w:rPr>
        <w:t>оролцоот</w:t>
      </w:r>
      <w:r w:rsidR="00D56139">
        <w:rPr>
          <w:rFonts w:ascii="Arial" w:hAnsi="Arial" w:cs="Arial"/>
          <w:sz w:val="24"/>
          <w:szCs w:val="24"/>
          <w:lang w:val="mn-MN"/>
        </w:rPr>
        <w:t xml:space="preserve"> компаниудад о</w:t>
      </w:r>
      <w:r w:rsidR="00D56139" w:rsidRPr="00CB6593">
        <w:rPr>
          <w:rFonts w:ascii="Arial" w:hAnsi="Arial" w:cs="Arial"/>
          <w:sz w:val="24"/>
          <w:szCs w:val="24"/>
          <w:lang w:val="mn-MN"/>
        </w:rPr>
        <w:t>лон талын оролцоо</w:t>
      </w:r>
      <w:r w:rsidR="00D56139">
        <w:rPr>
          <w:rFonts w:ascii="Arial" w:hAnsi="Arial" w:cs="Arial"/>
          <w:sz w:val="24"/>
          <w:szCs w:val="24"/>
          <w:lang w:val="mn-MN"/>
        </w:rPr>
        <w:t xml:space="preserve">, ил тод, нээлттэй байдал хангалтгүй байгаагаас тэдгээр компаниудын үр </w:t>
      </w:r>
      <w:r w:rsidR="00D56139">
        <w:rPr>
          <w:rFonts w:ascii="Arial" w:hAnsi="Arial" w:cs="Arial"/>
          <w:sz w:val="24"/>
          <w:szCs w:val="24"/>
          <w:lang w:val="mn-MN"/>
        </w:rPr>
        <w:lastRenderedPageBreak/>
        <w:t>ашиг</w:t>
      </w:r>
      <w:r w:rsidR="00D56139" w:rsidRPr="00CB6593">
        <w:rPr>
          <w:rFonts w:ascii="Arial" w:hAnsi="Arial" w:cs="Arial"/>
          <w:sz w:val="24"/>
          <w:szCs w:val="24"/>
          <w:lang w:val="mn-MN"/>
        </w:rPr>
        <w:t xml:space="preserve"> багасах, </w:t>
      </w:r>
      <w:r w:rsidR="00D56139">
        <w:rPr>
          <w:rFonts w:ascii="Arial" w:hAnsi="Arial" w:cs="Arial"/>
          <w:sz w:val="24"/>
          <w:szCs w:val="24"/>
          <w:lang w:val="mn-MN"/>
        </w:rPr>
        <w:t>хүнд суртал бий болох</w:t>
      </w:r>
      <w:r w:rsidR="00D56139" w:rsidRPr="00CB6593">
        <w:rPr>
          <w:rFonts w:ascii="Arial" w:hAnsi="Arial" w:cs="Arial"/>
          <w:sz w:val="24"/>
          <w:szCs w:val="24"/>
          <w:lang w:val="mn-MN"/>
        </w:rPr>
        <w:t>,</w:t>
      </w:r>
      <w:r w:rsidR="00D56139">
        <w:rPr>
          <w:rFonts w:ascii="Arial" w:hAnsi="Arial" w:cs="Arial"/>
          <w:sz w:val="24"/>
          <w:szCs w:val="24"/>
          <w:lang w:val="mn-MN"/>
        </w:rPr>
        <w:t xml:space="preserve"> үйл ажиллагааны талаархи мэдээлэл хаалттай байх зэрэг </w:t>
      </w:r>
      <w:r w:rsidR="00D56139" w:rsidRPr="00CB6593">
        <w:rPr>
          <w:rFonts w:ascii="Arial" w:hAnsi="Arial" w:cs="Arial"/>
          <w:sz w:val="24"/>
          <w:szCs w:val="24"/>
          <w:lang w:val="mn-MN"/>
        </w:rPr>
        <w:t xml:space="preserve">сөрөг үр дагавар </w:t>
      </w:r>
      <w:r w:rsidR="00D56139">
        <w:rPr>
          <w:rFonts w:ascii="Arial" w:hAnsi="Arial" w:cs="Arial"/>
          <w:sz w:val="24"/>
          <w:szCs w:val="24"/>
          <w:lang w:val="mn-MN"/>
        </w:rPr>
        <w:t>ажиглагдаж</w:t>
      </w:r>
      <w:r w:rsidR="00D56139" w:rsidRPr="00CB6593">
        <w:rPr>
          <w:rFonts w:ascii="Arial" w:hAnsi="Arial" w:cs="Arial"/>
          <w:sz w:val="24"/>
          <w:szCs w:val="24"/>
          <w:lang w:val="mn-MN"/>
        </w:rPr>
        <w:t xml:space="preserve"> байна.</w:t>
      </w:r>
    </w:p>
    <w:p w:rsidR="008815BB" w:rsidRPr="003405D1" w:rsidRDefault="008815BB" w:rsidP="008815BB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эдийн засагт чухал үүрэг гүйцэтгэгч уул уурхайн салбарын стратегийн </w:t>
      </w:r>
      <w:r w:rsidRPr="003405D1">
        <w:rPr>
          <w:rFonts w:ascii="Arial" w:hAnsi="Arial" w:cs="Arial"/>
          <w:lang w:val="mn-MN"/>
        </w:rPr>
        <w:t xml:space="preserve">ач холбогдол бүхий ордуудын тусгай зөвшөөрөл эзэмшигч этгээдүүдийн хувьцааны тодорхой хувийг олон нийтэд эзэмшүүлснээр этгээд компаниудын үйл ажиллагаа олон нийтэд ил тод, хяналт дор байх зэрэг эерэг ач холбогдолтой юм. </w:t>
      </w:r>
    </w:p>
    <w:p w:rsidR="00D56139" w:rsidRDefault="007D4136" w:rsidP="00D56139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405D1">
        <w:rPr>
          <w:rFonts w:ascii="Arial" w:hAnsi="Arial" w:cs="Arial"/>
          <w:sz w:val="24"/>
          <w:szCs w:val="24"/>
          <w:lang w:val="mn-MN"/>
        </w:rPr>
        <w:t xml:space="preserve">Мөн </w:t>
      </w:r>
      <w:r w:rsidR="00D77CEE" w:rsidRPr="003405D1">
        <w:rPr>
          <w:rFonts w:ascii="Arial" w:hAnsi="Arial" w:cs="Arial"/>
          <w:sz w:val="24"/>
          <w:szCs w:val="24"/>
          <w:lang w:val="mn-MN"/>
        </w:rPr>
        <w:t>Монгол Улсын Их хурлын</w:t>
      </w:r>
      <w:r w:rsidR="003405D1" w:rsidRPr="003405D1">
        <w:rPr>
          <w:rFonts w:ascii="Arial" w:hAnsi="Arial" w:cs="Arial"/>
          <w:sz w:val="24"/>
          <w:szCs w:val="24"/>
        </w:rPr>
        <w:t xml:space="preserve"> </w:t>
      </w:r>
      <w:r w:rsidR="003405D1">
        <w:rPr>
          <w:rFonts w:ascii="Arial" w:hAnsi="Arial" w:cs="Arial"/>
          <w:sz w:val="24"/>
          <w:szCs w:val="24"/>
          <w:lang w:val="mn-MN"/>
        </w:rPr>
        <w:t>“Т</w:t>
      </w:r>
      <w:r w:rsidR="003405D1" w:rsidRPr="003405D1">
        <w:rPr>
          <w:rFonts w:ascii="Arial" w:hAnsi="Arial" w:cs="Arial"/>
          <w:sz w:val="24"/>
          <w:szCs w:val="24"/>
          <w:lang w:val="mn-MN"/>
        </w:rPr>
        <w:t>аван толгойн нүүрсний ордыг ашиглах зарим асуудлын тухай”</w:t>
      </w:r>
      <w:r w:rsidR="00D77CEE" w:rsidRPr="003405D1">
        <w:rPr>
          <w:rFonts w:ascii="Arial" w:hAnsi="Arial" w:cs="Arial"/>
          <w:sz w:val="24"/>
          <w:szCs w:val="24"/>
          <w:lang w:val="mn-MN"/>
        </w:rPr>
        <w:t xml:space="preserve"> 2010 оны 39 дүгээр тогтоолын 1 дүгээр зүйлийн 2 дахь хэсэгт “а/Монгол Улсын нийт иргэнд эхний ээлжинд хувьцааны 20 хувийг адил тэнцүү хэмжээгээр, үнэ төлбөргүй эзэмшүүлэх</w:t>
      </w:r>
      <w:r w:rsidR="00D77CEE" w:rsidRPr="003405D1">
        <w:rPr>
          <w:rFonts w:ascii="Arial" w:hAnsi="Arial" w:cs="Arial"/>
          <w:sz w:val="24"/>
          <w:szCs w:val="24"/>
        </w:rPr>
        <w:t>;</w:t>
      </w:r>
      <w:r w:rsidR="00D77CEE" w:rsidRPr="003405D1">
        <w:rPr>
          <w:rFonts w:ascii="Arial" w:hAnsi="Arial" w:cs="Arial"/>
          <w:sz w:val="24"/>
          <w:szCs w:val="24"/>
          <w:lang w:val="mn-MN"/>
        </w:rPr>
        <w:t xml:space="preserve">” гэж заасан бөгөөд 2021 оны 11 дүгээр сарын байдлаар </w:t>
      </w:r>
      <w:r w:rsidR="008815BB" w:rsidRPr="003405D1">
        <w:rPr>
          <w:rFonts w:ascii="Arial" w:hAnsi="Arial" w:cs="Arial"/>
          <w:sz w:val="24"/>
          <w:szCs w:val="24"/>
          <w:lang w:val="mn-MN"/>
        </w:rPr>
        <w:t>компанийн</w:t>
      </w:r>
      <w:r w:rsidR="00D77CEE" w:rsidRPr="003405D1">
        <w:rPr>
          <w:rFonts w:ascii="Arial" w:hAnsi="Arial" w:cs="Arial"/>
          <w:sz w:val="24"/>
          <w:szCs w:val="24"/>
          <w:lang w:val="mn-MN"/>
        </w:rPr>
        <w:t xml:space="preserve"> 14.75 хувийг 2012</w:t>
      </w:r>
      <w:r w:rsidR="00D77CEE">
        <w:rPr>
          <w:rFonts w:ascii="Arial" w:hAnsi="Arial" w:cs="Arial"/>
          <w:sz w:val="24"/>
          <w:szCs w:val="24"/>
          <w:lang w:val="mn-MN"/>
        </w:rPr>
        <w:t xml:space="preserve"> оны 04 дүгээр сарын 11-ний өдөр болон түүнээс өмнө төрсөн иргэд</w:t>
      </w:r>
      <w:r w:rsidR="008815BB">
        <w:rPr>
          <w:rFonts w:ascii="Arial" w:hAnsi="Arial" w:cs="Arial"/>
          <w:sz w:val="24"/>
          <w:szCs w:val="24"/>
          <w:lang w:val="mn-MN"/>
        </w:rPr>
        <w:t>эд</w:t>
      </w:r>
      <w:r w:rsidR="00D77CEE">
        <w:rPr>
          <w:rFonts w:ascii="Arial" w:hAnsi="Arial" w:cs="Arial"/>
          <w:sz w:val="24"/>
          <w:szCs w:val="24"/>
          <w:lang w:val="mn-MN"/>
        </w:rPr>
        <w:t xml:space="preserve"> 1072 хувьцааны хэлбэрээр </w:t>
      </w:r>
      <w:r>
        <w:rPr>
          <w:rFonts w:ascii="Arial" w:hAnsi="Arial" w:cs="Arial"/>
          <w:sz w:val="24"/>
          <w:szCs w:val="24"/>
          <w:lang w:val="mn-MN"/>
        </w:rPr>
        <w:t xml:space="preserve">олгох шийдвэр гарсан боловч түүнээс хойш төрсөн иргэдэд одоог хүртэл олгогдоогүй байгааг шийдвэрлэх шаардлагатай байна. </w:t>
      </w:r>
    </w:p>
    <w:p w:rsidR="003C6881" w:rsidRDefault="003C6881" w:rsidP="003C6881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3C6881" w:rsidRDefault="007240D1" w:rsidP="007D4136">
      <w:pPr>
        <w:pStyle w:val="NoSpacing"/>
        <w:spacing w:after="24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Хоёр.</w:t>
      </w:r>
      <w:r w:rsidR="00C463EC">
        <w:rPr>
          <w:rFonts w:ascii="Arial" w:hAnsi="Arial" w:cs="Arial"/>
          <w:b/>
          <w:sz w:val="24"/>
          <w:szCs w:val="24"/>
          <w:lang w:val="mn-MN"/>
        </w:rPr>
        <w:t>Тогтоолын</w:t>
      </w:r>
      <w:r w:rsidR="003C6881">
        <w:rPr>
          <w:rFonts w:ascii="Arial" w:hAnsi="Arial" w:cs="Arial"/>
          <w:b/>
          <w:sz w:val="24"/>
          <w:szCs w:val="24"/>
          <w:lang w:val="mn-MN"/>
        </w:rPr>
        <w:t xml:space="preserve"> төслийн бүтэц, зохицуулах харилцаа, хамрах хүрээ</w:t>
      </w:r>
    </w:p>
    <w:p w:rsidR="00CC2CDB" w:rsidRPr="003171CA" w:rsidRDefault="003C6881" w:rsidP="006324FA">
      <w:pPr>
        <w:jc w:val="both"/>
        <w:rPr>
          <w:rFonts w:ascii="Arial" w:eastAsia="Calibri" w:hAnsi="Arial"/>
        </w:rPr>
      </w:pPr>
      <w:r>
        <w:rPr>
          <w:rFonts w:ascii="Arial" w:hAnsi="Arial"/>
        </w:rPr>
        <w:tab/>
      </w:r>
      <w:r w:rsidR="006324FA">
        <w:rPr>
          <w:rFonts w:ascii="Arial" w:hAnsi="Arial"/>
          <w:lang w:val="mn-MN"/>
        </w:rPr>
        <w:t xml:space="preserve">Тогтоолын төсөл нь </w:t>
      </w:r>
      <w:r w:rsidR="00E636EE" w:rsidRPr="00E636EE">
        <w:rPr>
          <w:rFonts w:ascii="Arial" w:hAnsi="Arial"/>
          <w:lang w:val="mn-MN"/>
        </w:rPr>
        <w:t xml:space="preserve">“Эрдэнэт үйлдвэр” </w:t>
      </w:r>
      <w:r w:rsidR="006324FA">
        <w:rPr>
          <w:rFonts w:ascii="Arial" w:hAnsi="Arial"/>
          <w:lang w:val="mn-MN"/>
        </w:rPr>
        <w:t>ТӨҮГ</w:t>
      </w:r>
      <w:r w:rsidR="00D77CEE">
        <w:rPr>
          <w:rFonts w:ascii="Arial" w:hAnsi="Arial"/>
          <w:lang w:val="mn-MN"/>
        </w:rPr>
        <w:t xml:space="preserve">-ын </w:t>
      </w:r>
      <w:r w:rsidR="00D77CEE" w:rsidRPr="00E636EE">
        <w:rPr>
          <w:rFonts w:ascii="Arial" w:hAnsi="Arial"/>
          <w:lang w:val="mn-MN"/>
        </w:rPr>
        <w:t xml:space="preserve">10 хүртэлх хувийн </w:t>
      </w:r>
      <w:r w:rsidR="00D77CEE" w:rsidRPr="003171CA">
        <w:rPr>
          <w:rFonts w:ascii="Arial" w:hAnsi="Arial"/>
          <w:lang w:val="mn-MN"/>
        </w:rPr>
        <w:t>хувьцааг</w:t>
      </w:r>
      <w:r w:rsidR="00D77CEE">
        <w:rPr>
          <w:rFonts w:ascii="Arial" w:hAnsi="Arial"/>
          <w:lang w:val="mn-MN"/>
        </w:rPr>
        <w:t>, “Эрдэнэс-Тавантолгой” ХК-ий</w:t>
      </w:r>
      <w:r w:rsidR="00E636EE" w:rsidRPr="00E636EE">
        <w:rPr>
          <w:rFonts w:ascii="Arial" w:hAnsi="Arial"/>
          <w:lang w:val="mn-MN"/>
        </w:rPr>
        <w:t>н</w:t>
      </w:r>
      <w:r w:rsidR="00D77CEE">
        <w:rPr>
          <w:rFonts w:ascii="Arial" w:hAnsi="Arial"/>
          <w:lang w:val="mn-MN"/>
        </w:rPr>
        <w:t xml:space="preserve"> хувьцааг 2012 оны 04 дүгээр сарын 11-ний өдрөөс хойш төрсөн </w:t>
      </w:r>
      <w:r w:rsidR="00E636EE" w:rsidRPr="003171CA">
        <w:rPr>
          <w:rFonts w:ascii="Arial" w:hAnsi="Arial"/>
          <w:lang w:val="mn-MN"/>
        </w:rPr>
        <w:t>иргэдэд</w:t>
      </w:r>
      <w:r w:rsidR="003171CA">
        <w:rPr>
          <w:rFonts w:ascii="Arial" w:hAnsi="Arial"/>
          <w:lang w:val="mn-MN"/>
        </w:rPr>
        <w:t xml:space="preserve"> үнэ төлбөргүй эзэмшүүлэх</w:t>
      </w:r>
      <w:r w:rsidR="002E03F6">
        <w:rPr>
          <w:rFonts w:ascii="Arial" w:hAnsi="Arial"/>
          <w:lang w:val="mn-MN"/>
        </w:rPr>
        <w:t xml:space="preserve">, </w:t>
      </w:r>
      <w:r w:rsidR="003405D1">
        <w:rPr>
          <w:rFonts w:ascii="Arial" w:hAnsi="Arial"/>
          <w:lang w:val="mn-MN"/>
        </w:rPr>
        <w:t xml:space="preserve">“Эрдэнэт үйлдвэр” ТӨҮГ-ын хувьцааны 10 хүртэлх хувийг </w:t>
      </w:r>
      <w:r w:rsidR="002E03F6">
        <w:rPr>
          <w:rFonts w:ascii="Arial" w:hAnsi="Arial"/>
          <w:lang w:val="mn-MN"/>
        </w:rPr>
        <w:t xml:space="preserve">дотоодын шаардлага хангасан, </w:t>
      </w:r>
      <w:r w:rsidR="00286D81">
        <w:rPr>
          <w:rFonts w:ascii="Arial" w:hAnsi="Arial"/>
          <w:lang w:val="mn-MN"/>
        </w:rPr>
        <w:t>татварын өр төлбөргүй</w:t>
      </w:r>
      <w:r w:rsidR="002E03F6">
        <w:rPr>
          <w:rFonts w:ascii="Arial" w:hAnsi="Arial"/>
          <w:lang w:val="mn-MN"/>
        </w:rPr>
        <w:t xml:space="preserve"> аж ахуй нэгжид тэнцүү хэмжээгээр, нэрлэсэн үнээр худалдаалах</w:t>
      </w:r>
      <w:r w:rsidR="00286D81">
        <w:rPr>
          <w:rFonts w:ascii="Arial" w:hAnsi="Arial"/>
          <w:lang w:val="mn-MN"/>
        </w:rPr>
        <w:t>,</w:t>
      </w:r>
      <w:r w:rsidR="003405D1">
        <w:rPr>
          <w:rFonts w:ascii="Arial" w:hAnsi="Arial"/>
          <w:lang w:val="mn-MN"/>
        </w:rPr>
        <w:t xml:space="preserve"> </w:t>
      </w:r>
      <w:r w:rsidR="00286D81">
        <w:rPr>
          <w:rFonts w:ascii="Arial" w:hAnsi="Arial"/>
          <w:lang w:val="mn-MN"/>
        </w:rPr>
        <w:t xml:space="preserve">эдгээр компаниудын </w:t>
      </w:r>
      <w:r w:rsidR="00286D81" w:rsidRPr="00286D81">
        <w:rPr>
          <w:rFonts w:ascii="Arial" w:hAnsi="Arial"/>
          <w:lang w:val="mn-MN"/>
        </w:rPr>
        <w:t>хувьцааны тодорхой хувийг</w:t>
      </w:r>
      <w:r w:rsidR="00286D81">
        <w:rPr>
          <w:rFonts w:ascii="Arial" w:hAnsi="Arial"/>
          <w:lang w:val="mn-MN"/>
        </w:rPr>
        <w:t xml:space="preserve"> дотоодын хөрөнгийн биржээр</w:t>
      </w:r>
      <w:r w:rsidR="00286D81" w:rsidRPr="00286D81">
        <w:rPr>
          <w:rFonts w:ascii="Arial" w:hAnsi="Arial"/>
          <w:lang w:val="mn-MN"/>
        </w:rPr>
        <w:t xml:space="preserve"> нээлттэй арилжих</w:t>
      </w:r>
      <w:r w:rsidR="00286D81">
        <w:rPr>
          <w:rFonts w:ascii="Arial" w:hAnsi="Arial"/>
          <w:lang w:val="mn-MN"/>
        </w:rPr>
        <w:t xml:space="preserve"> </w:t>
      </w:r>
      <w:r w:rsidR="00A564BE">
        <w:rPr>
          <w:rFonts w:ascii="Arial" w:hAnsi="Arial"/>
          <w:lang w:val="mn-MN"/>
        </w:rPr>
        <w:t xml:space="preserve"> </w:t>
      </w:r>
      <w:r w:rsidR="00A564BE" w:rsidRPr="00A564BE">
        <w:rPr>
          <w:rFonts w:ascii="Arial" w:hAnsi="Arial" w:cs="Arial"/>
        </w:rPr>
        <w:t>зэрэг</w:t>
      </w:r>
      <w:r w:rsidR="00286D81">
        <w:rPr>
          <w:rFonts w:ascii="Arial" w:hAnsi="Arial"/>
          <w:lang w:val="mn-MN"/>
        </w:rPr>
        <w:t xml:space="preserve"> </w:t>
      </w:r>
      <w:r w:rsidR="003171CA" w:rsidRPr="003171CA">
        <w:rPr>
          <w:rFonts w:ascii="Arial" w:eastAsia="Calibri" w:hAnsi="Arial"/>
          <w:lang w:val="mn-MN"/>
        </w:rPr>
        <w:t xml:space="preserve">арга хэмжээг авч хэрэгжүүлэхийг </w:t>
      </w:r>
      <w:r w:rsidR="003171CA" w:rsidRPr="003171CA">
        <w:rPr>
          <w:rFonts w:ascii="Arial" w:eastAsia="Calibri" w:hAnsi="Arial"/>
        </w:rPr>
        <w:t>Засгийн газар</w:t>
      </w:r>
      <w:r w:rsidR="00CC2CDB">
        <w:rPr>
          <w:rFonts w:ascii="Arial" w:eastAsia="Calibri" w:hAnsi="Arial"/>
          <w:lang w:val="mn-MN"/>
        </w:rPr>
        <w:t xml:space="preserve">т </w:t>
      </w:r>
      <w:r w:rsidR="003171CA" w:rsidRPr="003171CA">
        <w:rPr>
          <w:rFonts w:ascii="Arial" w:eastAsia="Calibri" w:hAnsi="Arial"/>
        </w:rPr>
        <w:t>даалгаж, тогтоолын хэрэгжилтэд хяналт тавьж ажиллахыг холбогдох Байнгын хороон</w:t>
      </w:r>
      <w:r w:rsidR="006324FA">
        <w:rPr>
          <w:rFonts w:ascii="Arial" w:eastAsia="Calibri" w:hAnsi="Arial"/>
        </w:rPr>
        <w:t>д даалгасан зохицуулалтыг тусга</w:t>
      </w:r>
      <w:r w:rsidR="003171CA" w:rsidRPr="003171CA">
        <w:rPr>
          <w:rFonts w:ascii="Arial" w:eastAsia="Calibri" w:hAnsi="Arial"/>
        </w:rPr>
        <w:t>н</w:t>
      </w:r>
      <w:r w:rsidR="006324FA">
        <w:rPr>
          <w:rFonts w:ascii="Arial" w:eastAsia="Calibri" w:hAnsi="Arial"/>
          <w:lang w:val="mn-MN"/>
        </w:rPr>
        <w:t>а</w:t>
      </w:r>
      <w:r w:rsidR="00C05124">
        <w:rPr>
          <w:rFonts w:ascii="Arial" w:eastAsia="Calibri" w:hAnsi="Arial"/>
        </w:rPr>
        <w:t>.</w:t>
      </w:r>
    </w:p>
    <w:p w:rsidR="003C6881" w:rsidRDefault="007240D1" w:rsidP="007D4136">
      <w:pPr>
        <w:pStyle w:val="NoSpacing"/>
        <w:spacing w:after="24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Гурав.</w:t>
      </w:r>
      <w:r w:rsidR="003171CA">
        <w:rPr>
          <w:rFonts w:ascii="Arial" w:hAnsi="Arial" w:cs="Arial"/>
          <w:b/>
          <w:sz w:val="24"/>
          <w:szCs w:val="24"/>
          <w:lang w:val="mn-MN"/>
        </w:rPr>
        <w:t>Тогтоолын</w:t>
      </w:r>
      <w:r w:rsidR="003C6881">
        <w:rPr>
          <w:rFonts w:ascii="Arial" w:hAnsi="Arial" w:cs="Arial"/>
          <w:b/>
          <w:sz w:val="24"/>
          <w:szCs w:val="24"/>
          <w:lang w:val="mn-MN"/>
        </w:rPr>
        <w:t xml:space="preserve"> төсөл батлагдсаны дараа үүсэж болох нийгэм, эдийн засгийн үр дагавар</w:t>
      </w:r>
    </w:p>
    <w:p w:rsidR="00CB67E0" w:rsidRDefault="003C6881" w:rsidP="007D4136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Энэхүү </w:t>
      </w:r>
      <w:r w:rsidR="003171CA">
        <w:rPr>
          <w:rFonts w:ascii="Arial" w:hAnsi="Arial" w:cs="Arial"/>
          <w:sz w:val="24"/>
          <w:szCs w:val="24"/>
          <w:lang w:val="mn-MN"/>
        </w:rPr>
        <w:t>тогтоолын</w:t>
      </w:r>
      <w:r>
        <w:rPr>
          <w:rFonts w:ascii="Arial" w:hAnsi="Arial" w:cs="Arial"/>
          <w:sz w:val="24"/>
          <w:szCs w:val="24"/>
          <w:lang w:val="mn-MN"/>
        </w:rPr>
        <w:t xml:space="preserve"> төсөл батлагдсаны дараа нийгэм, эдийн засгийн ямар нэгэн сөрөг үр дагавар үүсэхгүй.</w:t>
      </w:r>
    </w:p>
    <w:p w:rsidR="003C6881" w:rsidRPr="007D4136" w:rsidRDefault="00E636EE" w:rsidP="007D4136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Тогтоолын төслийг</w:t>
      </w:r>
      <w:r w:rsidR="00CB67E0">
        <w:rPr>
          <w:rFonts w:ascii="Arial" w:hAnsi="Arial" w:cs="Arial"/>
          <w:sz w:val="24"/>
          <w:szCs w:val="24"/>
          <w:lang w:val="mn-MN"/>
        </w:rPr>
        <w:t xml:space="preserve"> бат</w:t>
      </w:r>
      <w:r w:rsidR="00C05124">
        <w:rPr>
          <w:rFonts w:ascii="Arial" w:hAnsi="Arial" w:cs="Arial"/>
          <w:sz w:val="24"/>
          <w:szCs w:val="24"/>
          <w:lang w:val="mn-MN"/>
        </w:rPr>
        <w:t>а</w:t>
      </w:r>
      <w:r w:rsidR="00CB67E0">
        <w:rPr>
          <w:rFonts w:ascii="Arial" w:hAnsi="Arial" w:cs="Arial"/>
          <w:sz w:val="24"/>
          <w:szCs w:val="24"/>
          <w:lang w:val="mn-MN"/>
        </w:rPr>
        <w:t>лснаар</w:t>
      </w:r>
      <w:r w:rsidR="003C6881">
        <w:rPr>
          <w:rFonts w:ascii="Arial" w:hAnsi="Arial" w:cs="Arial"/>
          <w:sz w:val="24"/>
          <w:szCs w:val="24"/>
          <w:lang w:val="mn-MN"/>
        </w:rPr>
        <w:t xml:space="preserve"> Монгол Улс</w:t>
      </w:r>
      <w:r>
        <w:rPr>
          <w:rFonts w:ascii="Arial" w:hAnsi="Arial" w:cs="Arial"/>
          <w:sz w:val="24"/>
          <w:szCs w:val="24"/>
          <w:lang w:val="mn-MN"/>
        </w:rPr>
        <w:t xml:space="preserve">ын стратегийн ач холбогдол бүхий </w:t>
      </w:r>
      <w:r w:rsidR="003C6881">
        <w:rPr>
          <w:rFonts w:ascii="Arial" w:hAnsi="Arial" w:cs="Arial"/>
          <w:sz w:val="24"/>
          <w:szCs w:val="24"/>
          <w:lang w:val="mn-MN"/>
        </w:rPr>
        <w:t xml:space="preserve"> </w:t>
      </w:r>
      <w:r w:rsidRPr="00E636EE">
        <w:rPr>
          <w:rFonts w:ascii="Arial" w:hAnsi="Arial" w:cs="Arial"/>
          <w:sz w:val="24"/>
          <w:szCs w:val="24"/>
          <w:lang w:val="mn-MN"/>
        </w:rPr>
        <w:t>Эрдэнэтийн Овооны зэс</w:t>
      </w:r>
      <w:r>
        <w:rPr>
          <w:rFonts w:ascii="Arial" w:hAnsi="Arial" w:cs="Arial"/>
          <w:sz w:val="24"/>
          <w:szCs w:val="24"/>
          <w:lang w:val="mn-MN"/>
        </w:rPr>
        <w:t xml:space="preserve"> болон Тавантолгойн нүүрсн</w:t>
      </w:r>
      <w:r w:rsidR="00C05124">
        <w:rPr>
          <w:rFonts w:ascii="Arial" w:hAnsi="Arial" w:cs="Arial"/>
          <w:sz w:val="24"/>
          <w:szCs w:val="24"/>
          <w:lang w:val="mn-MN"/>
        </w:rPr>
        <w:t>ий</w:t>
      </w:r>
      <w:r>
        <w:rPr>
          <w:rFonts w:ascii="Arial" w:hAnsi="Arial" w:cs="Arial"/>
          <w:sz w:val="24"/>
          <w:szCs w:val="24"/>
          <w:lang w:val="mn-MN"/>
        </w:rPr>
        <w:t xml:space="preserve"> ордын үр өгөөжийн дийлэнх нь ард түмэнд ногдож байх Үндсэн хуулийн заалт хэрэгжихийн зэрэгцээ эдгээр ордуудад үйл ажиллагаа явуулагч төрийн өмчит “Эрдэнэт үйлдвэр” </w:t>
      </w:r>
      <w:r w:rsidR="00533653">
        <w:rPr>
          <w:rFonts w:ascii="Arial" w:hAnsi="Arial" w:cs="Arial"/>
          <w:sz w:val="24"/>
          <w:szCs w:val="24"/>
          <w:lang w:val="mn-MN"/>
        </w:rPr>
        <w:t>ТӨҮГ, “Эрдэнэс-Тавантолгой” ХК-и</w:t>
      </w:r>
      <w:r>
        <w:rPr>
          <w:rFonts w:ascii="Arial" w:hAnsi="Arial" w:cs="Arial"/>
          <w:sz w:val="24"/>
          <w:szCs w:val="24"/>
          <w:lang w:val="mn-MN"/>
        </w:rPr>
        <w:t xml:space="preserve">удын үйл ажиллагаанд </w:t>
      </w:r>
      <w:r w:rsidRPr="00E636EE">
        <w:rPr>
          <w:rFonts w:ascii="Arial" w:hAnsi="Arial" w:cs="Arial"/>
          <w:sz w:val="24"/>
          <w:szCs w:val="24"/>
          <w:lang w:val="mn-MN"/>
        </w:rPr>
        <w:t xml:space="preserve">ард </w:t>
      </w:r>
      <w:r w:rsidR="00E907B2">
        <w:rPr>
          <w:rFonts w:ascii="Arial" w:hAnsi="Arial" w:cs="Arial"/>
          <w:sz w:val="24"/>
          <w:szCs w:val="24"/>
          <w:lang w:val="mn-MN"/>
        </w:rPr>
        <w:t>түмний хараа хяналтыг бий болгох, үр ашгийг дээшлүүлэх болон</w:t>
      </w:r>
      <w:r w:rsidRPr="00E636EE">
        <w:rPr>
          <w:rFonts w:ascii="Arial" w:hAnsi="Arial" w:cs="Arial"/>
          <w:sz w:val="24"/>
          <w:szCs w:val="24"/>
          <w:lang w:val="mn-MN"/>
        </w:rPr>
        <w:t xml:space="preserve"> баялгийн шуд</w:t>
      </w:r>
      <w:r w:rsidR="00C05124">
        <w:rPr>
          <w:rFonts w:ascii="Arial" w:hAnsi="Arial" w:cs="Arial"/>
          <w:sz w:val="24"/>
          <w:szCs w:val="24"/>
          <w:lang w:val="mn-MN"/>
        </w:rPr>
        <w:t>а</w:t>
      </w:r>
      <w:r w:rsidRPr="00E636EE">
        <w:rPr>
          <w:rFonts w:ascii="Arial" w:hAnsi="Arial" w:cs="Arial"/>
          <w:sz w:val="24"/>
          <w:szCs w:val="24"/>
          <w:lang w:val="mn-MN"/>
        </w:rPr>
        <w:t>р</w:t>
      </w:r>
      <w:r w:rsidR="00C05124">
        <w:rPr>
          <w:rFonts w:ascii="Arial" w:hAnsi="Arial" w:cs="Arial"/>
          <w:sz w:val="24"/>
          <w:szCs w:val="24"/>
          <w:lang w:val="mn-MN"/>
        </w:rPr>
        <w:t>га хува</w:t>
      </w:r>
      <w:r w:rsidRPr="00E636EE">
        <w:rPr>
          <w:rFonts w:ascii="Arial" w:hAnsi="Arial" w:cs="Arial"/>
          <w:sz w:val="24"/>
          <w:szCs w:val="24"/>
          <w:lang w:val="mn-MN"/>
        </w:rPr>
        <w:t>ар</w:t>
      </w:r>
      <w:r w:rsidR="00C05124">
        <w:rPr>
          <w:rFonts w:ascii="Arial" w:hAnsi="Arial" w:cs="Arial"/>
          <w:sz w:val="24"/>
          <w:szCs w:val="24"/>
          <w:lang w:val="mn-MN"/>
        </w:rPr>
        <w:t>и</w:t>
      </w:r>
      <w:r w:rsidRPr="00E636EE">
        <w:rPr>
          <w:rFonts w:ascii="Arial" w:hAnsi="Arial" w:cs="Arial"/>
          <w:sz w:val="24"/>
          <w:szCs w:val="24"/>
          <w:lang w:val="mn-MN"/>
        </w:rPr>
        <w:t xml:space="preserve">лалтыг ард нийтэд тэгш </w:t>
      </w:r>
      <w:r w:rsidR="00E907B2">
        <w:rPr>
          <w:rFonts w:ascii="Arial" w:hAnsi="Arial" w:cs="Arial"/>
          <w:sz w:val="24"/>
          <w:szCs w:val="24"/>
          <w:lang w:val="mn-MN"/>
        </w:rPr>
        <w:t>хүртээх</w:t>
      </w:r>
      <w:r w:rsidRPr="00E636EE">
        <w:rPr>
          <w:rFonts w:ascii="Arial" w:hAnsi="Arial" w:cs="Arial"/>
          <w:sz w:val="24"/>
          <w:szCs w:val="24"/>
          <w:lang w:val="mn-MN"/>
        </w:rPr>
        <w:t xml:space="preserve"> </w:t>
      </w:r>
      <w:r w:rsidR="00C5299A">
        <w:rPr>
          <w:rFonts w:ascii="Arial" w:hAnsi="Arial" w:cs="Arial"/>
          <w:sz w:val="24"/>
          <w:szCs w:val="24"/>
          <w:lang w:val="mn-MN"/>
        </w:rPr>
        <w:t>эрх зүйн орчин бүрдэнэ.</w:t>
      </w:r>
    </w:p>
    <w:p w:rsidR="003C6881" w:rsidRPr="007D4136" w:rsidRDefault="007240D1" w:rsidP="007D4136">
      <w:pPr>
        <w:pStyle w:val="NoSpacing"/>
        <w:spacing w:after="24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Дөрөв.</w:t>
      </w:r>
      <w:r w:rsidR="003171CA">
        <w:rPr>
          <w:rFonts w:ascii="Arial" w:hAnsi="Arial" w:cs="Arial"/>
          <w:b/>
          <w:sz w:val="24"/>
          <w:szCs w:val="24"/>
          <w:lang w:val="mn-MN"/>
        </w:rPr>
        <w:t>Тогтоолын</w:t>
      </w:r>
      <w:r w:rsidR="003C6881">
        <w:rPr>
          <w:rFonts w:ascii="Arial" w:hAnsi="Arial" w:cs="Arial"/>
          <w:b/>
          <w:sz w:val="24"/>
          <w:szCs w:val="24"/>
          <w:lang w:val="mn-MN"/>
        </w:rPr>
        <w:t xml:space="preserve"> төсөл нь бусад хуультай хэрхэн уялдах, уг </w:t>
      </w:r>
      <w:r w:rsidR="003171CA">
        <w:rPr>
          <w:rFonts w:ascii="Arial" w:hAnsi="Arial" w:cs="Arial"/>
          <w:b/>
          <w:sz w:val="24"/>
          <w:szCs w:val="24"/>
          <w:lang w:val="mn-MN"/>
        </w:rPr>
        <w:t xml:space="preserve">тогтоолыг </w:t>
      </w:r>
      <w:r w:rsidR="003C6881">
        <w:rPr>
          <w:rFonts w:ascii="Arial" w:hAnsi="Arial" w:cs="Arial"/>
          <w:b/>
          <w:sz w:val="24"/>
          <w:szCs w:val="24"/>
          <w:lang w:val="mn-MN"/>
        </w:rPr>
        <w:t>хэрэгжүүлэхтэй холбогдуулан цаашид шинээр боловсруулах буюу нэмэлт</w:t>
      </w:r>
      <w:r w:rsidR="00EA7CA6">
        <w:rPr>
          <w:rFonts w:ascii="Arial" w:hAnsi="Arial" w:cs="Arial"/>
          <w:b/>
          <w:sz w:val="24"/>
          <w:szCs w:val="24"/>
          <w:lang w:val="mn-MN"/>
        </w:rPr>
        <w:t>,</w:t>
      </w:r>
      <w:r w:rsidR="003C6881">
        <w:rPr>
          <w:rFonts w:ascii="Arial" w:hAnsi="Arial" w:cs="Arial"/>
          <w:b/>
          <w:sz w:val="24"/>
          <w:szCs w:val="24"/>
          <w:lang w:val="mn-MN"/>
        </w:rPr>
        <w:t xml:space="preserve"> өөрчлөлт оруулах, хүчингүй болгох хуул</w:t>
      </w:r>
      <w:r w:rsidR="003171CA">
        <w:rPr>
          <w:rFonts w:ascii="Arial" w:hAnsi="Arial" w:cs="Arial"/>
          <w:b/>
          <w:sz w:val="24"/>
          <w:szCs w:val="24"/>
          <w:lang w:val="mn-MN"/>
        </w:rPr>
        <w:t>ь, тогтоолын</w:t>
      </w:r>
      <w:r w:rsidR="003C6881">
        <w:rPr>
          <w:rFonts w:ascii="Arial" w:hAnsi="Arial" w:cs="Arial"/>
          <w:b/>
          <w:sz w:val="24"/>
          <w:szCs w:val="24"/>
          <w:lang w:val="mn-MN"/>
        </w:rPr>
        <w:t xml:space="preserve"> төслийн талаар</w:t>
      </w:r>
    </w:p>
    <w:p w:rsidR="00A827B7" w:rsidRDefault="004B0BD2" w:rsidP="007D4136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Тогтоолын</w:t>
      </w:r>
      <w:r w:rsidR="003C6881">
        <w:rPr>
          <w:rFonts w:ascii="Arial" w:hAnsi="Arial" w:cs="Arial"/>
          <w:sz w:val="24"/>
          <w:szCs w:val="24"/>
          <w:lang w:val="mn-MN"/>
        </w:rPr>
        <w:t xml:space="preserve"> төсөл нь Монгол Улсын Үндсэн хууль, </w:t>
      </w:r>
      <w:r w:rsidR="00A827B7">
        <w:rPr>
          <w:rFonts w:ascii="Arial" w:hAnsi="Arial" w:cs="Arial"/>
          <w:sz w:val="24"/>
          <w:szCs w:val="24"/>
          <w:lang w:val="mn-MN"/>
        </w:rPr>
        <w:t>Ашигт малт</w:t>
      </w:r>
      <w:r w:rsidR="00363821">
        <w:rPr>
          <w:rFonts w:ascii="Arial" w:hAnsi="Arial" w:cs="Arial"/>
          <w:sz w:val="24"/>
          <w:szCs w:val="24"/>
          <w:lang w:val="mn-MN"/>
        </w:rPr>
        <w:t>м</w:t>
      </w:r>
      <w:r w:rsidR="00A827B7">
        <w:rPr>
          <w:rFonts w:ascii="Arial" w:hAnsi="Arial" w:cs="Arial"/>
          <w:sz w:val="24"/>
          <w:szCs w:val="24"/>
          <w:lang w:val="mn-MN"/>
        </w:rPr>
        <w:t>алын</w:t>
      </w:r>
      <w:r w:rsidR="003C6881">
        <w:rPr>
          <w:rFonts w:ascii="Arial" w:hAnsi="Arial" w:cs="Arial"/>
          <w:sz w:val="24"/>
          <w:szCs w:val="24"/>
          <w:lang w:val="mn-MN"/>
        </w:rPr>
        <w:t xml:space="preserve"> тухай хууль</w:t>
      </w:r>
      <w:r w:rsidR="00A827B7">
        <w:rPr>
          <w:rFonts w:ascii="Arial" w:hAnsi="Arial" w:cs="Arial"/>
          <w:sz w:val="24"/>
          <w:szCs w:val="24"/>
          <w:lang w:val="mn-MN"/>
        </w:rPr>
        <w:t xml:space="preserve"> болон холбогдох бусад хуульд нийцүүлэн боловсруулна.</w:t>
      </w:r>
    </w:p>
    <w:p w:rsidR="003C6881" w:rsidRPr="00A827B7" w:rsidRDefault="00A827B7" w:rsidP="007D4136">
      <w:pPr>
        <w:pStyle w:val="NoSpacing"/>
        <w:spacing w:after="240"/>
        <w:ind w:firstLine="720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Тогтоолын</w:t>
      </w:r>
      <w:r w:rsidRPr="00A827B7">
        <w:rPr>
          <w:rFonts w:ascii="Arial" w:hAnsi="Arial" w:cs="Arial"/>
          <w:sz w:val="24"/>
          <w:szCs w:val="24"/>
          <w:lang w:val="mn-MN"/>
        </w:rPr>
        <w:t xml:space="preserve"> төсөлтэй холбогдуулан </w:t>
      </w:r>
      <w:r>
        <w:rPr>
          <w:rFonts w:ascii="Arial" w:hAnsi="Arial" w:cs="Arial"/>
          <w:sz w:val="24"/>
          <w:szCs w:val="24"/>
          <w:lang w:val="mn-MN"/>
        </w:rPr>
        <w:t xml:space="preserve">Монгол Улсын Их хурлын 1999 оны 64 дүгээр тогтоолоор батлагдсан </w:t>
      </w:r>
      <w:r w:rsidRPr="00A827B7">
        <w:rPr>
          <w:rFonts w:ascii="Arial" w:hAnsi="Arial" w:cs="Arial"/>
          <w:sz w:val="24"/>
          <w:szCs w:val="24"/>
          <w:lang w:val="mn-MN"/>
        </w:rPr>
        <w:t>“</w:t>
      </w:r>
      <w:r w:rsidRPr="00A827B7">
        <w:rPr>
          <w:rFonts w:ascii="Arial" w:eastAsia="Times New Roman" w:hAnsi="Arial" w:cs="Arial"/>
          <w:color w:val="222222"/>
          <w:sz w:val="24"/>
          <w:szCs w:val="24"/>
          <w:lang w:val="mn-MN"/>
        </w:rPr>
        <w:t>Төрийн өмчөөс хувьчилж үл болох эд хөрөнгийн жагсаалт”-д өөрчлөлт оруулна.</w:t>
      </w:r>
      <w:r w:rsidRPr="00A827B7">
        <w:rPr>
          <w:rFonts w:ascii="Arial" w:eastAsia="Times New Roman" w:hAnsi="Arial" w:cs="Arial"/>
          <w:b/>
          <w:color w:val="222222"/>
          <w:sz w:val="24"/>
          <w:szCs w:val="24"/>
          <w:lang w:val="mn-MN"/>
        </w:rPr>
        <w:t xml:space="preserve"> </w:t>
      </w:r>
    </w:p>
    <w:p w:rsidR="005A69C0" w:rsidRDefault="005A69C0" w:rsidP="003C6881">
      <w:pPr>
        <w:pStyle w:val="NoSpacing"/>
        <w:jc w:val="center"/>
        <w:rPr>
          <w:rFonts w:ascii="Arial" w:eastAsia="Times New Roman" w:hAnsi="Arial" w:cs="Arial"/>
          <w:color w:val="222222"/>
          <w:sz w:val="20"/>
          <w:szCs w:val="20"/>
          <w:lang w:val="mn-MN"/>
        </w:rPr>
      </w:pPr>
    </w:p>
    <w:p w:rsidR="007240D1" w:rsidRPr="005A69C0" w:rsidRDefault="00B322AA" w:rsidP="003C6881">
      <w:pPr>
        <w:pStyle w:val="NoSpacing"/>
        <w:jc w:val="center"/>
        <w:rPr>
          <w:rFonts w:ascii="Arial" w:eastAsia="Times New Roman" w:hAnsi="Arial" w:cs="Arial"/>
          <w:color w:val="222222"/>
          <w:sz w:val="24"/>
          <w:szCs w:val="24"/>
          <w:lang w:val="mn-MN"/>
        </w:rPr>
      </w:pPr>
      <w:r w:rsidRPr="005A69C0">
        <w:rPr>
          <w:rFonts w:ascii="Arial" w:eastAsia="Times New Roman" w:hAnsi="Arial" w:cs="Arial"/>
          <w:color w:val="222222"/>
          <w:sz w:val="24"/>
          <w:szCs w:val="24"/>
          <w:lang w:val="mn-MN"/>
        </w:rPr>
        <w:t>---оОо---</w:t>
      </w:r>
    </w:p>
    <w:sectPr w:rsidR="007240D1" w:rsidRPr="005A69C0" w:rsidSect="00C87018">
      <w:footerReference w:type="default" r:id="rId7"/>
      <w:pgSz w:w="11900" w:h="16840"/>
      <w:pgMar w:top="1080" w:right="744" w:bottom="1267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FC8" w:rsidRDefault="00185FC8" w:rsidP="003C6881">
      <w:pPr>
        <w:spacing w:after="0"/>
      </w:pPr>
      <w:r>
        <w:separator/>
      </w:r>
    </w:p>
  </w:endnote>
  <w:endnote w:type="continuationSeparator" w:id="0">
    <w:p w:rsidR="00185FC8" w:rsidRDefault="00185FC8" w:rsidP="003C68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49F5" w:rsidRDefault="009349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D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49F5" w:rsidRDefault="00934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FC8" w:rsidRDefault="00185FC8" w:rsidP="003C6881">
      <w:pPr>
        <w:spacing w:after="0"/>
      </w:pPr>
      <w:r>
        <w:separator/>
      </w:r>
    </w:p>
  </w:footnote>
  <w:footnote w:type="continuationSeparator" w:id="0">
    <w:p w:rsidR="00185FC8" w:rsidRDefault="00185FC8" w:rsidP="003C68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D8C"/>
    <w:multiLevelType w:val="multilevel"/>
    <w:tmpl w:val="874E2AB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E476151"/>
    <w:multiLevelType w:val="hybridMultilevel"/>
    <w:tmpl w:val="5C083C24"/>
    <w:lvl w:ilvl="0" w:tplc="AE522F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0B0CB8"/>
    <w:multiLevelType w:val="hybridMultilevel"/>
    <w:tmpl w:val="2F5C6182"/>
    <w:lvl w:ilvl="0" w:tplc="B492F6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81"/>
    <w:rsid w:val="00007514"/>
    <w:rsid w:val="000252B6"/>
    <w:rsid w:val="0004289B"/>
    <w:rsid w:val="00052019"/>
    <w:rsid w:val="000548A2"/>
    <w:rsid w:val="00081526"/>
    <w:rsid w:val="000844C5"/>
    <w:rsid w:val="000B2084"/>
    <w:rsid w:val="000B7D21"/>
    <w:rsid w:val="000E1862"/>
    <w:rsid w:val="000F45BB"/>
    <w:rsid w:val="001273E1"/>
    <w:rsid w:val="00140765"/>
    <w:rsid w:val="00162EF0"/>
    <w:rsid w:val="00164E8D"/>
    <w:rsid w:val="0017335B"/>
    <w:rsid w:val="001814DD"/>
    <w:rsid w:val="001824AB"/>
    <w:rsid w:val="00185FC8"/>
    <w:rsid w:val="00186359"/>
    <w:rsid w:val="00195540"/>
    <w:rsid w:val="001A5FA1"/>
    <w:rsid w:val="001C2463"/>
    <w:rsid w:val="001D493C"/>
    <w:rsid w:val="001F2985"/>
    <w:rsid w:val="00232583"/>
    <w:rsid w:val="00233616"/>
    <w:rsid w:val="00235C2C"/>
    <w:rsid w:val="00237364"/>
    <w:rsid w:val="00243C84"/>
    <w:rsid w:val="00252CE7"/>
    <w:rsid w:val="00261F4F"/>
    <w:rsid w:val="00262D2F"/>
    <w:rsid w:val="0026703D"/>
    <w:rsid w:val="00286D81"/>
    <w:rsid w:val="00290A9A"/>
    <w:rsid w:val="002A2D52"/>
    <w:rsid w:val="002E03F6"/>
    <w:rsid w:val="002E7DFB"/>
    <w:rsid w:val="002F4B1C"/>
    <w:rsid w:val="00313445"/>
    <w:rsid w:val="00315D99"/>
    <w:rsid w:val="003171CA"/>
    <w:rsid w:val="00323887"/>
    <w:rsid w:val="00324AAA"/>
    <w:rsid w:val="00326B33"/>
    <w:rsid w:val="003405D1"/>
    <w:rsid w:val="003520B9"/>
    <w:rsid w:val="00355B48"/>
    <w:rsid w:val="00356E0D"/>
    <w:rsid w:val="00363821"/>
    <w:rsid w:val="00376694"/>
    <w:rsid w:val="003834C8"/>
    <w:rsid w:val="00395B74"/>
    <w:rsid w:val="003A592A"/>
    <w:rsid w:val="003B5120"/>
    <w:rsid w:val="003C6804"/>
    <w:rsid w:val="003C6881"/>
    <w:rsid w:val="003D327C"/>
    <w:rsid w:val="003E0A98"/>
    <w:rsid w:val="00402F34"/>
    <w:rsid w:val="00404D6C"/>
    <w:rsid w:val="00435259"/>
    <w:rsid w:val="0044493E"/>
    <w:rsid w:val="004459A0"/>
    <w:rsid w:val="0045686F"/>
    <w:rsid w:val="0046089E"/>
    <w:rsid w:val="00463348"/>
    <w:rsid w:val="004727E1"/>
    <w:rsid w:val="004A23C8"/>
    <w:rsid w:val="004B0BD2"/>
    <w:rsid w:val="004B76E7"/>
    <w:rsid w:val="004C7F57"/>
    <w:rsid w:val="004D7BCC"/>
    <w:rsid w:val="0052265A"/>
    <w:rsid w:val="00533653"/>
    <w:rsid w:val="0053617E"/>
    <w:rsid w:val="00536B97"/>
    <w:rsid w:val="0055125A"/>
    <w:rsid w:val="00574844"/>
    <w:rsid w:val="00581F95"/>
    <w:rsid w:val="005A0CD2"/>
    <w:rsid w:val="005A69C0"/>
    <w:rsid w:val="005B35D2"/>
    <w:rsid w:val="005C1450"/>
    <w:rsid w:val="005C4695"/>
    <w:rsid w:val="005D53EF"/>
    <w:rsid w:val="00600513"/>
    <w:rsid w:val="00606F62"/>
    <w:rsid w:val="00607A47"/>
    <w:rsid w:val="00611DD1"/>
    <w:rsid w:val="006324FA"/>
    <w:rsid w:val="00633D60"/>
    <w:rsid w:val="006347B7"/>
    <w:rsid w:val="00637719"/>
    <w:rsid w:val="00644C9D"/>
    <w:rsid w:val="00645399"/>
    <w:rsid w:val="006504A7"/>
    <w:rsid w:val="0067626A"/>
    <w:rsid w:val="006849DD"/>
    <w:rsid w:val="00686E8A"/>
    <w:rsid w:val="006A30D3"/>
    <w:rsid w:val="006A4252"/>
    <w:rsid w:val="006A4C5F"/>
    <w:rsid w:val="006B2F9F"/>
    <w:rsid w:val="006B42AF"/>
    <w:rsid w:val="006C0D9F"/>
    <w:rsid w:val="006E4183"/>
    <w:rsid w:val="006E7156"/>
    <w:rsid w:val="00716BE6"/>
    <w:rsid w:val="00720AC4"/>
    <w:rsid w:val="007240D1"/>
    <w:rsid w:val="00747F06"/>
    <w:rsid w:val="00753142"/>
    <w:rsid w:val="0076683C"/>
    <w:rsid w:val="0077143E"/>
    <w:rsid w:val="0079677E"/>
    <w:rsid w:val="007D09FA"/>
    <w:rsid w:val="007D1681"/>
    <w:rsid w:val="007D4136"/>
    <w:rsid w:val="007F325E"/>
    <w:rsid w:val="007F3B39"/>
    <w:rsid w:val="007F3CBA"/>
    <w:rsid w:val="008815BB"/>
    <w:rsid w:val="008843A5"/>
    <w:rsid w:val="00890294"/>
    <w:rsid w:val="00891C54"/>
    <w:rsid w:val="008C50FE"/>
    <w:rsid w:val="009179BD"/>
    <w:rsid w:val="00922DB4"/>
    <w:rsid w:val="009349F5"/>
    <w:rsid w:val="00942495"/>
    <w:rsid w:val="00946A2D"/>
    <w:rsid w:val="00952375"/>
    <w:rsid w:val="009653B4"/>
    <w:rsid w:val="00985687"/>
    <w:rsid w:val="009C740B"/>
    <w:rsid w:val="009D57A1"/>
    <w:rsid w:val="00A15D04"/>
    <w:rsid w:val="00A34F2B"/>
    <w:rsid w:val="00A42597"/>
    <w:rsid w:val="00A560DB"/>
    <w:rsid w:val="00A564BE"/>
    <w:rsid w:val="00A827B7"/>
    <w:rsid w:val="00AA6296"/>
    <w:rsid w:val="00AB6753"/>
    <w:rsid w:val="00AC37F1"/>
    <w:rsid w:val="00B129AA"/>
    <w:rsid w:val="00B2426E"/>
    <w:rsid w:val="00B24291"/>
    <w:rsid w:val="00B322AA"/>
    <w:rsid w:val="00B60F48"/>
    <w:rsid w:val="00B70BE9"/>
    <w:rsid w:val="00B960D0"/>
    <w:rsid w:val="00B96AD8"/>
    <w:rsid w:val="00BA11A4"/>
    <w:rsid w:val="00BE6289"/>
    <w:rsid w:val="00BF026C"/>
    <w:rsid w:val="00BF5B5E"/>
    <w:rsid w:val="00C049C4"/>
    <w:rsid w:val="00C05124"/>
    <w:rsid w:val="00C463EC"/>
    <w:rsid w:val="00C5299A"/>
    <w:rsid w:val="00C623BE"/>
    <w:rsid w:val="00C74915"/>
    <w:rsid w:val="00C76C5E"/>
    <w:rsid w:val="00C87018"/>
    <w:rsid w:val="00C87869"/>
    <w:rsid w:val="00C92C4B"/>
    <w:rsid w:val="00C95075"/>
    <w:rsid w:val="00CB6593"/>
    <w:rsid w:val="00CB67E0"/>
    <w:rsid w:val="00CC1B43"/>
    <w:rsid w:val="00CC2CDB"/>
    <w:rsid w:val="00CD28A2"/>
    <w:rsid w:val="00D03B7D"/>
    <w:rsid w:val="00D07472"/>
    <w:rsid w:val="00D20E88"/>
    <w:rsid w:val="00D304E3"/>
    <w:rsid w:val="00D35484"/>
    <w:rsid w:val="00D56139"/>
    <w:rsid w:val="00D77CEE"/>
    <w:rsid w:val="00DA4836"/>
    <w:rsid w:val="00DC10E7"/>
    <w:rsid w:val="00DC33EA"/>
    <w:rsid w:val="00DE67D5"/>
    <w:rsid w:val="00E270E9"/>
    <w:rsid w:val="00E636EE"/>
    <w:rsid w:val="00E7023A"/>
    <w:rsid w:val="00E777C3"/>
    <w:rsid w:val="00E907B2"/>
    <w:rsid w:val="00E97D4E"/>
    <w:rsid w:val="00EA7CA6"/>
    <w:rsid w:val="00EB21B1"/>
    <w:rsid w:val="00EB6224"/>
    <w:rsid w:val="00EE5271"/>
    <w:rsid w:val="00EF5808"/>
    <w:rsid w:val="00F22952"/>
    <w:rsid w:val="00F559C9"/>
    <w:rsid w:val="00FB11B4"/>
    <w:rsid w:val="00FB1B60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77260-F2AF-B045-91A2-A14A9E0D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881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C6881"/>
    <w:pPr>
      <w:spacing w:after="0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881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3C6881"/>
    <w:rPr>
      <w:rFonts w:ascii="Calibri" w:eastAsia="Calibri" w:hAnsi="Calibri" w:cs="Times New Roman"/>
      <w:sz w:val="22"/>
      <w:szCs w:val="22"/>
    </w:rPr>
  </w:style>
  <w:style w:type="character" w:styleId="FootnoteReference">
    <w:name w:val="footnote reference"/>
    <w:uiPriority w:val="99"/>
    <w:semiHidden/>
    <w:unhideWhenUsed/>
    <w:rsid w:val="003C6881"/>
    <w:rPr>
      <w:vertAlign w:val="superscript"/>
    </w:rPr>
  </w:style>
  <w:style w:type="character" w:styleId="Hyperlink">
    <w:name w:val="Hyperlink"/>
    <w:uiPriority w:val="99"/>
    <w:semiHidden/>
    <w:unhideWhenUsed/>
    <w:rsid w:val="003C68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A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8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21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9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49F5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349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49F5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B.Bayartsengel</cp:lastModifiedBy>
  <cp:revision>2</cp:revision>
  <cp:lastPrinted>2022-01-25T09:46:00Z</cp:lastPrinted>
  <dcterms:created xsi:type="dcterms:W3CDTF">2022-03-25T04:46:00Z</dcterms:created>
  <dcterms:modified xsi:type="dcterms:W3CDTF">2022-03-25T04:46:00Z</dcterms:modified>
</cp:coreProperties>
</file>