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4.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drawings/drawing5.xml" ContentType="application/vnd.openxmlformats-officedocument.drawingml.chartshapes+xml"/>
  <Override PartName="/word/charts/chart14.xml" ContentType="application/vnd.openxmlformats-officedocument.drawingml.chart+xml"/>
  <Override PartName="/word/drawings/drawing6.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F10E" w14:textId="77777777" w:rsidR="00B052FA" w:rsidRPr="0046672D" w:rsidRDefault="00B052FA" w:rsidP="00B052FA">
      <w:pPr>
        <w:pStyle w:val="ListParagraph"/>
        <w:spacing w:line="360" w:lineRule="auto"/>
        <w:ind w:left="360"/>
        <w:jc w:val="center"/>
        <w:rPr>
          <w:rFonts w:ascii="Arial" w:hAnsi="Arial" w:cs="Arial"/>
          <w:sz w:val="40"/>
          <w:szCs w:val="40"/>
          <w:lang w:val="mn-MN"/>
        </w:rPr>
      </w:pPr>
      <w:bookmarkStart w:id="0" w:name="_GoBack"/>
      <w:bookmarkEnd w:id="0"/>
    </w:p>
    <w:p w14:paraId="21DDE23E" w14:textId="77777777" w:rsidR="00B052FA" w:rsidRPr="0046672D" w:rsidRDefault="00B052FA" w:rsidP="00B052FA">
      <w:pPr>
        <w:pStyle w:val="ListParagraph"/>
        <w:spacing w:line="360" w:lineRule="auto"/>
        <w:ind w:left="360"/>
        <w:jc w:val="center"/>
        <w:rPr>
          <w:rFonts w:ascii="Arial" w:hAnsi="Arial" w:cs="Arial"/>
          <w:sz w:val="40"/>
          <w:szCs w:val="40"/>
          <w:lang w:val="mn-MN"/>
        </w:rPr>
      </w:pPr>
    </w:p>
    <w:p w14:paraId="2688CCBA" w14:textId="77777777" w:rsidR="00B052FA" w:rsidRPr="0046672D" w:rsidRDefault="00B052FA" w:rsidP="00B052FA">
      <w:pPr>
        <w:pStyle w:val="ListParagraph"/>
        <w:spacing w:line="360" w:lineRule="auto"/>
        <w:ind w:left="360"/>
        <w:jc w:val="center"/>
        <w:rPr>
          <w:rFonts w:ascii="Arial" w:hAnsi="Arial" w:cs="Arial"/>
          <w:sz w:val="40"/>
          <w:szCs w:val="40"/>
          <w:lang w:val="mn-MN"/>
        </w:rPr>
      </w:pPr>
    </w:p>
    <w:p w14:paraId="758506CB" w14:textId="77777777" w:rsidR="00B052FA" w:rsidRPr="0046672D" w:rsidRDefault="00B052FA" w:rsidP="00B052FA">
      <w:pPr>
        <w:pStyle w:val="ListParagraph"/>
        <w:spacing w:line="360" w:lineRule="auto"/>
        <w:ind w:left="360"/>
        <w:jc w:val="center"/>
        <w:rPr>
          <w:rFonts w:ascii="Arial" w:hAnsi="Arial" w:cs="Arial"/>
          <w:sz w:val="40"/>
          <w:szCs w:val="40"/>
          <w:lang w:val="mn-MN"/>
        </w:rPr>
      </w:pPr>
    </w:p>
    <w:p w14:paraId="618D8774" w14:textId="77777777" w:rsidR="00B052FA" w:rsidRPr="0046672D" w:rsidRDefault="00B052FA" w:rsidP="00B052FA">
      <w:pPr>
        <w:pStyle w:val="ListParagraph"/>
        <w:spacing w:line="360" w:lineRule="auto"/>
        <w:ind w:left="360"/>
        <w:jc w:val="center"/>
        <w:rPr>
          <w:rFonts w:ascii="Arial" w:hAnsi="Arial" w:cs="Arial"/>
          <w:sz w:val="40"/>
          <w:szCs w:val="40"/>
          <w:lang w:val="mn-MN"/>
        </w:rPr>
      </w:pPr>
    </w:p>
    <w:p w14:paraId="28BE46F5" w14:textId="77777777" w:rsidR="00B052FA" w:rsidRPr="0046672D" w:rsidRDefault="00B052FA" w:rsidP="00B052FA">
      <w:pPr>
        <w:pStyle w:val="ListParagraph"/>
        <w:spacing w:line="360" w:lineRule="auto"/>
        <w:ind w:left="360"/>
        <w:jc w:val="center"/>
        <w:rPr>
          <w:rFonts w:ascii="Arial" w:hAnsi="Arial" w:cs="Arial"/>
          <w:sz w:val="40"/>
          <w:szCs w:val="40"/>
          <w:lang w:val="mn-MN"/>
        </w:rPr>
      </w:pPr>
    </w:p>
    <w:p w14:paraId="1FDEB200" w14:textId="77777777" w:rsidR="00B052FA" w:rsidRPr="0046672D" w:rsidRDefault="00B052FA" w:rsidP="00B052FA">
      <w:pPr>
        <w:pStyle w:val="ListParagraph"/>
        <w:spacing w:line="360" w:lineRule="auto"/>
        <w:ind w:left="360"/>
        <w:jc w:val="center"/>
        <w:rPr>
          <w:rFonts w:ascii="Arial" w:hAnsi="Arial" w:cs="Arial"/>
          <w:sz w:val="40"/>
          <w:szCs w:val="40"/>
          <w:lang w:val="mn-MN"/>
        </w:rPr>
      </w:pPr>
    </w:p>
    <w:p w14:paraId="6E195401" w14:textId="77777777" w:rsidR="00B052FA" w:rsidRPr="0046672D" w:rsidRDefault="00B052FA" w:rsidP="00B052FA">
      <w:pPr>
        <w:pStyle w:val="ListParagraph"/>
        <w:pBdr>
          <w:top w:val="single" w:sz="4" w:space="1" w:color="auto"/>
          <w:bottom w:val="single" w:sz="4" w:space="1" w:color="auto"/>
        </w:pBdr>
        <w:spacing w:line="360" w:lineRule="auto"/>
        <w:ind w:left="360"/>
        <w:jc w:val="center"/>
        <w:rPr>
          <w:rFonts w:ascii="Arial" w:hAnsi="Arial" w:cs="Arial"/>
          <w:sz w:val="40"/>
          <w:szCs w:val="40"/>
          <w:lang w:val="mn-MN"/>
        </w:rPr>
      </w:pPr>
      <w:r w:rsidRPr="0046672D">
        <w:rPr>
          <w:rFonts w:ascii="Arial" w:hAnsi="Arial" w:cs="Arial"/>
          <w:sz w:val="40"/>
          <w:szCs w:val="40"/>
          <w:lang w:val="mn-MN"/>
        </w:rPr>
        <w:t>МОНГОЛ УЛСЫН ЗАСГИЙН ГАЗРЫН 2019-2022 ОНЫ СТРАТЕГИЙН БАРИМТ БИЧГИЙН ХЭРЭГЖИЛТИЙН ТАЙЛАН</w:t>
      </w:r>
    </w:p>
    <w:p w14:paraId="5CB8A892" w14:textId="77777777" w:rsidR="00B052FA" w:rsidRPr="0046672D" w:rsidRDefault="00B052FA" w:rsidP="00B052FA">
      <w:pPr>
        <w:pStyle w:val="ListParagraph"/>
        <w:spacing w:line="360" w:lineRule="auto"/>
        <w:ind w:left="360"/>
        <w:jc w:val="center"/>
        <w:rPr>
          <w:rFonts w:ascii="Arial" w:hAnsi="Arial" w:cs="Arial"/>
          <w:lang w:val="mn-MN"/>
        </w:rPr>
      </w:pPr>
    </w:p>
    <w:p w14:paraId="3327DCCE" w14:textId="77777777" w:rsidR="00B052FA" w:rsidRPr="0046672D" w:rsidRDefault="00B052FA" w:rsidP="00B052FA">
      <w:pPr>
        <w:pStyle w:val="ListParagraph"/>
        <w:spacing w:line="360" w:lineRule="auto"/>
        <w:ind w:left="360"/>
        <w:jc w:val="center"/>
        <w:rPr>
          <w:rFonts w:ascii="Arial" w:hAnsi="Arial" w:cs="Arial"/>
          <w:lang w:val="mn-MN"/>
        </w:rPr>
      </w:pPr>
    </w:p>
    <w:p w14:paraId="1B4E96AA" w14:textId="77777777" w:rsidR="00B052FA" w:rsidRPr="0046672D" w:rsidRDefault="00B052FA" w:rsidP="00B052FA">
      <w:pPr>
        <w:pStyle w:val="ListParagraph"/>
        <w:spacing w:line="360" w:lineRule="auto"/>
        <w:ind w:left="360"/>
        <w:jc w:val="center"/>
        <w:rPr>
          <w:rFonts w:ascii="Arial" w:hAnsi="Arial" w:cs="Arial"/>
          <w:lang w:val="mn-MN"/>
        </w:rPr>
      </w:pPr>
    </w:p>
    <w:p w14:paraId="30F6CAB4" w14:textId="77777777" w:rsidR="00B052FA" w:rsidRPr="0046672D" w:rsidRDefault="00B052FA" w:rsidP="00B052FA">
      <w:pPr>
        <w:pStyle w:val="ListParagraph"/>
        <w:spacing w:line="360" w:lineRule="auto"/>
        <w:ind w:left="360"/>
        <w:jc w:val="center"/>
        <w:rPr>
          <w:rFonts w:ascii="Arial" w:hAnsi="Arial" w:cs="Arial"/>
          <w:lang w:val="mn-MN"/>
        </w:rPr>
      </w:pPr>
    </w:p>
    <w:p w14:paraId="06CB3828" w14:textId="77777777" w:rsidR="00B052FA" w:rsidRPr="0046672D" w:rsidRDefault="00B052FA" w:rsidP="00B052FA">
      <w:pPr>
        <w:pStyle w:val="ListParagraph"/>
        <w:spacing w:line="360" w:lineRule="auto"/>
        <w:ind w:left="360"/>
        <w:jc w:val="center"/>
        <w:rPr>
          <w:rFonts w:ascii="Arial" w:hAnsi="Arial" w:cs="Arial"/>
          <w:lang w:val="mn-MN"/>
        </w:rPr>
      </w:pPr>
    </w:p>
    <w:p w14:paraId="3D360510" w14:textId="77777777" w:rsidR="00B052FA" w:rsidRPr="0046672D" w:rsidRDefault="00B052FA" w:rsidP="00B052FA">
      <w:pPr>
        <w:pStyle w:val="ListParagraph"/>
        <w:spacing w:line="360" w:lineRule="auto"/>
        <w:ind w:left="360"/>
        <w:jc w:val="center"/>
        <w:rPr>
          <w:rFonts w:ascii="Arial" w:hAnsi="Arial" w:cs="Arial"/>
          <w:lang w:val="mn-MN"/>
        </w:rPr>
      </w:pPr>
    </w:p>
    <w:p w14:paraId="5C6D08EF" w14:textId="77777777" w:rsidR="00B052FA" w:rsidRPr="0046672D" w:rsidRDefault="00B052FA" w:rsidP="00B052FA">
      <w:pPr>
        <w:pStyle w:val="ListParagraph"/>
        <w:spacing w:line="360" w:lineRule="auto"/>
        <w:ind w:left="360"/>
        <w:jc w:val="center"/>
        <w:rPr>
          <w:rFonts w:ascii="Arial" w:hAnsi="Arial" w:cs="Arial"/>
          <w:lang w:val="mn-MN"/>
        </w:rPr>
      </w:pPr>
    </w:p>
    <w:p w14:paraId="5DFC95A9" w14:textId="77777777" w:rsidR="00B052FA" w:rsidRPr="0046672D" w:rsidRDefault="00B052FA" w:rsidP="00B052FA">
      <w:pPr>
        <w:pStyle w:val="ListParagraph"/>
        <w:spacing w:line="360" w:lineRule="auto"/>
        <w:ind w:left="360"/>
        <w:jc w:val="center"/>
        <w:rPr>
          <w:rFonts w:ascii="Arial" w:hAnsi="Arial" w:cs="Arial"/>
          <w:lang w:val="mn-MN"/>
        </w:rPr>
      </w:pPr>
    </w:p>
    <w:p w14:paraId="3E065042" w14:textId="77777777" w:rsidR="00B052FA" w:rsidRPr="0046672D" w:rsidRDefault="00B052FA" w:rsidP="00B052FA">
      <w:pPr>
        <w:pStyle w:val="ListParagraph"/>
        <w:spacing w:line="360" w:lineRule="auto"/>
        <w:ind w:left="360"/>
        <w:jc w:val="center"/>
        <w:rPr>
          <w:rFonts w:ascii="Arial" w:hAnsi="Arial" w:cs="Arial"/>
          <w:lang w:val="mn-MN"/>
        </w:rPr>
      </w:pPr>
    </w:p>
    <w:p w14:paraId="1341C1FB" w14:textId="77777777" w:rsidR="00B052FA" w:rsidRPr="0046672D" w:rsidRDefault="00B052FA" w:rsidP="00B052FA">
      <w:pPr>
        <w:pStyle w:val="ListParagraph"/>
        <w:spacing w:line="360" w:lineRule="auto"/>
        <w:ind w:left="360"/>
        <w:jc w:val="center"/>
        <w:rPr>
          <w:rFonts w:ascii="Arial" w:hAnsi="Arial" w:cs="Arial"/>
          <w:lang w:val="mn-MN"/>
        </w:rPr>
      </w:pPr>
    </w:p>
    <w:p w14:paraId="5CBB7108" w14:textId="77777777" w:rsidR="00B052FA" w:rsidRPr="0046672D" w:rsidRDefault="00B052FA" w:rsidP="00B052FA">
      <w:pPr>
        <w:pStyle w:val="ListParagraph"/>
        <w:spacing w:line="360" w:lineRule="auto"/>
        <w:ind w:left="360"/>
        <w:jc w:val="center"/>
        <w:rPr>
          <w:rFonts w:ascii="Arial" w:hAnsi="Arial" w:cs="Arial"/>
          <w:lang w:val="mn-MN"/>
        </w:rPr>
      </w:pPr>
    </w:p>
    <w:p w14:paraId="1DEC1840" w14:textId="77777777" w:rsidR="00B052FA" w:rsidRPr="0046672D" w:rsidRDefault="00B052FA" w:rsidP="00B052FA">
      <w:pPr>
        <w:pStyle w:val="ListParagraph"/>
        <w:spacing w:line="360" w:lineRule="auto"/>
        <w:ind w:left="360"/>
        <w:jc w:val="center"/>
        <w:rPr>
          <w:rFonts w:ascii="Arial" w:hAnsi="Arial" w:cs="Arial"/>
          <w:lang w:val="mn-MN"/>
        </w:rPr>
      </w:pPr>
    </w:p>
    <w:p w14:paraId="056B08A6" w14:textId="77777777" w:rsidR="00B052FA" w:rsidRPr="0046672D" w:rsidRDefault="00B052FA" w:rsidP="00B052FA">
      <w:pPr>
        <w:pStyle w:val="ListParagraph"/>
        <w:spacing w:line="360" w:lineRule="auto"/>
        <w:ind w:left="360"/>
        <w:jc w:val="center"/>
        <w:rPr>
          <w:rFonts w:ascii="Arial" w:hAnsi="Arial" w:cs="Arial"/>
          <w:lang w:val="mn-MN"/>
        </w:rPr>
      </w:pPr>
    </w:p>
    <w:p w14:paraId="0F75B46C" w14:textId="4AB8E51E" w:rsidR="00B052FA" w:rsidRPr="0046672D" w:rsidRDefault="00B052FA" w:rsidP="00B052FA">
      <w:pPr>
        <w:pStyle w:val="ListParagraph"/>
        <w:spacing w:line="360" w:lineRule="auto"/>
        <w:ind w:left="360"/>
        <w:jc w:val="center"/>
        <w:rPr>
          <w:rFonts w:ascii="Arial" w:hAnsi="Arial" w:cs="Arial"/>
          <w:lang w:val="mn-MN"/>
        </w:rPr>
        <w:sectPr w:rsidR="00B052FA" w:rsidRPr="0046672D" w:rsidSect="00B052FA">
          <w:footerReference w:type="default" r:id="rId12"/>
          <w:footerReference w:type="first" r:id="rId13"/>
          <w:type w:val="continuous"/>
          <w:pgSz w:w="12240" w:h="15840"/>
          <w:pgMar w:top="1440" w:right="1440" w:bottom="1440" w:left="1440" w:header="720" w:footer="720" w:gutter="0"/>
          <w:pgNumType w:start="1"/>
          <w:cols w:space="720"/>
          <w:titlePg/>
          <w:docGrid w:linePitch="360"/>
        </w:sectPr>
      </w:pPr>
    </w:p>
    <w:p w14:paraId="3197546C" w14:textId="77777777" w:rsidR="00B052FA" w:rsidRPr="0046672D" w:rsidRDefault="00B052FA" w:rsidP="00B052FA">
      <w:pPr>
        <w:rPr>
          <w:rFonts w:ascii="Arial" w:hAnsi="Arial" w:cs="Arial"/>
          <w:color w:val="000000" w:themeColor="text1"/>
          <w:sz w:val="24"/>
          <w:szCs w:val="24"/>
          <w:lang w:val="mn-MN"/>
        </w:rPr>
      </w:pPr>
    </w:p>
    <w:p w14:paraId="158E8E20" w14:textId="77777777" w:rsidR="00B052FA" w:rsidRPr="0046672D" w:rsidRDefault="00B052FA" w:rsidP="00FE3633">
      <w:pPr>
        <w:pStyle w:val="ListParagraph"/>
        <w:numPr>
          <w:ilvl w:val="0"/>
          <w:numId w:val="13"/>
        </w:numPr>
        <w:rPr>
          <w:rFonts w:ascii="Arial" w:hAnsi="Arial" w:cs="Arial"/>
          <w:b/>
          <w:bCs/>
          <w:color w:val="000000" w:themeColor="text1"/>
          <w:sz w:val="24"/>
          <w:szCs w:val="24"/>
          <w:lang w:val="mn-MN"/>
        </w:rPr>
      </w:pPr>
      <w:r w:rsidRPr="0046672D">
        <w:rPr>
          <w:rFonts w:ascii="Arial" w:hAnsi="Arial" w:cs="Arial"/>
          <w:b/>
          <w:bCs/>
          <w:color w:val="000000" w:themeColor="text1"/>
          <w:sz w:val="24"/>
          <w:szCs w:val="24"/>
          <w:lang w:val="mn-MN"/>
        </w:rPr>
        <w:t>ӨМНӨТГӨЛ</w:t>
      </w:r>
    </w:p>
    <w:p w14:paraId="18EF21C4" w14:textId="77777777" w:rsidR="00B052FA" w:rsidRPr="0046672D" w:rsidRDefault="00B052FA" w:rsidP="00B052FA">
      <w:pPr>
        <w:pStyle w:val="paragraph"/>
        <w:spacing w:before="0" w:beforeAutospacing="0" w:after="120" w:afterAutospacing="0"/>
        <w:ind w:firstLine="720"/>
        <w:jc w:val="both"/>
        <w:textAlignment w:val="baseline"/>
        <w:rPr>
          <w:rFonts w:ascii="Arial" w:hAnsi="Arial" w:cs="Arial"/>
          <w:lang w:val="mn-MN"/>
        </w:rPr>
      </w:pPr>
      <w:r w:rsidRPr="0046672D">
        <w:rPr>
          <w:rStyle w:val="normaltextrun"/>
          <w:rFonts w:ascii="Arial" w:eastAsiaTheme="majorEastAsia" w:hAnsi="Arial" w:cs="Arial"/>
          <w:lang w:val="mn-MN"/>
        </w:rPr>
        <w:t>Монгол Улсын Их Хурлаас  2015 оны 02 дугаар сарын 18-ны өдөр. “Засгийн газрын өрийн зохистой түвшнийг хангах, дунд хугацааны өрийн удирдлагын стратегийг хэрэгжүүлэх, өр үүсгэх, Засгийн газрын өрийн баталгаа гаргахтай холбогдсон харилцааг зохицуулах” зорилготой Өрийн удирдлагын тухай хуулийг баталсан .</w:t>
      </w:r>
      <w:r w:rsidRPr="0046672D">
        <w:rPr>
          <w:rStyle w:val="eop"/>
          <w:rFonts w:ascii="Arial" w:hAnsi="Arial" w:cs="Arial"/>
          <w:lang w:val="mn-MN"/>
        </w:rPr>
        <w:t> </w:t>
      </w:r>
    </w:p>
    <w:p w14:paraId="28EF2243" w14:textId="77777777" w:rsidR="00B052FA" w:rsidRPr="0046672D" w:rsidRDefault="00B052FA" w:rsidP="00B052FA">
      <w:pPr>
        <w:pStyle w:val="paragraph"/>
        <w:spacing w:before="0" w:beforeAutospacing="0" w:after="120" w:afterAutospacing="0"/>
        <w:ind w:firstLine="720"/>
        <w:jc w:val="both"/>
        <w:textAlignment w:val="baseline"/>
        <w:rPr>
          <w:rFonts w:ascii="Arial" w:hAnsi="Arial" w:cs="Arial"/>
          <w:lang w:val="mn-MN"/>
        </w:rPr>
      </w:pPr>
      <w:r w:rsidRPr="0046672D">
        <w:rPr>
          <w:rStyle w:val="normaltextrun"/>
          <w:rFonts w:ascii="Arial" w:eastAsiaTheme="majorEastAsia" w:hAnsi="Arial" w:cs="Arial"/>
          <w:lang w:val="mn-MN"/>
        </w:rPr>
        <w:t>Өрийн удирдлагын тухай хуульд Засгийн газрын өрийн удирдлагын дунд хугацааны стратегийг бодлогын баримт бичгээр тодорхойлохоор заасан ба хуулийн 13.1-д өрийн удирдлагын стратегийн зорилгыг “макро эдийн засгийн тогтвортой байдлыг хадгалж, Засгийн газрын санхүүгийн хэрэгцээг боломжит эрсдэлийн түвшинд, хамгийн бага зардлаар санхүүжүүлэх, Засгийн газрын дотоод үнэт цаасны зах зээлийг дэмжихэд чиглэнэ” гэж тодорхойлсон байдаг.</w:t>
      </w:r>
      <w:r w:rsidRPr="0046672D">
        <w:rPr>
          <w:rStyle w:val="eop"/>
          <w:rFonts w:ascii="Arial" w:hAnsi="Arial" w:cs="Arial"/>
          <w:lang w:val="mn-MN"/>
        </w:rPr>
        <w:t> </w:t>
      </w:r>
    </w:p>
    <w:p w14:paraId="790237CF" w14:textId="77327667" w:rsidR="00B052FA" w:rsidRPr="0046672D" w:rsidRDefault="00B052FA" w:rsidP="00B052FA">
      <w:pPr>
        <w:pStyle w:val="paragraph"/>
        <w:spacing w:before="0" w:beforeAutospacing="0" w:after="120" w:afterAutospacing="0"/>
        <w:ind w:firstLine="720"/>
        <w:jc w:val="both"/>
        <w:textAlignment w:val="baseline"/>
        <w:rPr>
          <w:rFonts w:ascii="Arial" w:hAnsi="Arial" w:cs="Arial"/>
          <w:lang w:val="mn-MN"/>
        </w:rPr>
      </w:pPr>
      <w:r w:rsidRPr="0046672D">
        <w:rPr>
          <w:rStyle w:val="normaltextrun"/>
          <w:rFonts w:ascii="Arial" w:eastAsiaTheme="majorEastAsia" w:hAnsi="Arial" w:cs="Arial"/>
          <w:lang w:val="mn-MN"/>
        </w:rPr>
        <w:t>Өрийн удирдлагын тухай хуулийн 14.2-т “Санхүү, төсвийн асуудал эрхэлсэн төрийн захиргааны төв байгууллага нь стратегийн баримт бичгийг боловсруулж, тухайн төсвийн жилийн дунд хугацааны төсвийн хүрээний мэдэгдлийн хамт гурван жилд нэг удаа Төсвийн тухай хуулийн 8.1-д заасан цаглабрын дагуу батлуулна” гэсний дагуу Улсын Их Хурлын 2019 оны 5 дугаар сарын 30-ны өдрийн 55 дугаар тогтоолоор “Засгийн газрын өрийн удирдлагын 2019-2022 оны стратегийн баримт бичиг”-ийг баталсан. </w:t>
      </w:r>
      <w:r w:rsidRPr="0046672D">
        <w:rPr>
          <w:rStyle w:val="eop"/>
          <w:rFonts w:ascii="Arial" w:hAnsi="Arial" w:cs="Arial"/>
          <w:lang w:val="mn-MN"/>
        </w:rPr>
        <w:t> </w:t>
      </w:r>
    </w:p>
    <w:p w14:paraId="6523E760" w14:textId="77777777" w:rsidR="00B052FA" w:rsidRPr="0046672D" w:rsidRDefault="00B052FA" w:rsidP="00B052FA">
      <w:pPr>
        <w:pStyle w:val="paragraph"/>
        <w:spacing w:before="0" w:beforeAutospacing="0" w:after="120" w:afterAutospacing="0"/>
        <w:ind w:firstLine="720"/>
        <w:jc w:val="both"/>
        <w:textAlignment w:val="baseline"/>
        <w:rPr>
          <w:rFonts w:ascii="Arial" w:hAnsi="Arial" w:cs="Arial"/>
          <w:lang w:val="mn-MN"/>
        </w:rPr>
      </w:pPr>
      <w:r w:rsidRPr="0046672D">
        <w:rPr>
          <w:rStyle w:val="normaltextrun"/>
          <w:rFonts w:ascii="Arial" w:eastAsiaTheme="majorEastAsia" w:hAnsi="Arial" w:cs="Arial"/>
          <w:lang w:val="mn-MN"/>
        </w:rPr>
        <w:t>Стратегийн баримт бичигт дунд хугацаанд өрийн удирдлагын чиглэлээр баримтлах үндсэн 5 зорилт, хэрэгжүүлэх арга хэмжээ болон Засгийн газрын өрийн багцын зорилтот  бүтцийн хувьд 4 шалгуур үзүүлэлтийн хүрэх түвшнийг тодорхойлсон. Үүнд дахин санхүүжилт хийхээс өөрөөр арилжааны нөхцөлтэй гадаад зээллэг хийхээс татгалзах, Засгийн газрын дотоод үнэт цаасны арилжаанд орчин үеийн дэвшилтэт технологи ашигласан систем нэвтрүүлэх, Засгийн газрын гадаад, дотоод үнэт цаас, зээлийн төлбөрүүдийг эдийн засаг төсөвт дарамт учруулахгүйгээр төлж дахин санхүүжилтийн эрсдэлийг бууруулах, барих-шилжүүлэх төрлийн концессын гэрээ байгуулах, өрийн бичиг үүсгэх зэрэг өрийн хэрэгслээр өрийг нэмэгдүүлэхгүй байх бодлогыг баримтлахаар заасан. </w:t>
      </w:r>
      <w:r w:rsidRPr="0046672D">
        <w:rPr>
          <w:rStyle w:val="eop"/>
          <w:rFonts w:ascii="Arial" w:hAnsi="Arial" w:cs="Arial"/>
          <w:lang w:val="mn-MN"/>
        </w:rPr>
        <w:t> </w:t>
      </w:r>
    </w:p>
    <w:p w14:paraId="2D702C5C" w14:textId="77777777" w:rsidR="00B052FA" w:rsidRPr="0046672D" w:rsidRDefault="00B052FA" w:rsidP="00B052FA">
      <w:pPr>
        <w:pStyle w:val="paragraph"/>
        <w:spacing w:before="0" w:beforeAutospacing="0" w:after="120" w:afterAutospacing="0"/>
        <w:ind w:firstLine="720"/>
        <w:jc w:val="both"/>
        <w:textAlignment w:val="baseline"/>
        <w:rPr>
          <w:rFonts w:ascii="Arial" w:hAnsi="Arial" w:cs="Arial"/>
          <w:lang w:val="mn-MN"/>
        </w:rPr>
      </w:pPr>
      <w:r w:rsidRPr="0046672D">
        <w:rPr>
          <w:rStyle w:val="normaltextrun"/>
          <w:rFonts w:ascii="Arial" w:eastAsiaTheme="majorEastAsia" w:hAnsi="Arial" w:cs="Arial"/>
          <w:lang w:val="mn-MN"/>
        </w:rPr>
        <w:t>Сангийн яамны зүгээс Өрийн удирдлагын тухай хуулийн 15.1.2-т “</w:t>
      </w:r>
      <w:r w:rsidRPr="0046672D">
        <w:rPr>
          <w:rFonts w:ascii="Arial" w:hAnsi="Arial" w:cs="Arial"/>
          <w:color w:val="333333"/>
          <w:shd w:val="clear" w:color="auto" w:fill="FFFFFF"/>
          <w:lang w:val="mn-MN"/>
        </w:rPr>
        <w:t>Стратегийн баримт бичгийн хэрэгжилтийн тайланг гурван жилд нэг удаа гаргаж, энэ хуульд заасны дагуу Улсын Их Хуралд хүргүүлэх</w:t>
      </w:r>
      <w:r w:rsidRPr="0046672D">
        <w:rPr>
          <w:rStyle w:val="normaltextrun"/>
          <w:rFonts w:ascii="Arial" w:eastAsiaTheme="majorEastAsia" w:hAnsi="Arial" w:cs="Arial"/>
          <w:lang w:val="mn-MN"/>
        </w:rPr>
        <w:t>” гэж заасныг үндэслэн  энэхүү тайланг боловсруулан тайлагнаж байна.</w:t>
      </w:r>
    </w:p>
    <w:p w14:paraId="4362A122" w14:textId="77777777" w:rsidR="00B052FA" w:rsidRPr="0046672D" w:rsidRDefault="00B052FA" w:rsidP="00B052FA">
      <w:pPr>
        <w:pStyle w:val="ListParagraph"/>
        <w:jc w:val="both"/>
        <w:rPr>
          <w:rFonts w:ascii="Arial" w:hAnsi="Arial" w:cs="Arial"/>
          <w:sz w:val="24"/>
          <w:szCs w:val="24"/>
          <w:lang w:val="mn-MN"/>
        </w:rPr>
      </w:pPr>
    </w:p>
    <w:p w14:paraId="39CC7BC7" w14:textId="77777777" w:rsidR="00B052FA" w:rsidRPr="0046672D" w:rsidRDefault="00B052FA" w:rsidP="00B052FA">
      <w:pPr>
        <w:ind w:left="720"/>
        <w:rPr>
          <w:rFonts w:ascii="Arial" w:hAnsi="Arial" w:cs="Arial"/>
          <w:color w:val="000000" w:themeColor="text1"/>
          <w:sz w:val="24"/>
          <w:szCs w:val="24"/>
          <w:lang w:val="mn-MN"/>
        </w:rPr>
      </w:pPr>
    </w:p>
    <w:p w14:paraId="74B566BE" w14:textId="77777777" w:rsidR="00B052FA" w:rsidRPr="0046672D" w:rsidRDefault="00B052FA" w:rsidP="00B052FA">
      <w:pPr>
        <w:ind w:left="720"/>
        <w:rPr>
          <w:rFonts w:ascii="Arial" w:hAnsi="Arial" w:cs="Arial"/>
          <w:color w:val="000000" w:themeColor="text1"/>
          <w:sz w:val="24"/>
          <w:szCs w:val="24"/>
          <w:lang w:val="mn-MN"/>
        </w:rPr>
      </w:pPr>
    </w:p>
    <w:p w14:paraId="6E3384FA" w14:textId="77777777" w:rsidR="00B052FA" w:rsidRPr="0046672D" w:rsidRDefault="00B052FA" w:rsidP="00B052FA">
      <w:pPr>
        <w:ind w:left="720"/>
        <w:rPr>
          <w:rFonts w:ascii="Arial" w:hAnsi="Arial" w:cs="Arial"/>
          <w:color w:val="000000" w:themeColor="text1"/>
          <w:sz w:val="24"/>
          <w:szCs w:val="24"/>
          <w:lang w:val="mn-MN"/>
        </w:rPr>
      </w:pPr>
    </w:p>
    <w:p w14:paraId="498151B2" w14:textId="77777777" w:rsidR="00B052FA" w:rsidRPr="0046672D" w:rsidRDefault="00B052FA" w:rsidP="00B052FA">
      <w:pPr>
        <w:ind w:left="720"/>
        <w:rPr>
          <w:rFonts w:ascii="Arial" w:hAnsi="Arial" w:cs="Arial"/>
          <w:color w:val="000000" w:themeColor="text1"/>
          <w:sz w:val="24"/>
          <w:szCs w:val="24"/>
          <w:lang w:val="mn-MN"/>
        </w:rPr>
      </w:pPr>
    </w:p>
    <w:p w14:paraId="7621DAC6" w14:textId="77777777" w:rsidR="00B052FA" w:rsidRPr="0046672D" w:rsidRDefault="00B052FA" w:rsidP="00B052FA">
      <w:pPr>
        <w:ind w:left="720"/>
        <w:rPr>
          <w:rFonts w:ascii="Arial" w:hAnsi="Arial" w:cs="Arial"/>
          <w:color w:val="000000" w:themeColor="text1"/>
          <w:sz w:val="24"/>
          <w:szCs w:val="24"/>
          <w:lang w:val="mn-MN"/>
        </w:rPr>
      </w:pPr>
    </w:p>
    <w:p w14:paraId="316D2973" w14:textId="77777777" w:rsidR="00B052FA" w:rsidRPr="0046672D" w:rsidRDefault="00B052FA" w:rsidP="00B052FA">
      <w:pPr>
        <w:ind w:left="720"/>
        <w:rPr>
          <w:rFonts w:ascii="Arial" w:hAnsi="Arial" w:cs="Arial"/>
          <w:color w:val="000000" w:themeColor="text1"/>
          <w:sz w:val="24"/>
          <w:szCs w:val="24"/>
          <w:lang w:val="mn-MN"/>
        </w:rPr>
      </w:pPr>
    </w:p>
    <w:p w14:paraId="64B52469" w14:textId="77777777" w:rsidR="00B052FA" w:rsidRPr="0046672D" w:rsidRDefault="00B052FA" w:rsidP="00B052FA">
      <w:pPr>
        <w:ind w:left="720"/>
        <w:rPr>
          <w:rFonts w:ascii="Arial" w:hAnsi="Arial" w:cs="Arial"/>
          <w:color w:val="000000" w:themeColor="text1"/>
          <w:sz w:val="24"/>
          <w:szCs w:val="24"/>
          <w:lang w:val="mn-MN"/>
        </w:rPr>
      </w:pPr>
    </w:p>
    <w:p w14:paraId="60263030" w14:textId="77777777" w:rsidR="00B052FA" w:rsidRPr="0046672D" w:rsidRDefault="00B052FA" w:rsidP="00B052FA">
      <w:pPr>
        <w:ind w:left="720"/>
        <w:rPr>
          <w:rFonts w:ascii="Arial" w:hAnsi="Arial" w:cs="Arial"/>
          <w:color w:val="000000" w:themeColor="text1"/>
          <w:sz w:val="24"/>
          <w:szCs w:val="24"/>
          <w:lang w:val="mn-MN"/>
        </w:rPr>
      </w:pPr>
    </w:p>
    <w:p w14:paraId="012802A5" w14:textId="77777777" w:rsidR="00B052FA" w:rsidRPr="0046672D" w:rsidRDefault="00B052FA" w:rsidP="00B052FA">
      <w:pPr>
        <w:ind w:left="720"/>
        <w:rPr>
          <w:rFonts w:ascii="Arial" w:hAnsi="Arial" w:cs="Arial"/>
          <w:color w:val="000000" w:themeColor="text1"/>
          <w:sz w:val="24"/>
          <w:szCs w:val="24"/>
          <w:lang w:val="mn-MN"/>
        </w:rPr>
      </w:pPr>
    </w:p>
    <w:p w14:paraId="76FA1369" w14:textId="77777777" w:rsidR="00B052FA" w:rsidRPr="0046672D" w:rsidRDefault="00B052FA" w:rsidP="00B052FA">
      <w:pPr>
        <w:ind w:left="720"/>
        <w:rPr>
          <w:rFonts w:ascii="Arial" w:hAnsi="Arial" w:cs="Arial"/>
          <w:color w:val="000000" w:themeColor="text1"/>
          <w:sz w:val="24"/>
          <w:szCs w:val="24"/>
          <w:lang w:val="mn-MN"/>
        </w:rPr>
      </w:pPr>
    </w:p>
    <w:p w14:paraId="72C78812" w14:textId="77777777" w:rsidR="00B052FA" w:rsidRPr="0046672D" w:rsidRDefault="00B052FA" w:rsidP="00FE3633">
      <w:pPr>
        <w:pStyle w:val="ListParagraph"/>
        <w:numPr>
          <w:ilvl w:val="0"/>
          <w:numId w:val="13"/>
        </w:numPr>
        <w:spacing w:before="240" w:line="22" w:lineRule="atLeast"/>
        <w:ind w:left="284" w:hanging="284"/>
        <w:jc w:val="both"/>
        <w:rPr>
          <w:rFonts w:ascii="Arial" w:hAnsi="Arial" w:cs="Arial"/>
          <w:b/>
          <w:bCs/>
          <w:sz w:val="24"/>
          <w:szCs w:val="24"/>
          <w:lang w:val="mn-MN"/>
        </w:rPr>
      </w:pPr>
      <w:r w:rsidRPr="0046672D">
        <w:rPr>
          <w:rFonts w:ascii="Arial" w:hAnsi="Arial" w:cs="Arial"/>
          <w:b/>
          <w:bCs/>
          <w:sz w:val="24"/>
          <w:szCs w:val="24"/>
          <w:lang w:val="mn-MN"/>
        </w:rPr>
        <w:t>ӨРИЙН ӨНӨӨГИЙН НӨХЦӨЛ БАЙДАЛ</w:t>
      </w:r>
    </w:p>
    <w:p w14:paraId="6BBC19B1" w14:textId="77777777" w:rsidR="00B052FA" w:rsidRPr="0046672D" w:rsidRDefault="00B052FA" w:rsidP="00B052FA">
      <w:pPr>
        <w:pStyle w:val="ListParagraph"/>
        <w:tabs>
          <w:tab w:val="left" w:pos="851"/>
        </w:tabs>
        <w:spacing w:before="240" w:line="22" w:lineRule="atLeast"/>
        <w:ind w:left="142"/>
        <w:jc w:val="both"/>
        <w:rPr>
          <w:rFonts w:ascii="Arial" w:hAnsi="Arial" w:cs="Arial"/>
          <w:sz w:val="24"/>
          <w:szCs w:val="24"/>
          <w:lang w:val="mn-MN"/>
        </w:rPr>
      </w:pPr>
    </w:p>
    <w:p w14:paraId="2A327E95" w14:textId="77777777" w:rsidR="00B052FA" w:rsidRPr="0046672D" w:rsidRDefault="00B052FA" w:rsidP="00B052FA">
      <w:pPr>
        <w:rPr>
          <w:rFonts w:ascii="Arial" w:hAnsi="Arial" w:cs="Arial"/>
          <w:b/>
          <w:bCs/>
          <w:sz w:val="24"/>
          <w:szCs w:val="24"/>
          <w:lang w:val="mn-MN"/>
        </w:rPr>
      </w:pPr>
      <w:r w:rsidRPr="0046672D">
        <w:rPr>
          <w:rFonts w:ascii="Arial" w:hAnsi="Arial" w:cs="Arial"/>
          <w:b/>
          <w:sz w:val="24"/>
          <w:szCs w:val="24"/>
          <w:lang w:val="mn-MN"/>
        </w:rPr>
        <w:t>2.1 Улсын нийт гадаад өр</w:t>
      </w:r>
    </w:p>
    <w:p w14:paraId="6E2EE787" w14:textId="77777777" w:rsidR="00B052FA" w:rsidRPr="0046672D" w:rsidRDefault="00B052FA" w:rsidP="00223B77">
      <w:pPr>
        <w:pStyle w:val="CommentText"/>
        <w:jc w:val="both"/>
        <w:rPr>
          <w:rFonts w:ascii="Arial" w:hAnsi="Arial" w:cs="Arial"/>
          <w:sz w:val="24"/>
          <w:szCs w:val="24"/>
          <w:lang w:val="mn-MN"/>
        </w:rPr>
      </w:pPr>
      <w:r w:rsidRPr="0046672D">
        <w:rPr>
          <w:rFonts w:ascii="Arial" w:hAnsi="Arial" w:cs="Arial"/>
          <w:sz w:val="24"/>
          <w:szCs w:val="24"/>
          <w:lang w:val="mn-MN"/>
        </w:rPr>
        <w:tab/>
        <w:t>Өрийн удирдлагын хуулийн 4.1.4-т “улсын нийт гадаад өр”-ийг Засгийн газар, орон нутаг, Монголбанк болон Монгол Улсад бүртгэлтэй аж ахуйн нэгжийн харьяат бус аливаа этгээдэд төлөх төлбөрийн үүрэг гэж тодорхойлсон өгсөн бөгөөд Монголбанк болон Сангийн яам хамтран улсын нийт гадаад өрийг ОУВС-ийн статистик боловсруулах 6 дугаар гарын авлагыг үндэслэн боловсруулсан “</w:t>
      </w:r>
      <w:r w:rsidRPr="0046672D">
        <w:rPr>
          <w:rFonts w:ascii="Arial" w:hAnsi="Arial" w:cs="Arial"/>
          <w:sz w:val="24"/>
          <w:lang w:val="mn-MN"/>
        </w:rPr>
        <w:t xml:space="preserve">Монгол Улсын төлбөрийн тэнцлийг боловсруулах аргачлал”-ын  </w:t>
      </w:r>
      <w:r w:rsidRPr="0046672D">
        <w:rPr>
          <w:rFonts w:ascii="Arial" w:hAnsi="Arial" w:cs="Arial"/>
          <w:sz w:val="24"/>
          <w:szCs w:val="24"/>
          <w:lang w:val="mn-MN"/>
        </w:rPr>
        <w:t xml:space="preserve">хүрээнд мэдээлэл түгээх ерөнхий шаардлагын дагуу 2010 оноос эхлэн боловсруулж, олон нийтэд мэдээлж байна. </w:t>
      </w:r>
    </w:p>
    <w:p w14:paraId="1875183D" w14:textId="77777777" w:rsidR="00B052FA" w:rsidRPr="0046672D" w:rsidRDefault="00B052FA" w:rsidP="00B052FA">
      <w:pPr>
        <w:pStyle w:val="ListParagraph"/>
        <w:tabs>
          <w:tab w:val="left" w:pos="709"/>
        </w:tabs>
        <w:spacing w:before="240" w:line="22" w:lineRule="atLeast"/>
        <w:ind w:left="0"/>
        <w:jc w:val="both"/>
        <w:rPr>
          <w:rFonts w:ascii="Arial" w:hAnsi="Arial" w:cs="Arial"/>
          <w:sz w:val="24"/>
          <w:szCs w:val="24"/>
          <w:lang w:val="mn-MN"/>
        </w:rPr>
      </w:pPr>
    </w:p>
    <w:p w14:paraId="5F2F88BE" w14:textId="77777777" w:rsidR="00B052FA" w:rsidRPr="0046672D" w:rsidRDefault="00B052FA" w:rsidP="00B052FA">
      <w:pPr>
        <w:pStyle w:val="ListParagraph"/>
        <w:tabs>
          <w:tab w:val="left" w:pos="709"/>
        </w:tabs>
        <w:spacing w:before="240" w:line="22" w:lineRule="atLeast"/>
        <w:ind w:left="0"/>
        <w:jc w:val="both"/>
        <w:rPr>
          <w:rFonts w:ascii="Arial" w:hAnsi="Arial" w:cs="Arial"/>
          <w:lang w:val="mn-MN" w:eastAsia="zh-CN" w:bidi="mn-Mong-CN"/>
        </w:rPr>
      </w:pPr>
      <w:r w:rsidRPr="0046672D">
        <w:rPr>
          <w:rFonts w:ascii="Arial" w:hAnsi="Arial" w:cs="Arial"/>
          <w:sz w:val="24"/>
          <w:szCs w:val="24"/>
          <w:lang w:val="mn-MN"/>
        </w:rPr>
        <w:tab/>
      </w:r>
      <w:r w:rsidRPr="0046672D">
        <w:rPr>
          <w:rFonts w:ascii="Arial" w:hAnsi="Arial" w:cs="Arial"/>
          <w:sz w:val="24"/>
          <w:szCs w:val="24"/>
          <w:lang w:val="mn-MN" w:bidi="mn-Mong-CN"/>
        </w:rPr>
        <w:t xml:space="preserve">Улсын нийт гадаад өрийн үлдэгдэл 2021 </w:t>
      </w:r>
      <w:r w:rsidRPr="0046672D">
        <w:rPr>
          <w:rFonts w:ascii="Arial" w:hAnsi="Arial" w:cs="Arial"/>
          <w:sz w:val="24"/>
          <w:szCs w:val="24"/>
          <w:lang w:val="mn-MN"/>
        </w:rPr>
        <w:t>оны жилийн эцсийн урьдчилсан гүйцэтгэлээр</w:t>
      </w:r>
      <w:r w:rsidRPr="0046672D">
        <w:rPr>
          <w:rFonts w:ascii="Arial" w:hAnsi="Arial" w:cs="Arial"/>
          <w:sz w:val="24"/>
          <w:szCs w:val="24"/>
          <w:lang w:val="mn-MN" w:bidi="mn-Mong-CN"/>
        </w:rPr>
        <w:t xml:space="preserve"> 33.2 тэрбум ам.доллар байгаагаас Засгийн газрын гадаад өр 8.5 тэрбум ам.доллар (25.2%), Төв банкны гадаад өр 2.6 тэрбум ам.доллар (0.08%), бусад салбаруудын өр 8.2 тэрбум ам.доллар буюу (25.8%), Төв банкнаас бусад хадгаламжийн байгууллагын өр 1.6 тэрбум ам.доллар буюу (0.05%) байгаа бол компани хоорондын зээллэг 12.3 тэрбум ам.долларыг (37.2%) тус тус эзэлж байна.</w:t>
      </w:r>
    </w:p>
    <w:p w14:paraId="3D9DBDC9" w14:textId="77777777" w:rsidR="00B052FA" w:rsidRPr="0046672D" w:rsidRDefault="00B052FA" w:rsidP="00B052FA">
      <w:pPr>
        <w:pStyle w:val="Caption"/>
        <w:keepNext/>
        <w:spacing w:after="0"/>
        <w:rPr>
          <w:rFonts w:ascii="Arial" w:hAnsi="Arial" w:cs="Arial"/>
          <w:b/>
          <w:i w:val="0"/>
          <w:color w:val="000000" w:themeColor="text1"/>
          <w:sz w:val="24"/>
          <w:szCs w:val="24"/>
          <w:lang w:val="mn-MN"/>
        </w:rPr>
      </w:pPr>
      <w:r w:rsidRPr="0046672D">
        <w:rPr>
          <w:rFonts w:ascii="Arial" w:hAnsi="Arial" w:cs="Arial"/>
          <w:color w:val="000000" w:themeColor="text1"/>
          <w:sz w:val="24"/>
          <w:szCs w:val="24"/>
          <w:lang w:val="mn-MN"/>
        </w:rPr>
        <w:tab/>
        <w:t>Хүснэгт № 1. Улсын нийт гадаад өрийн статистик, 2019-2021 онд /сая ам.доллар/</w:t>
      </w:r>
    </w:p>
    <w:tbl>
      <w:tblPr>
        <w:tblStyle w:val="LightShading-Accent1"/>
        <w:tblW w:w="9086" w:type="dxa"/>
        <w:jc w:val="center"/>
        <w:tblLook w:val="04A0" w:firstRow="1" w:lastRow="0" w:firstColumn="1" w:lastColumn="0" w:noHBand="0" w:noVBand="1"/>
      </w:tblPr>
      <w:tblGrid>
        <w:gridCol w:w="4056"/>
        <w:gridCol w:w="1710"/>
        <w:gridCol w:w="1660"/>
        <w:gridCol w:w="1660"/>
      </w:tblGrid>
      <w:tr w:rsidR="00B052FA" w:rsidRPr="0046672D" w14:paraId="646670F4" w14:textId="77777777" w:rsidTr="00673716">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4056" w:type="dxa"/>
            <w:tcBorders>
              <w:top w:val="single" w:sz="4" w:space="0" w:color="auto"/>
              <w:bottom w:val="single" w:sz="4" w:space="0" w:color="auto"/>
            </w:tcBorders>
            <w:shd w:val="clear" w:color="auto" w:fill="D0CECE" w:themeFill="background2" w:themeFillShade="E6"/>
            <w:vAlign w:val="center"/>
            <w:hideMark/>
          </w:tcPr>
          <w:p w14:paraId="67869CE9" w14:textId="77777777" w:rsidR="00B052FA" w:rsidRPr="0046672D" w:rsidRDefault="00B052FA" w:rsidP="00673716">
            <w:pPr>
              <w:jc w:val="center"/>
              <w:rPr>
                <w:rFonts w:ascii="Arial" w:hAnsi="Arial" w:cs="Arial"/>
                <w:color w:val="auto"/>
                <w:lang w:val="mn-MN"/>
              </w:rPr>
            </w:pPr>
            <w:r w:rsidRPr="0046672D">
              <w:rPr>
                <w:rFonts w:ascii="Arial" w:hAnsi="Arial" w:cs="Arial"/>
                <w:color w:val="auto"/>
                <w:lang w:val="mn-MN"/>
              </w:rPr>
              <w:t>Салбарын ангилал</w:t>
            </w:r>
          </w:p>
        </w:tc>
        <w:tc>
          <w:tcPr>
            <w:tcW w:w="1710" w:type="dxa"/>
            <w:tcBorders>
              <w:top w:val="single" w:sz="4" w:space="0" w:color="auto"/>
              <w:bottom w:val="single" w:sz="4" w:space="0" w:color="auto"/>
            </w:tcBorders>
            <w:shd w:val="clear" w:color="auto" w:fill="D0CECE" w:themeFill="background2" w:themeFillShade="E6"/>
            <w:vAlign w:val="center"/>
            <w:hideMark/>
          </w:tcPr>
          <w:p w14:paraId="323E8F21" w14:textId="77777777" w:rsidR="00B052FA" w:rsidRPr="0046672D" w:rsidRDefault="00B052FA" w:rsidP="00673716">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2019 он</w:t>
            </w:r>
          </w:p>
        </w:tc>
        <w:tc>
          <w:tcPr>
            <w:tcW w:w="1660" w:type="dxa"/>
            <w:tcBorders>
              <w:top w:val="single" w:sz="4" w:space="0" w:color="auto"/>
              <w:bottom w:val="single" w:sz="4" w:space="0" w:color="auto"/>
            </w:tcBorders>
            <w:shd w:val="clear" w:color="auto" w:fill="D0CECE" w:themeFill="background2" w:themeFillShade="E6"/>
            <w:vAlign w:val="center"/>
            <w:hideMark/>
          </w:tcPr>
          <w:p w14:paraId="2505C1D4" w14:textId="77777777" w:rsidR="00B052FA" w:rsidRPr="0046672D" w:rsidRDefault="00B052FA" w:rsidP="00673716">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2020 он</w:t>
            </w:r>
          </w:p>
        </w:tc>
        <w:tc>
          <w:tcPr>
            <w:tcW w:w="1660" w:type="dxa"/>
            <w:tcBorders>
              <w:top w:val="single" w:sz="4" w:space="0" w:color="auto"/>
              <w:bottom w:val="single" w:sz="4" w:space="0" w:color="auto"/>
            </w:tcBorders>
            <w:shd w:val="clear" w:color="auto" w:fill="D0CECE" w:themeFill="background2" w:themeFillShade="E6"/>
            <w:vAlign w:val="center"/>
            <w:hideMark/>
          </w:tcPr>
          <w:p w14:paraId="68E99783" w14:textId="77777777" w:rsidR="00B052FA" w:rsidRPr="0046672D" w:rsidRDefault="00B052FA" w:rsidP="00673716">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2021 он</w:t>
            </w:r>
          </w:p>
        </w:tc>
      </w:tr>
      <w:tr w:rsidR="00B052FA" w:rsidRPr="0046672D" w14:paraId="41BF45B9" w14:textId="77777777" w:rsidTr="00673716">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056" w:type="dxa"/>
            <w:tcBorders>
              <w:top w:val="single" w:sz="4" w:space="0" w:color="auto"/>
            </w:tcBorders>
            <w:shd w:val="clear" w:color="auto" w:fill="FFFFFF" w:themeFill="background1"/>
            <w:vAlign w:val="center"/>
            <w:hideMark/>
          </w:tcPr>
          <w:p w14:paraId="49081DDA" w14:textId="77777777" w:rsidR="00B052FA" w:rsidRPr="0046672D" w:rsidRDefault="00B052FA" w:rsidP="00673716">
            <w:pPr>
              <w:rPr>
                <w:rFonts w:ascii="Arial" w:hAnsi="Arial" w:cs="Arial"/>
                <w:b w:val="0"/>
                <w:color w:val="auto"/>
                <w:lang w:val="mn-MN"/>
              </w:rPr>
            </w:pPr>
            <w:r w:rsidRPr="0046672D">
              <w:rPr>
                <w:rFonts w:ascii="Arial" w:hAnsi="Arial" w:cs="Arial"/>
                <w:color w:val="auto"/>
                <w:lang w:val="mn-MN"/>
              </w:rPr>
              <w:t xml:space="preserve">Засгийн газар </w:t>
            </w:r>
          </w:p>
        </w:tc>
        <w:tc>
          <w:tcPr>
            <w:tcW w:w="1710" w:type="dxa"/>
            <w:tcBorders>
              <w:top w:val="single" w:sz="4" w:space="0" w:color="auto"/>
            </w:tcBorders>
            <w:shd w:val="clear" w:color="auto" w:fill="FFFFFF" w:themeFill="background1"/>
            <w:noWrap/>
            <w:vAlign w:val="center"/>
            <w:hideMark/>
          </w:tcPr>
          <w:p w14:paraId="576E0C89"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7,806.2</w:t>
            </w:r>
          </w:p>
        </w:tc>
        <w:tc>
          <w:tcPr>
            <w:tcW w:w="1660" w:type="dxa"/>
            <w:tcBorders>
              <w:top w:val="single" w:sz="4" w:space="0" w:color="auto"/>
            </w:tcBorders>
            <w:shd w:val="clear" w:color="auto" w:fill="FFFFFF" w:themeFill="background1"/>
            <w:noWrap/>
            <w:vAlign w:val="center"/>
            <w:hideMark/>
          </w:tcPr>
          <w:p w14:paraId="33E3C387"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8,653.8</w:t>
            </w:r>
          </w:p>
        </w:tc>
        <w:tc>
          <w:tcPr>
            <w:tcW w:w="1660" w:type="dxa"/>
            <w:tcBorders>
              <w:top w:val="single" w:sz="4" w:space="0" w:color="auto"/>
            </w:tcBorders>
            <w:shd w:val="clear" w:color="auto" w:fill="FFFFFF" w:themeFill="background1"/>
            <w:noWrap/>
            <w:vAlign w:val="center"/>
            <w:hideMark/>
          </w:tcPr>
          <w:p w14:paraId="43D0F121"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8,482.6</w:t>
            </w:r>
          </w:p>
        </w:tc>
      </w:tr>
      <w:tr w:rsidR="00B052FA" w:rsidRPr="0046672D" w14:paraId="56F83C20" w14:textId="77777777" w:rsidTr="00673716">
        <w:trPr>
          <w:trHeight w:val="331"/>
          <w:jc w:val="center"/>
        </w:trPr>
        <w:tc>
          <w:tcPr>
            <w:cnfStyle w:val="001000000000" w:firstRow="0" w:lastRow="0" w:firstColumn="1" w:lastColumn="0" w:oddVBand="0" w:evenVBand="0" w:oddHBand="0" w:evenHBand="0" w:firstRowFirstColumn="0" w:firstRowLastColumn="0" w:lastRowFirstColumn="0" w:lastRowLastColumn="0"/>
            <w:tcW w:w="4056" w:type="dxa"/>
            <w:tcBorders>
              <w:left w:val="nil"/>
            </w:tcBorders>
            <w:shd w:val="clear" w:color="auto" w:fill="FFFFFF" w:themeFill="background1"/>
            <w:vAlign w:val="center"/>
            <w:hideMark/>
          </w:tcPr>
          <w:p w14:paraId="61E28FAA" w14:textId="77777777" w:rsidR="00B052FA" w:rsidRPr="0046672D" w:rsidRDefault="00B052FA" w:rsidP="00673716">
            <w:pPr>
              <w:rPr>
                <w:rFonts w:ascii="Arial" w:hAnsi="Arial" w:cs="Arial"/>
                <w:b w:val="0"/>
                <w:color w:val="auto"/>
                <w:lang w:val="mn-MN"/>
              </w:rPr>
            </w:pPr>
            <w:r w:rsidRPr="0046672D">
              <w:rPr>
                <w:rFonts w:ascii="Arial" w:hAnsi="Arial" w:cs="Arial"/>
                <w:color w:val="auto"/>
                <w:lang w:val="mn-MN"/>
              </w:rPr>
              <w:t xml:space="preserve">Төв банк </w:t>
            </w:r>
          </w:p>
        </w:tc>
        <w:tc>
          <w:tcPr>
            <w:tcW w:w="1710" w:type="dxa"/>
            <w:shd w:val="clear" w:color="auto" w:fill="FFFFFF" w:themeFill="background1"/>
            <w:noWrap/>
            <w:vAlign w:val="center"/>
            <w:hideMark/>
          </w:tcPr>
          <w:p w14:paraId="4BAE5535"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1,984.7</w:t>
            </w:r>
          </w:p>
        </w:tc>
        <w:tc>
          <w:tcPr>
            <w:tcW w:w="1660" w:type="dxa"/>
            <w:shd w:val="clear" w:color="auto" w:fill="FFFFFF" w:themeFill="background1"/>
            <w:noWrap/>
            <w:vAlign w:val="center"/>
            <w:hideMark/>
          </w:tcPr>
          <w:p w14:paraId="7A07B408"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2,220.9</w:t>
            </w:r>
          </w:p>
        </w:tc>
        <w:tc>
          <w:tcPr>
            <w:tcW w:w="1660" w:type="dxa"/>
            <w:tcBorders>
              <w:right w:val="nil"/>
            </w:tcBorders>
            <w:shd w:val="clear" w:color="auto" w:fill="FFFFFF" w:themeFill="background1"/>
            <w:noWrap/>
            <w:vAlign w:val="center"/>
            <w:hideMark/>
          </w:tcPr>
          <w:p w14:paraId="149298AF"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2,561.8</w:t>
            </w:r>
          </w:p>
        </w:tc>
      </w:tr>
      <w:tr w:rsidR="00B052FA" w:rsidRPr="0046672D" w14:paraId="332A4D3A" w14:textId="77777777" w:rsidTr="00673716">
        <w:trPr>
          <w:cnfStyle w:val="000000100000" w:firstRow="0" w:lastRow="0" w:firstColumn="0" w:lastColumn="0" w:oddVBand="0" w:evenVBand="0" w:oddHBand="1" w:evenHBand="0" w:firstRowFirstColumn="0" w:firstRowLastColumn="0" w:lastRowFirstColumn="0" w:lastRowLastColumn="0"/>
          <w:trHeight w:val="588"/>
          <w:jc w:val="center"/>
        </w:trPr>
        <w:tc>
          <w:tcPr>
            <w:cnfStyle w:val="001000000000" w:firstRow="0" w:lastRow="0" w:firstColumn="1" w:lastColumn="0" w:oddVBand="0" w:evenVBand="0" w:oddHBand="0" w:evenHBand="0" w:firstRowFirstColumn="0" w:firstRowLastColumn="0" w:lastRowFirstColumn="0" w:lastRowLastColumn="0"/>
            <w:tcW w:w="4056" w:type="dxa"/>
            <w:shd w:val="clear" w:color="auto" w:fill="FFFFFF" w:themeFill="background1"/>
            <w:vAlign w:val="center"/>
            <w:hideMark/>
          </w:tcPr>
          <w:p w14:paraId="0C278D91" w14:textId="77777777" w:rsidR="00B052FA" w:rsidRPr="0046672D" w:rsidRDefault="00B052FA" w:rsidP="00673716">
            <w:pPr>
              <w:rPr>
                <w:rFonts w:ascii="Arial" w:hAnsi="Arial" w:cs="Arial"/>
                <w:b w:val="0"/>
                <w:color w:val="auto"/>
                <w:lang w:val="mn-MN"/>
              </w:rPr>
            </w:pPr>
            <w:r w:rsidRPr="0046672D">
              <w:rPr>
                <w:rFonts w:ascii="Arial" w:hAnsi="Arial" w:cs="Arial"/>
                <w:color w:val="auto"/>
                <w:lang w:val="mn-MN"/>
              </w:rPr>
              <w:t>Хадгаламжийн байгууллага (Төв банкнаас бусад)</w:t>
            </w:r>
          </w:p>
        </w:tc>
        <w:tc>
          <w:tcPr>
            <w:tcW w:w="1710" w:type="dxa"/>
            <w:shd w:val="clear" w:color="auto" w:fill="FFFFFF" w:themeFill="background1"/>
            <w:noWrap/>
            <w:vAlign w:val="center"/>
            <w:hideMark/>
          </w:tcPr>
          <w:p w14:paraId="646EA367"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2,137.9</w:t>
            </w:r>
          </w:p>
        </w:tc>
        <w:tc>
          <w:tcPr>
            <w:tcW w:w="1660" w:type="dxa"/>
            <w:shd w:val="clear" w:color="auto" w:fill="FFFFFF" w:themeFill="background1"/>
            <w:noWrap/>
            <w:vAlign w:val="center"/>
            <w:hideMark/>
          </w:tcPr>
          <w:p w14:paraId="037F9B4F"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1,650.9</w:t>
            </w:r>
          </w:p>
        </w:tc>
        <w:tc>
          <w:tcPr>
            <w:tcW w:w="1660" w:type="dxa"/>
            <w:shd w:val="clear" w:color="auto" w:fill="FFFFFF" w:themeFill="background1"/>
            <w:noWrap/>
            <w:vAlign w:val="center"/>
            <w:hideMark/>
          </w:tcPr>
          <w:p w14:paraId="5175E6F6"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1,651.3</w:t>
            </w:r>
          </w:p>
        </w:tc>
      </w:tr>
      <w:tr w:rsidR="00B052FA" w:rsidRPr="0046672D" w14:paraId="0817C9EF" w14:textId="77777777" w:rsidTr="00673716">
        <w:trPr>
          <w:trHeight w:val="331"/>
          <w:jc w:val="center"/>
        </w:trPr>
        <w:tc>
          <w:tcPr>
            <w:cnfStyle w:val="001000000000" w:firstRow="0" w:lastRow="0" w:firstColumn="1" w:lastColumn="0" w:oddVBand="0" w:evenVBand="0" w:oddHBand="0" w:evenHBand="0" w:firstRowFirstColumn="0" w:firstRowLastColumn="0" w:lastRowFirstColumn="0" w:lastRowLastColumn="0"/>
            <w:tcW w:w="4056" w:type="dxa"/>
            <w:tcBorders>
              <w:left w:val="nil"/>
            </w:tcBorders>
            <w:shd w:val="clear" w:color="auto" w:fill="FFFFFF" w:themeFill="background1"/>
            <w:vAlign w:val="center"/>
            <w:hideMark/>
          </w:tcPr>
          <w:p w14:paraId="78E16616" w14:textId="77777777" w:rsidR="00B052FA" w:rsidRPr="0046672D" w:rsidRDefault="00B052FA" w:rsidP="00673716">
            <w:pPr>
              <w:rPr>
                <w:rFonts w:ascii="Arial" w:hAnsi="Arial" w:cs="Arial"/>
                <w:b w:val="0"/>
                <w:color w:val="auto"/>
                <w:lang w:val="mn-MN"/>
              </w:rPr>
            </w:pPr>
            <w:r w:rsidRPr="0046672D">
              <w:rPr>
                <w:rFonts w:ascii="Arial" w:hAnsi="Arial" w:cs="Arial"/>
                <w:color w:val="auto"/>
                <w:lang w:val="mn-MN"/>
              </w:rPr>
              <w:t xml:space="preserve">Бусад салбарууд </w:t>
            </w:r>
          </w:p>
        </w:tc>
        <w:tc>
          <w:tcPr>
            <w:tcW w:w="1710" w:type="dxa"/>
            <w:shd w:val="clear" w:color="auto" w:fill="FFFFFF" w:themeFill="background1"/>
            <w:noWrap/>
            <w:vAlign w:val="center"/>
            <w:hideMark/>
          </w:tcPr>
          <w:p w14:paraId="7A1646C9"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8,517.4</w:t>
            </w:r>
          </w:p>
        </w:tc>
        <w:tc>
          <w:tcPr>
            <w:tcW w:w="1660" w:type="dxa"/>
            <w:shd w:val="clear" w:color="auto" w:fill="FFFFFF" w:themeFill="background1"/>
            <w:noWrap/>
            <w:vAlign w:val="center"/>
            <w:hideMark/>
          </w:tcPr>
          <w:p w14:paraId="43A68355"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8,254.2</w:t>
            </w:r>
          </w:p>
        </w:tc>
        <w:tc>
          <w:tcPr>
            <w:tcW w:w="1660" w:type="dxa"/>
            <w:tcBorders>
              <w:right w:val="nil"/>
            </w:tcBorders>
            <w:shd w:val="clear" w:color="auto" w:fill="FFFFFF" w:themeFill="background1"/>
            <w:noWrap/>
            <w:vAlign w:val="center"/>
            <w:hideMark/>
          </w:tcPr>
          <w:p w14:paraId="66092686"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8,222.0</w:t>
            </w:r>
          </w:p>
        </w:tc>
      </w:tr>
      <w:tr w:rsidR="00B052FA" w:rsidRPr="0046672D" w14:paraId="50ADF089" w14:textId="77777777" w:rsidTr="00673716">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056" w:type="dxa"/>
            <w:shd w:val="clear" w:color="auto" w:fill="FFFFFF" w:themeFill="background1"/>
            <w:vAlign w:val="center"/>
            <w:hideMark/>
          </w:tcPr>
          <w:p w14:paraId="13AA94D8" w14:textId="77777777" w:rsidR="00B052FA" w:rsidRPr="0046672D" w:rsidRDefault="00B052FA" w:rsidP="00673716">
            <w:pPr>
              <w:rPr>
                <w:rFonts w:ascii="Arial" w:hAnsi="Arial" w:cs="Arial"/>
                <w:b w:val="0"/>
                <w:color w:val="auto"/>
                <w:lang w:val="mn-MN"/>
              </w:rPr>
            </w:pPr>
            <w:r w:rsidRPr="0046672D">
              <w:rPr>
                <w:rFonts w:ascii="Arial" w:hAnsi="Arial" w:cs="Arial"/>
                <w:color w:val="auto"/>
                <w:lang w:val="mn-MN"/>
              </w:rPr>
              <w:t>Компани хоорондын зээллэг, шууд хөрөнгө оруулалт</w:t>
            </w:r>
          </w:p>
        </w:tc>
        <w:tc>
          <w:tcPr>
            <w:tcW w:w="1710" w:type="dxa"/>
            <w:shd w:val="clear" w:color="auto" w:fill="FFFFFF" w:themeFill="background1"/>
            <w:noWrap/>
            <w:vAlign w:val="center"/>
            <w:hideMark/>
          </w:tcPr>
          <w:p w14:paraId="121CCCBB"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10,366.2</w:t>
            </w:r>
          </w:p>
        </w:tc>
        <w:tc>
          <w:tcPr>
            <w:tcW w:w="1660" w:type="dxa"/>
            <w:shd w:val="clear" w:color="auto" w:fill="FFFFFF" w:themeFill="background1"/>
            <w:noWrap/>
            <w:vAlign w:val="center"/>
            <w:hideMark/>
          </w:tcPr>
          <w:p w14:paraId="75E6E67D"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11,405.8</w:t>
            </w:r>
          </w:p>
        </w:tc>
        <w:tc>
          <w:tcPr>
            <w:tcW w:w="1660" w:type="dxa"/>
            <w:shd w:val="clear" w:color="auto" w:fill="FFFFFF" w:themeFill="background1"/>
            <w:noWrap/>
            <w:vAlign w:val="center"/>
            <w:hideMark/>
          </w:tcPr>
          <w:p w14:paraId="36255155" w14:textId="77777777" w:rsidR="00B052FA" w:rsidRPr="0046672D" w:rsidRDefault="00B052FA" w:rsidP="0067371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color w:val="auto"/>
                <w:lang w:val="mn-MN"/>
              </w:rPr>
              <w:t>12,272.7</w:t>
            </w:r>
          </w:p>
        </w:tc>
      </w:tr>
      <w:tr w:rsidR="00B052FA" w:rsidRPr="0046672D" w14:paraId="31FD9E4D" w14:textId="77777777" w:rsidTr="00673716">
        <w:trPr>
          <w:trHeight w:val="410"/>
          <w:jc w:val="center"/>
        </w:trPr>
        <w:tc>
          <w:tcPr>
            <w:cnfStyle w:val="001000000000" w:firstRow="0" w:lastRow="0" w:firstColumn="1" w:lastColumn="0" w:oddVBand="0" w:evenVBand="0" w:oddHBand="0" w:evenHBand="0" w:firstRowFirstColumn="0" w:firstRowLastColumn="0" w:lastRowFirstColumn="0" w:lastRowLastColumn="0"/>
            <w:tcW w:w="4056" w:type="dxa"/>
            <w:tcBorders>
              <w:left w:val="nil"/>
              <w:bottom w:val="single" w:sz="4" w:space="0" w:color="auto"/>
            </w:tcBorders>
            <w:shd w:val="clear" w:color="auto" w:fill="FFFFFF" w:themeFill="background1"/>
            <w:vAlign w:val="center"/>
            <w:hideMark/>
          </w:tcPr>
          <w:p w14:paraId="3BF19CA0" w14:textId="77777777" w:rsidR="00B052FA" w:rsidRPr="0046672D" w:rsidRDefault="00B052FA" w:rsidP="00673716">
            <w:pPr>
              <w:rPr>
                <w:rFonts w:ascii="Arial" w:hAnsi="Arial" w:cs="Arial"/>
                <w:b w:val="0"/>
                <w:color w:val="auto"/>
                <w:lang w:val="mn-MN"/>
              </w:rPr>
            </w:pPr>
            <w:r w:rsidRPr="0046672D">
              <w:rPr>
                <w:rFonts w:ascii="Arial" w:hAnsi="Arial" w:cs="Arial"/>
                <w:color w:val="auto"/>
                <w:lang w:val="mn-MN"/>
              </w:rPr>
              <w:t>Нийт гадаад өр</w:t>
            </w:r>
          </w:p>
        </w:tc>
        <w:tc>
          <w:tcPr>
            <w:tcW w:w="1710" w:type="dxa"/>
            <w:tcBorders>
              <w:bottom w:val="single" w:sz="4" w:space="0" w:color="auto"/>
            </w:tcBorders>
            <w:shd w:val="clear" w:color="auto" w:fill="FFFFFF" w:themeFill="background1"/>
            <w:noWrap/>
            <w:vAlign w:val="center"/>
            <w:hideMark/>
          </w:tcPr>
          <w:p w14:paraId="3F126C55"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lang w:val="mn-MN"/>
              </w:rPr>
            </w:pPr>
            <w:r w:rsidRPr="0046672D">
              <w:rPr>
                <w:rFonts w:ascii="Arial" w:hAnsi="Arial" w:cs="Arial"/>
                <w:b/>
                <w:color w:val="auto"/>
                <w:lang w:val="mn-MN"/>
              </w:rPr>
              <w:t>30,702.3</w:t>
            </w:r>
          </w:p>
        </w:tc>
        <w:tc>
          <w:tcPr>
            <w:tcW w:w="1660" w:type="dxa"/>
            <w:tcBorders>
              <w:bottom w:val="single" w:sz="4" w:space="0" w:color="auto"/>
            </w:tcBorders>
            <w:shd w:val="clear" w:color="auto" w:fill="FFFFFF" w:themeFill="background1"/>
            <w:noWrap/>
            <w:vAlign w:val="center"/>
            <w:hideMark/>
          </w:tcPr>
          <w:p w14:paraId="40D2DA49"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lang w:val="mn-MN"/>
              </w:rPr>
            </w:pPr>
            <w:r w:rsidRPr="0046672D">
              <w:rPr>
                <w:rFonts w:ascii="Arial" w:hAnsi="Arial" w:cs="Arial"/>
                <w:b/>
                <w:color w:val="auto"/>
                <w:lang w:val="mn-MN"/>
              </w:rPr>
              <w:t>32,361.8</w:t>
            </w:r>
          </w:p>
        </w:tc>
        <w:tc>
          <w:tcPr>
            <w:tcW w:w="1660" w:type="dxa"/>
            <w:tcBorders>
              <w:bottom w:val="single" w:sz="4" w:space="0" w:color="auto"/>
              <w:right w:val="nil"/>
            </w:tcBorders>
            <w:shd w:val="clear" w:color="auto" w:fill="FFFFFF" w:themeFill="background1"/>
            <w:noWrap/>
            <w:vAlign w:val="center"/>
            <w:hideMark/>
          </w:tcPr>
          <w:p w14:paraId="740D0173" w14:textId="77777777" w:rsidR="00B052FA" w:rsidRPr="0046672D" w:rsidRDefault="00B052FA" w:rsidP="00673716">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lang w:val="mn-MN"/>
              </w:rPr>
            </w:pPr>
            <w:r w:rsidRPr="0046672D">
              <w:rPr>
                <w:rFonts w:ascii="Arial" w:hAnsi="Arial" w:cs="Arial"/>
                <w:b/>
                <w:bCs/>
                <w:color w:val="auto"/>
                <w:lang w:val="mn-MN"/>
              </w:rPr>
              <w:t>33,190.4</w:t>
            </w:r>
          </w:p>
        </w:tc>
      </w:tr>
    </w:tbl>
    <w:p w14:paraId="69AEBDD2" w14:textId="77777777" w:rsidR="00B052FA" w:rsidRPr="0046672D" w:rsidRDefault="00B052FA" w:rsidP="00B052FA">
      <w:pPr>
        <w:pStyle w:val="ListParagraph"/>
        <w:ind w:left="0"/>
        <w:jc w:val="center"/>
        <w:rPr>
          <w:rFonts w:ascii="Arial" w:hAnsi="Arial" w:cs="Arial"/>
          <w:i/>
          <w:sz w:val="20"/>
          <w:szCs w:val="20"/>
          <w:lang w:val="mn-MN"/>
        </w:rPr>
      </w:pPr>
      <w:r w:rsidRPr="0046672D">
        <w:rPr>
          <w:rFonts w:ascii="Arial" w:hAnsi="Arial" w:cs="Arial"/>
          <w:i/>
          <w:sz w:val="20"/>
          <w:szCs w:val="20"/>
          <w:lang w:val="mn-MN"/>
        </w:rPr>
        <w:t>Эх сурвалж: Монголбанк</w:t>
      </w:r>
    </w:p>
    <w:p w14:paraId="6FB516ED" w14:textId="77777777" w:rsidR="00B052FA" w:rsidRPr="0046672D" w:rsidRDefault="00B052FA" w:rsidP="00FE3633">
      <w:pPr>
        <w:pStyle w:val="ListParagraph"/>
        <w:numPr>
          <w:ilvl w:val="2"/>
          <w:numId w:val="15"/>
        </w:numPr>
        <w:jc w:val="both"/>
        <w:rPr>
          <w:rFonts w:ascii="Arial" w:hAnsi="Arial" w:cs="Arial"/>
          <w:b/>
          <w:sz w:val="24"/>
          <w:szCs w:val="24"/>
          <w:lang w:val="mn-MN"/>
        </w:rPr>
      </w:pPr>
      <w:r w:rsidRPr="0046672D">
        <w:rPr>
          <w:rFonts w:ascii="Arial" w:hAnsi="Arial" w:cs="Arial"/>
          <w:b/>
          <w:sz w:val="24"/>
          <w:szCs w:val="24"/>
          <w:lang w:val="mn-MN" w:bidi="mn-Mong-CN"/>
        </w:rPr>
        <w:t>Засгийн газрын өр</w:t>
      </w:r>
    </w:p>
    <w:p w14:paraId="113D62AF" w14:textId="77777777" w:rsidR="00B052FA" w:rsidRPr="0046672D" w:rsidRDefault="00B052FA" w:rsidP="00B052FA">
      <w:pPr>
        <w:jc w:val="both"/>
        <w:rPr>
          <w:rFonts w:ascii="Arial" w:hAnsi="Arial" w:cs="Arial"/>
          <w:sz w:val="24"/>
          <w:szCs w:val="24"/>
          <w:lang w:val="mn-MN"/>
        </w:rPr>
      </w:pPr>
      <w:r w:rsidRPr="0046672D">
        <w:rPr>
          <w:rFonts w:ascii="Arial" w:hAnsi="Arial" w:cs="Arial"/>
          <w:sz w:val="24"/>
          <w:szCs w:val="24"/>
          <w:lang w:val="mn-MN"/>
        </w:rPr>
        <w:tab/>
        <w:t>Төсвийн тогтвортой байдлын тухай хуулийн 4.1.8-д  “Засгийн газрын өр” гэж өрийн хэрэгслээр үүсгэж, Монгол Улсын Засгийн газар, аймаг нийслэлээс бусдын өмнө хүлээсэн төлбөрийн үүргийг, хууль болон гэрээнд заасны дагуу гаргасан Засгийн газрын өрийн баталгааны дүнг тус тус заасан бөгөөд Өрийн удирдлагын тухай хуулийн 9 9.1.4-т заасны дагуу Сангийн яам нь “Засгийн газрын өр”-ийн үлдэгдлийг улирал тутам тооцон гаргаж, олон нийтэд мэдээлж байна.</w:t>
      </w:r>
    </w:p>
    <w:p w14:paraId="7AFF8C4B" w14:textId="684C3203" w:rsidR="00B052FA" w:rsidRPr="0046672D" w:rsidRDefault="00B052FA" w:rsidP="00B052FA">
      <w:pPr>
        <w:jc w:val="both"/>
        <w:rPr>
          <w:rFonts w:ascii="Arial" w:hAnsi="Arial" w:cs="Arial"/>
          <w:sz w:val="24"/>
          <w:szCs w:val="24"/>
          <w:lang w:val="mn-MN"/>
        </w:rPr>
      </w:pPr>
      <w:r w:rsidRPr="0046672D">
        <w:rPr>
          <w:rFonts w:ascii="Arial" w:hAnsi="Arial" w:cs="Arial"/>
          <w:sz w:val="24"/>
          <w:szCs w:val="24"/>
          <w:lang w:val="mn-MN"/>
        </w:rPr>
        <w:tab/>
        <w:t>Засгийн газрын өрийн үлдэгдэл 2021 оны жилийн эцсийн урьдчилсан гүйцэтгэлээр 8.5 тэрбум ам.долларт хүрч өмнөх оны мөн үеэс 204.0 сая ам.</w:t>
      </w:r>
      <w:r w:rsidR="00223B77" w:rsidRPr="0046672D">
        <w:rPr>
          <w:rFonts w:ascii="Arial" w:hAnsi="Arial" w:cs="Arial"/>
          <w:sz w:val="24"/>
          <w:szCs w:val="24"/>
          <w:lang w:val="mn-MN"/>
        </w:rPr>
        <w:t>доллароор</w:t>
      </w:r>
      <w:r w:rsidRPr="0046672D">
        <w:rPr>
          <w:rFonts w:ascii="Arial" w:hAnsi="Arial" w:cs="Arial"/>
          <w:sz w:val="24"/>
          <w:szCs w:val="24"/>
          <w:lang w:val="mn-MN"/>
        </w:rPr>
        <w:t xml:space="preserve"> буюу 2.4 хувиар буурсан байна. Харин 2019 оны эцсийн байдалтай харьцуулахад 8.24</w:t>
      </w:r>
      <w:r w:rsidR="00223B77" w:rsidRPr="0046672D">
        <w:rPr>
          <w:rFonts w:ascii="Arial" w:hAnsi="Arial" w:cs="Arial"/>
          <w:sz w:val="24"/>
          <w:szCs w:val="24"/>
          <w:lang w:val="mn-MN"/>
        </w:rPr>
        <w:t xml:space="preserve"> хувиар</w:t>
      </w:r>
      <w:r w:rsidRPr="0046672D">
        <w:rPr>
          <w:rFonts w:ascii="Arial" w:hAnsi="Arial" w:cs="Arial"/>
          <w:sz w:val="24"/>
          <w:szCs w:val="24"/>
          <w:lang w:val="mn-MN"/>
        </w:rPr>
        <w:t> буюу 643.0 сая ам.</w:t>
      </w:r>
      <w:r w:rsidR="00223B77" w:rsidRPr="0046672D">
        <w:rPr>
          <w:rFonts w:ascii="Arial" w:hAnsi="Arial" w:cs="Arial"/>
          <w:sz w:val="24"/>
          <w:szCs w:val="24"/>
          <w:lang w:val="mn-MN"/>
        </w:rPr>
        <w:t>доллароор</w:t>
      </w:r>
      <w:r w:rsidRPr="0046672D">
        <w:rPr>
          <w:rFonts w:ascii="Arial" w:hAnsi="Arial" w:cs="Arial"/>
          <w:sz w:val="24"/>
          <w:szCs w:val="24"/>
          <w:lang w:val="mn-MN"/>
        </w:rPr>
        <w:t xml:space="preserve"> нэмэгдсэн үзүүлэлттэй байна.</w:t>
      </w:r>
    </w:p>
    <w:p w14:paraId="38B60658" w14:textId="77777777" w:rsidR="00B052FA" w:rsidRPr="0046672D" w:rsidRDefault="00B052FA" w:rsidP="00B052FA">
      <w:pPr>
        <w:jc w:val="both"/>
        <w:rPr>
          <w:rFonts w:ascii="Arial" w:hAnsi="Arial" w:cs="Arial"/>
          <w:b/>
          <w:bCs/>
          <w:sz w:val="24"/>
          <w:szCs w:val="24"/>
          <w:lang w:val="mn-MN"/>
        </w:rPr>
      </w:pPr>
      <w:r w:rsidRPr="0046672D">
        <w:rPr>
          <w:rFonts w:ascii="Arial" w:hAnsi="Arial" w:cs="Arial"/>
          <w:b/>
          <w:bCs/>
          <w:sz w:val="24"/>
          <w:szCs w:val="24"/>
          <w:lang w:val="mn-MN"/>
        </w:rPr>
        <w:t>2.1.2</w:t>
      </w:r>
      <w:r w:rsidRPr="0046672D">
        <w:rPr>
          <w:rFonts w:ascii="Arial" w:hAnsi="Arial" w:cs="Arial"/>
          <w:b/>
          <w:bCs/>
          <w:sz w:val="24"/>
          <w:szCs w:val="24"/>
          <w:lang w:val="mn-MN"/>
        </w:rPr>
        <w:tab/>
        <w:t>Төв банкны өр</w:t>
      </w:r>
    </w:p>
    <w:p w14:paraId="3A1E236E" w14:textId="77777777" w:rsidR="00B052FA" w:rsidRPr="0046672D" w:rsidRDefault="00B052FA" w:rsidP="00B052FA">
      <w:pPr>
        <w:jc w:val="both"/>
        <w:rPr>
          <w:rFonts w:ascii="Arial" w:hAnsi="Arial" w:cs="Arial"/>
          <w:sz w:val="24"/>
          <w:szCs w:val="24"/>
          <w:lang w:val="mn-MN"/>
        </w:rPr>
      </w:pPr>
      <w:r w:rsidRPr="0046672D">
        <w:rPr>
          <w:rFonts w:ascii="Arial" w:hAnsi="Arial" w:cs="Arial"/>
          <w:sz w:val="24"/>
          <w:szCs w:val="24"/>
          <w:lang w:val="mn-MN"/>
        </w:rPr>
        <w:lastRenderedPageBreak/>
        <w:tab/>
        <w:t>Төв банкны өрийн үлдэгдэл 2021 оны жилийн эцсийн урьдчилсан гүйцэтгэлээр 2.6 тэрбум ам.долларт хүрч өмнөх оны мөн үеэс 51.7 сая ам.доллароор буюу 2.32% хувиар өсчээ. Харин 2019 оны эцсийн байдалтай харьцуулахад 14.46%-иар буюу 287 сая ам.доллароор нэмэгдсэн байна.</w:t>
      </w:r>
    </w:p>
    <w:p w14:paraId="3141F50D" w14:textId="77777777" w:rsidR="00B052FA" w:rsidRPr="0046672D" w:rsidRDefault="00B052FA" w:rsidP="00B052FA">
      <w:pPr>
        <w:jc w:val="both"/>
        <w:rPr>
          <w:rFonts w:ascii="Arial" w:hAnsi="Arial" w:cs="Arial"/>
          <w:b/>
          <w:sz w:val="24"/>
          <w:szCs w:val="24"/>
          <w:lang w:val="mn-MN"/>
        </w:rPr>
      </w:pPr>
      <w:r w:rsidRPr="0046672D">
        <w:rPr>
          <w:rFonts w:ascii="Arial" w:hAnsi="Arial" w:cs="Arial"/>
          <w:b/>
          <w:bCs/>
          <w:sz w:val="24"/>
          <w:szCs w:val="24"/>
          <w:lang w:val="mn-MN"/>
        </w:rPr>
        <w:t>2.1.3</w:t>
      </w:r>
      <w:r w:rsidRPr="0046672D">
        <w:rPr>
          <w:rFonts w:ascii="Arial" w:hAnsi="Arial" w:cs="Arial"/>
          <w:b/>
          <w:bCs/>
          <w:sz w:val="24"/>
          <w:szCs w:val="24"/>
          <w:lang w:val="mn-MN"/>
        </w:rPr>
        <w:tab/>
      </w:r>
      <w:r w:rsidRPr="0046672D">
        <w:rPr>
          <w:rFonts w:ascii="Arial" w:hAnsi="Arial" w:cs="Arial"/>
          <w:b/>
          <w:sz w:val="24"/>
          <w:szCs w:val="24"/>
          <w:lang w:val="mn-MN"/>
        </w:rPr>
        <w:t xml:space="preserve">Хадгаламжийн байгууллага </w:t>
      </w:r>
    </w:p>
    <w:p w14:paraId="4A62AF24" w14:textId="590D9EAC" w:rsidR="00B052FA" w:rsidRPr="0046672D" w:rsidRDefault="00B052FA" w:rsidP="00B052FA">
      <w:pPr>
        <w:jc w:val="both"/>
        <w:rPr>
          <w:rFonts w:ascii="Arial" w:hAnsi="Arial" w:cs="Arial"/>
          <w:b/>
          <w:sz w:val="24"/>
          <w:szCs w:val="24"/>
          <w:lang w:val="mn-MN"/>
        </w:rPr>
      </w:pPr>
      <w:r w:rsidRPr="0046672D">
        <w:rPr>
          <w:rFonts w:ascii="Arial" w:hAnsi="Arial" w:cs="Arial"/>
          <w:sz w:val="24"/>
          <w:szCs w:val="24"/>
          <w:lang w:val="mn-MN"/>
        </w:rPr>
        <w:tab/>
        <w:t>Хадгаламжийн байгууллага (Төв банкнаас бусад)-ын өрийн үлдэгдэл 2021 оны жилийн эцсийн урьдчилсан гүйцэтгэлээр 1.6 тэрбум ам.долларт хүрч өмнөх оны мөн үеэс 21.2 сая ам.доллароор буюу 1.28% хувиар өсчээ. Харин 2019 оны эцсийн байдалтай харьцуулахад 21.75</w:t>
      </w:r>
      <w:r w:rsidR="00223B77" w:rsidRPr="0046672D">
        <w:rPr>
          <w:rFonts w:ascii="Arial" w:hAnsi="Arial" w:cs="Arial"/>
          <w:sz w:val="24"/>
          <w:szCs w:val="24"/>
          <w:lang w:val="mn-MN"/>
        </w:rPr>
        <w:t xml:space="preserve"> хув</w:t>
      </w:r>
      <w:r w:rsidRPr="0046672D">
        <w:rPr>
          <w:rFonts w:ascii="Arial" w:hAnsi="Arial" w:cs="Arial"/>
          <w:sz w:val="24"/>
          <w:szCs w:val="24"/>
          <w:lang w:val="mn-MN"/>
        </w:rPr>
        <w:t>иар буюу 465 сая ам.доллароор буурсан байна.</w:t>
      </w:r>
      <w:r w:rsidRPr="0046672D" w:rsidDel="00A45013">
        <w:rPr>
          <w:rFonts w:ascii="Arial" w:hAnsi="Arial" w:cs="Arial"/>
          <w:sz w:val="24"/>
          <w:szCs w:val="24"/>
          <w:lang w:val="mn-MN"/>
        </w:rPr>
        <w:t xml:space="preserve"> </w:t>
      </w:r>
    </w:p>
    <w:p w14:paraId="46E5D37E" w14:textId="77777777" w:rsidR="00B052FA" w:rsidRPr="0046672D" w:rsidRDefault="00B052FA" w:rsidP="00B052FA">
      <w:pPr>
        <w:jc w:val="both"/>
        <w:rPr>
          <w:rFonts w:ascii="Arial" w:hAnsi="Arial" w:cs="Arial"/>
          <w:b/>
          <w:sz w:val="24"/>
          <w:szCs w:val="24"/>
          <w:lang w:val="mn-MN"/>
        </w:rPr>
      </w:pPr>
      <w:r w:rsidRPr="0046672D">
        <w:rPr>
          <w:rFonts w:ascii="Arial" w:hAnsi="Arial" w:cs="Arial"/>
          <w:b/>
          <w:sz w:val="24"/>
          <w:szCs w:val="24"/>
          <w:lang w:val="mn-MN"/>
        </w:rPr>
        <w:t>2.1.4</w:t>
      </w:r>
      <w:r w:rsidRPr="0046672D">
        <w:rPr>
          <w:rFonts w:ascii="Arial" w:hAnsi="Arial" w:cs="Arial"/>
          <w:b/>
          <w:sz w:val="24"/>
          <w:szCs w:val="24"/>
          <w:lang w:val="mn-MN"/>
        </w:rPr>
        <w:tab/>
        <w:t>Бусад салбарууд</w:t>
      </w:r>
    </w:p>
    <w:p w14:paraId="79EF5353" w14:textId="249FFEC1" w:rsidR="00B052FA" w:rsidRPr="0046672D" w:rsidRDefault="00B052FA" w:rsidP="00B052FA">
      <w:pPr>
        <w:jc w:val="both"/>
        <w:rPr>
          <w:rFonts w:ascii="Arial" w:hAnsi="Arial" w:cs="Arial"/>
          <w:sz w:val="24"/>
          <w:szCs w:val="24"/>
          <w:lang w:val="mn-MN"/>
        </w:rPr>
      </w:pPr>
      <w:r w:rsidRPr="0046672D">
        <w:rPr>
          <w:rFonts w:ascii="Arial" w:hAnsi="Arial" w:cs="Arial"/>
          <w:sz w:val="24"/>
          <w:szCs w:val="24"/>
          <w:lang w:val="mn-MN"/>
        </w:rPr>
        <w:tab/>
        <w:t>Бусад салбаруудын өрийн үлдэгдэл 2021 оны жилийн эцсийн урьдчилсан гүйцэтгэлээр 8.6 тэрбум ам.долларт хүрч өмнөх оны мөн үеэс 439.0 сая ам.доллароор буюу 5.3% хувиар өссөн байна. Харин 2019 оны эцсийн байдалтай харьцуулахад 2.07</w:t>
      </w:r>
      <w:r w:rsidR="00223B77" w:rsidRPr="0046672D">
        <w:rPr>
          <w:rFonts w:ascii="Arial" w:hAnsi="Arial" w:cs="Arial"/>
          <w:sz w:val="24"/>
          <w:szCs w:val="24"/>
          <w:lang w:val="mn-MN"/>
        </w:rPr>
        <w:t xml:space="preserve"> хув</w:t>
      </w:r>
      <w:r w:rsidRPr="0046672D">
        <w:rPr>
          <w:rFonts w:ascii="Arial" w:hAnsi="Arial" w:cs="Arial"/>
          <w:sz w:val="24"/>
          <w:szCs w:val="24"/>
          <w:lang w:val="mn-MN"/>
        </w:rPr>
        <w:t>иар буюу 176 сая ам.доллароор нэмэгдсэн байна.</w:t>
      </w:r>
    </w:p>
    <w:p w14:paraId="6D5C8D16" w14:textId="77777777" w:rsidR="00B052FA" w:rsidRPr="0046672D" w:rsidRDefault="00B052FA" w:rsidP="00B052FA">
      <w:pPr>
        <w:jc w:val="both"/>
        <w:rPr>
          <w:rFonts w:ascii="Arial" w:hAnsi="Arial" w:cs="Arial"/>
          <w:sz w:val="24"/>
          <w:szCs w:val="24"/>
          <w:lang w:val="mn-MN"/>
        </w:rPr>
      </w:pPr>
      <w:r w:rsidRPr="0046672D">
        <w:rPr>
          <w:rFonts w:ascii="Arial" w:hAnsi="Arial" w:cs="Arial"/>
          <w:sz w:val="24"/>
          <w:szCs w:val="24"/>
          <w:lang w:val="mn-MN"/>
        </w:rPr>
        <w:tab/>
        <w:t>Дээрх мэдээллийг Өрийн удирдлагын тухай хуулийн 11.1-д заасны дагуу Монголбанк, Сангийн яамнаас хамтран улсын нийт гадаад өрийн статистикийг улирал бүр нэгтгэн гаргадаг бөгөөд Монголбанк нь статистик мэдээлэл түгээх  хуваарийн дагуу улирлын хоцрогдолтойгоор өөрийн цахим хуудсаар дамжуулан олон нийтэд мэдээлэлж байна.</w:t>
      </w:r>
    </w:p>
    <w:p w14:paraId="129D819A" w14:textId="77777777" w:rsidR="00B052FA" w:rsidRPr="0046672D" w:rsidRDefault="00B052FA" w:rsidP="00FE3633">
      <w:pPr>
        <w:pStyle w:val="ListParagraph"/>
        <w:numPr>
          <w:ilvl w:val="1"/>
          <w:numId w:val="15"/>
        </w:numPr>
        <w:tabs>
          <w:tab w:val="left" w:pos="205"/>
          <w:tab w:val="left" w:pos="567"/>
        </w:tabs>
        <w:spacing w:line="22" w:lineRule="atLeast"/>
        <w:jc w:val="both"/>
        <w:rPr>
          <w:rFonts w:ascii="Arial" w:hAnsi="Arial" w:cs="Arial"/>
          <w:b/>
          <w:bCs/>
          <w:sz w:val="24"/>
          <w:szCs w:val="24"/>
          <w:lang w:val="mn-MN"/>
        </w:rPr>
      </w:pPr>
      <w:r w:rsidRPr="0046672D">
        <w:rPr>
          <w:rFonts w:ascii="Arial" w:hAnsi="Arial" w:cs="Arial"/>
          <w:b/>
          <w:bCs/>
          <w:sz w:val="24"/>
          <w:szCs w:val="24"/>
          <w:lang w:val="mn-MN"/>
        </w:rPr>
        <w:t>Засгийн газрын өрийн өнөөгийн нөхцөл байдал</w:t>
      </w:r>
    </w:p>
    <w:p w14:paraId="3F81A71E"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Засгийн газрын өрийн үлдэгдэл 2021 оны жилийн эцсийн урьдчилсан гүйцэтгэлээр 26,898.7 тэрбум төгрөг, өнөөгийн үнэ цэнээр илэрхийлсэн Засгийн газрын үлдэгдлийг ДНБ-д харьцуулсан харьцаа 50.7 хувьтай тэнцэж байна. Энэ нь 2019 оны мөн үеэс 4.5%-иар буурсан үзүүлэлт юм.</w:t>
      </w:r>
    </w:p>
    <w:p w14:paraId="6BF51040" w14:textId="77777777" w:rsidR="00B052FA" w:rsidRPr="0046672D" w:rsidRDefault="00B052FA" w:rsidP="00B052FA">
      <w:pPr>
        <w:spacing w:after="0"/>
        <w:rPr>
          <w:rFonts w:ascii="Arial" w:hAnsi="Arial" w:cs="Arial"/>
          <w:i/>
          <w:sz w:val="24"/>
          <w:szCs w:val="24"/>
          <w:lang w:val="mn-MN"/>
        </w:rPr>
      </w:pPr>
      <w:r w:rsidRPr="0046672D">
        <w:rPr>
          <w:rFonts w:ascii="Arial" w:hAnsi="Arial" w:cs="Arial"/>
          <w:i/>
          <w:sz w:val="24"/>
          <w:szCs w:val="24"/>
          <w:lang w:val="mn-MN"/>
        </w:rPr>
        <w:tab/>
        <w:t>Хүснэгт № 2. Засгийн газрын өр, 2019-2021 онд,</w:t>
      </w:r>
      <w:r w:rsidRPr="0046672D">
        <w:rPr>
          <w:rFonts w:ascii="Arial" w:hAnsi="Arial" w:cs="Arial"/>
          <w:i/>
          <w:iCs/>
          <w:sz w:val="24"/>
          <w:szCs w:val="24"/>
          <w:lang w:val="mn-MN"/>
        </w:rPr>
        <w:tab/>
        <w:t>тэрбум.төгрөг</w:t>
      </w:r>
    </w:p>
    <w:tbl>
      <w:tblPr>
        <w:tblStyle w:val="TableGrid"/>
        <w:tblW w:w="9365" w:type="dxa"/>
        <w:tblLayout w:type="fixed"/>
        <w:tblLook w:val="04A0" w:firstRow="1" w:lastRow="0" w:firstColumn="1" w:lastColumn="0" w:noHBand="0" w:noVBand="1"/>
      </w:tblPr>
      <w:tblGrid>
        <w:gridCol w:w="4916"/>
        <w:gridCol w:w="1473"/>
        <w:gridCol w:w="1569"/>
        <w:gridCol w:w="1407"/>
      </w:tblGrid>
      <w:tr w:rsidR="00B052FA" w:rsidRPr="0046672D" w14:paraId="03672CA2" w14:textId="77777777" w:rsidTr="00673716">
        <w:trPr>
          <w:trHeight w:val="413"/>
        </w:trPr>
        <w:tc>
          <w:tcPr>
            <w:tcW w:w="4916" w:type="dxa"/>
            <w:shd w:val="clear" w:color="auto" w:fill="D0CECE" w:themeFill="background2" w:themeFillShade="E6"/>
            <w:vAlign w:val="center"/>
          </w:tcPr>
          <w:p w14:paraId="337D45BC" w14:textId="77777777" w:rsidR="00B052FA" w:rsidRPr="0046672D" w:rsidRDefault="00B052FA" w:rsidP="00673716">
            <w:pPr>
              <w:rPr>
                <w:rFonts w:ascii="Arial" w:hAnsi="Arial" w:cs="Arial"/>
                <w:b/>
                <w:lang w:val="mn-MN"/>
              </w:rPr>
            </w:pPr>
            <w:r w:rsidRPr="0046672D">
              <w:rPr>
                <w:rFonts w:ascii="Arial" w:hAnsi="Arial" w:cs="Arial"/>
                <w:b/>
                <w:lang w:val="mn-MN"/>
              </w:rPr>
              <w:t>ӨРИЙН БҮТЭЦ, ӨРИЙН ХЭРЭГСЭЛ</w:t>
            </w:r>
          </w:p>
        </w:tc>
        <w:tc>
          <w:tcPr>
            <w:tcW w:w="1473" w:type="dxa"/>
            <w:shd w:val="clear" w:color="auto" w:fill="D0CECE" w:themeFill="background2" w:themeFillShade="E6"/>
            <w:vAlign w:val="center"/>
          </w:tcPr>
          <w:p w14:paraId="67E91915" w14:textId="77777777" w:rsidR="00B052FA" w:rsidRPr="0046672D" w:rsidRDefault="00B052FA" w:rsidP="00673716">
            <w:pPr>
              <w:jc w:val="right"/>
              <w:rPr>
                <w:rFonts w:ascii="Arial" w:hAnsi="Arial" w:cs="Arial"/>
                <w:b/>
                <w:lang w:val="mn-MN"/>
              </w:rPr>
            </w:pPr>
            <w:r w:rsidRPr="0046672D">
              <w:rPr>
                <w:rFonts w:ascii="Arial" w:hAnsi="Arial" w:cs="Arial"/>
                <w:b/>
                <w:lang w:val="mn-MN"/>
              </w:rPr>
              <w:t>2019 он</w:t>
            </w:r>
          </w:p>
        </w:tc>
        <w:tc>
          <w:tcPr>
            <w:tcW w:w="1569" w:type="dxa"/>
            <w:shd w:val="clear" w:color="auto" w:fill="D0CECE" w:themeFill="background2" w:themeFillShade="E6"/>
            <w:vAlign w:val="center"/>
          </w:tcPr>
          <w:p w14:paraId="74742805" w14:textId="77777777" w:rsidR="00B052FA" w:rsidRPr="0046672D" w:rsidRDefault="00B052FA" w:rsidP="00673716">
            <w:pPr>
              <w:jc w:val="right"/>
              <w:rPr>
                <w:rFonts w:ascii="Arial" w:hAnsi="Arial" w:cs="Arial"/>
                <w:b/>
                <w:lang w:val="mn-MN"/>
              </w:rPr>
            </w:pPr>
            <w:r w:rsidRPr="0046672D">
              <w:rPr>
                <w:rFonts w:ascii="Arial" w:hAnsi="Arial" w:cs="Arial"/>
                <w:b/>
                <w:lang w:val="mn-MN"/>
              </w:rPr>
              <w:t>2020 он</w:t>
            </w:r>
          </w:p>
        </w:tc>
        <w:tc>
          <w:tcPr>
            <w:tcW w:w="1407" w:type="dxa"/>
            <w:shd w:val="clear" w:color="auto" w:fill="D0CECE" w:themeFill="background2" w:themeFillShade="E6"/>
            <w:vAlign w:val="center"/>
          </w:tcPr>
          <w:p w14:paraId="27304F83" w14:textId="77777777" w:rsidR="00B052FA" w:rsidRPr="0046672D" w:rsidRDefault="00B052FA" w:rsidP="00673716">
            <w:pPr>
              <w:jc w:val="right"/>
              <w:rPr>
                <w:rFonts w:ascii="Arial" w:hAnsi="Arial" w:cs="Arial"/>
                <w:b/>
                <w:lang w:val="mn-MN"/>
              </w:rPr>
            </w:pPr>
            <w:r w:rsidRPr="0046672D">
              <w:rPr>
                <w:rFonts w:ascii="Arial" w:hAnsi="Arial" w:cs="Arial"/>
                <w:b/>
                <w:lang w:val="mn-MN"/>
              </w:rPr>
              <w:t>2021 он</w:t>
            </w:r>
          </w:p>
        </w:tc>
      </w:tr>
      <w:tr w:rsidR="00B052FA" w:rsidRPr="0046672D" w14:paraId="7D287315" w14:textId="77777777" w:rsidTr="00673716">
        <w:trPr>
          <w:trHeight w:val="271"/>
        </w:trPr>
        <w:tc>
          <w:tcPr>
            <w:tcW w:w="4916" w:type="dxa"/>
          </w:tcPr>
          <w:p w14:paraId="282806BD" w14:textId="77777777" w:rsidR="00B052FA" w:rsidRPr="0046672D" w:rsidRDefault="00B052FA" w:rsidP="00673716">
            <w:pPr>
              <w:rPr>
                <w:rFonts w:ascii="Arial" w:hAnsi="Arial" w:cs="Arial"/>
                <w:b/>
                <w:lang w:val="mn-MN"/>
              </w:rPr>
            </w:pPr>
            <w:r w:rsidRPr="0046672D">
              <w:rPr>
                <w:rFonts w:ascii="Arial" w:eastAsia="Times New Roman" w:hAnsi="Arial" w:cs="Arial"/>
                <w:b/>
                <w:lang w:val="mn-MN"/>
              </w:rPr>
              <w:t>1. Засгийн газрын дотоод өр</w:t>
            </w:r>
          </w:p>
        </w:tc>
        <w:tc>
          <w:tcPr>
            <w:tcW w:w="1473" w:type="dxa"/>
          </w:tcPr>
          <w:p w14:paraId="229749DE" w14:textId="77777777" w:rsidR="00B052FA" w:rsidRPr="0046672D" w:rsidRDefault="00B052FA" w:rsidP="00673716">
            <w:pPr>
              <w:jc w:val="right"/>
              <w:rPr>
                <w:rFonts w:ascii="Arial" w:hAnsi="Arial" w:cs="Arial"/>
                <w:b/>
                <w:lang w:val="mn-MN"/>
              </w:rPr>
            </w:pPr>
            <w:r w:rsidRPr="0046672D">
              <w:rPr>
                <w:rFonts w:ascii="Arial" w:hAnsi="Arial" w:cs="Arial"/>
                <w:b/>
                <w:lang w:val="mn-MN"/>
              </w:rPr>
              <w:t>1,399.6</w:t>
            </w:r>
          </w:p>
        </w:tc>
        <w:tc>
          <w:tcPr>
            <w:tcW w:w="1569" w:type="dxa"/>
          </w:tcPr>
          <w:p w14:paraId="20F98EE2" w14:textId="77777777" w:rsidR="00B052FA" w:rsidRPr="0046672D" w:rsidRDefault="00B052FA" w:rsidP="00673716">
            <w:pPr>
              <w:jc w:val="right"/>
              <w:rPr>
                <w:rFonts w:ascii="Arial" w:hAnsi="Arial" w:cs="Arial"/>
                <w:b/>
                <w:lang w:val="mn-MN"/>
              </w:rPr>
            </w:pPr>
            <w:r w:rsidRPr="0046672D">
              <w:rPr>
                <w:rFonts w:ascii="Arial" w:hAnsi="Arial" w:cs="Arial"/>
                <w:b/>
                <w:lang w:val="mn-MN"/>
              </w:rPr>
              <w:t>1,136.6</w:t>
            </w:r>
          </w:p>
        </w:tc>
        <w:tc>
          <w:tcPr>
            <w:tcW w:w="1407" w:type="dxa"/>
          </w:tcPr>
          <w:p w14:paraId="20EB47A6" w14:textId="77777777" w:rsidR="00B052FA" w:rsidRPr="0046672D" w:rsidRDefault="00B052FA" w:rsidP="00673716">
            <w:pPr>
              <w:jc w:val="right"/>
              <w:rPr>
                <w:rFonts w:ascii="Arial" w:hAnsi="Arial" w:cs="Arial"/>
                <w:b/>
                <w:lang w:val="mn-MN"/>
              </w:rPr>
            </w:pPr>
            <w:r w:rsidRPr="0046672D">
              <w:rPr>
                <w:rFonts w:ascii="Arial" w:hAnsi="Arial" w:cs="Arial"/>
                <w:b/>
                <w:lang w:val="mn-MN"/>
              </w:rPr>
              <w:t>657.3</w:t>
            </w:r>
          </w:p>
        </w:tc>
      </w:tr>
      <w:tr w:rsidR="00B052FA" w:rsidRPr="0046672D" w14:paraId="3CD3B802" w14:textId="77777777" w:rsidTr="00673716">
        <w:trPr>
          <w:trHeight w:val="271"/>
        </w:trPr>
        <w:tc>
          <w:tcPr>
            <w:tcW w:w="4916" w:type="dxa"/>
          </w:tcPr>
          <w:p w14:paraId="13D3ED49" w14:textId="77777777" w:rsidR="00B052FA" w:rsidRPr="0046672D" w:rsidRDefault="00B052FA" w:rsidP="00673716">
            <w:pPr>
              <w:rPr>
                <w:rFonts w:ascii="Arial" w:hAnsi="Arial" w:cs="Arial"/>
                <w:lang w:val="mn-MN"/>
              </w:rPr>
            </w:pPr>
            <w:r w:rsidRPr="0046672D">
              <w:rPr>
                <w:rFonts w:ascii="Arial" w:eastAsia="Times New Roman" w:hAnsi="Arial" w:cs="Arial"/>
                <w:lang w:val="mn-MN"/>
              </w:rPr>
              <w:t xml:space="preserve">    1.1. Үнэт цаас</w:t>
            </w:r>
          </w:p>
        </w:tc>
        <w:tc>
          <w:tcPr>
            <w:tcW w:w="1473" w:type="dxa"/>
          </w:tcPr>
          <w:p w14:paraId="4442B85A" w14:textId="77777777" w:rsidR="00B052FA" w:rsidRPr="0046672D" w:rsidRDefault="00B052FA" w:rsidP="00673716">
            <w:pPr>
              <w:jc w:val="right"/>
              <w:rPr>
                <w:rFonts w:ascii="Arial" w:hAnsi="Arial" w:cs="Arial"/>
                <w:lang w:val="mn-MN"/>
              </w:rPr>
            </w:pPr>
            <w:r w:rsidRPr="0046672D">
              <w:rPr>
                <w:rFonts w:ascii="Arial" w:hAnsi="Arial" w:cs="Arial"/>
                <w:lang w:val="mn-MN"/>
              </w:rPr>
              <w:t>1,399.6</w:t>
            </w:r>
          </w:p>
        </w:tc>
        <w:tc>
          <w:tcPr>
            <w:tcW w:w="1569" w:type="dxa"/>
          </w:tcPr>
          <w:p w14:paraId="4EA71C54" w14:textId="77777777" w:rsidR="00B052FA" w:rsidRPr="0046672D" w:rsidRDefault="00B052FA" w:rsidP="00673716">
            <w:pPr>
              <w:jc w:val="right"/>
              <w:rPr>
                <w:rFonts w:ascii="Arial" w:hAnsi="Arial" w:cs="Arial"/>
                <w:lang w:val="mn-MN"/>
              </w:rPr>
            </w:pPr>
            <w:r w:rsidRPr="0046672D">
              <w:rPr>
                <w:rFonts w:ascii="Arial" w:hAnsi="Arial" w:cs="Arial"/>
                <w:lang w:val="mn-MN"/>
              </w:rPr>
              <w:t>1,136.6</w:t>
            </w:r>
          </w:p>
        </w:tc>
        <w:tc>
          <w:tcPr>
            <w:tcW w:w="1407" w:type="dxa"/>
          </w:tcPr>
          <w:p w14:paraId="7BF68EDD" w14:textId="77777777" w:rsidR="00B052FA" w:rsidRPr="0046672D" w:rsidRDefault="00B052FA" w:rsidP="00673716">
            <w:pPr>
              <w:jc w:val="right"/>
              <w:rPr>
                <w:rFonts w:ascii="Arial" w:hAnsi="Arial" w:cs="Arial"/>
                <w:lang w:val="mn-MN"/>
              </w:rPr>
            </w:pPr>
            <w:r w:rsidRPr="0046672D">
              <w:rPr>
                <w:rFonts w:ascii="Arial" w:hAnsi="Arial" w:cs="Arial"/>
                <w:lang w:val="mn-MN"/>
              </w:rPr>
              <w:t>657.3</w:t>
            </w:r>
          </w:p>
        </w:tc>
      </w:tr>
      <w:tr w:rsidR="00B052FA" w:rsidRPr="0046672D" w14:paraId="67E3D011" w14:textId="77777777" w:rsidTr="00673716">
        <w:trPr>
          <w:trHeight w:val="271"/>
        </w:trPr>
        <w:tc>
          <w:tcPr>
            <w:tcW w:w="4916" w:type="dxa"/>
          </w:tcPr>
          <w:p w14:paraId="21470B28" w14:textId="77777777" w:rsidR="00B052FA" w:rsidRPr="0046672D" w:rsidRDefault="00B052FA" w:rsidP="00673716">
            <w:pPr>
              <w:rPr>
                <w:rFonts w:ascii="Arial" w:hAnsi="Arial" w:cs="Arial"/>
                <w:b/>
                <w:lang w:val="mn-MN"/>
              </w:rPr>
            </w:pPr>
            <w:r w:rsidRPr="0046672D">
              <w:rPr>
                <w:rFonts w:ascii="Arial" w:eastAsia="Times New Roman" w:hAnsi="Arial" w:cs="Arial"/>
                <w:b/>
                <w:lang w:val="mn-MN"/>
              </w:rPr>
              <w:t>2. Засгийн газрын гадаад өр</w:t>
            </w:r>
          </w:p>
        </w:tc>
        <w:tc>
          <w:tcPr>
            <w:tcW w:w="1473" w:type="dxa"/>
          </w:tcPr>
          <w:p w14:paraId="3D83BC9F" w14:textId="77777777" w:rsidR="00B052FA" w:rsidRPr="0046672D" w:rsidRDefault="00B052FA" w:rsidP="00673716">
            <w:pPr>
              <w:jc w:val="right"/>
              <w:rPr>
                <w:rFonts w:ascii="Arial" w:hAnsi="Arial" w:cs="Arial"/>
                <w:b/>
                <w:lang w:val="mn-MN"/>
              </w:rPr>
            </w:pPr>
            <w:r w:rsidRPr="0046672D">
              <w:rPr>
                <w:rFonts w:ascii="Arial" w:hAnsi="Arial" w:cs="Arial"/>
                <w:b/>
                <w:lang w:val="mn-MN"/>
              </w:rPr>
              <w:t>20,728.1</w:t>
            </w:r>
          </w:p>
        </w:tc>
        <w:tc>
          <w:tcPr>
            <w:tcW w:w="1569" w:type="dxa"/>
          </w:tcPr>
          <w:p w14:paraId="01E7F75B" w14:textId="77777777" w:rsidR="00B052FA" w:rsidRPr="0046672D" w:rsidRDefault="00B052FA" w:rsidP="00673716">
            <w:pPr>
              <w:jc w:val="right"/>
              <w:rPr>
                <w:rFonts w:ascii="Arial" w:hAnsi="Arial" w:cs="Arial"/>
                <w:b/>
                <w:lang w:val="mn-MN"/>
              </w:rPr>
            </w:pPr>
            <w:r w:rsidRPr="0046672D">
              <w:rPr>
                <w:rFonts w:ascii="Arial" w:hAnsi="Arial" w:cs="Arial"/>
                <w:b/>
                <w:lang w:val="mn-MN"/>
              </w:rPr>
              <w:t>24,851.4</w:t>
            </w:r>
          </w:p>
        </w:tc>
        <w:tc>
          <w:tcPr>
            <w:tcW w:w="1407" w:type="dxa"/>
          </w:tcPr>
          <w:p w14:paraId="3B091E7F" w14:textId="77777777" w:rsidR="00B052FA" w:rsidRPr="0046672D" w:rsidRDefault="00B052FA" w:rsidP="00673716">
            <w:pPr>
              <w:jc w:val="right"/>
              <w:rPr>
                <w:rFonts w:ascii="Arial" w:hAnsi="Arial" w:cs="Arial"/>
                <w:b/>
                <w:lang w:val="mn-MN"/>
              </w:rPr>
            </w:pPr>
            <w:r w:rsidRPr="0046672D">
              <w:rPr>
                <w:rFonts w:ascii="Arial" w:hAnsi="Arial" w:cs="Arial"/>
                <w:b/>
                <w:lang w:val="mn-MN"/>
              </w:rPr>
              <w:t>24,693.3</w:t>
            </w:r>
          </w:p>
        </w:tc>
      </w:tr>
      <w:tr w:rsidR="00B052FA" w:rsidRPr="0046672D" w14:paraId="360A2FC7" w14:textId="77777777" w:rsidTr="00673716">
        <w:trPr>
          <w:trHeight w:val="271"/>
        </w:trPr>
        <w:tc>
          <w:tcPr>
            <w:tcW w:w="4916" w:type="dxa"/>
          </w:tcPr>
          <w:p w14:paraId="29B21C88" w14:textId="77777777" w:rsidR="00B052FA" w:rsidRPr="0046672D" w:rsidRDefault="00B052FA" w:rsidP="00673716">
            <w:pPr>
              <w:rPr>
                <w:rFonts w:ascii="Arial" w:hAnsi="Arial" w:cs="Arial"/>
                <w:lang w:val="mn-MN"/>
              </w:rPr>
            </w:pPr>
            <w:r w:rsidRPr="0046672D">
              <w:rPr>
                <w:rFonts w:ascii="Arial" w:eastAsia="Times New Roman" w:hAnsi="Arial" w:cs="Arial"/>
                <w:lang w:val="mn-MN"/>
              </w:rPr>
              <w:t xml:space="preserve">    2.1. Үнэт цаас</w:t>
            </w:r>
          </w:p>
        </w:tc>
        <w:tc>
          <w:tcPr>
            <w:tcW w:w="1473" w:type="dxa"/>
          </w:tcPr>
          <w:p w14:paraId="30FD46A7" w14:textId="77777777" w:rsidR="00B052FA" w:rsidRPr="0046672D" w:rsidRDefault="00B052FA" w:rsidP="00673716">
            <w:pPr>
              <w:jc w:val="right"/>
              <w:rPr>
                <w:rFonts w:ascii="Arial" w:hAnsi="Arial" w:cs="Arial"/>
                <w:lang w:val="mn-MN"/>
              </w:rPr>
            </w:pPr>
            <w:r w:rsidRPr="0046672D">
              <w:rPr>
                <w:rFonts w:ascii="Arial" w:hAnsi="Arial" w:cs="Arial"/>
                <w:lang w:val="mn-MN"/>
              </w:rPr>
              <w:t>7,927.2</w:t>
            </w:r>
          </w:p>
        </w:tc>
        <w:tc>
          <w:tcPr>
            <w:tcW w:w="1569" w:type="dxa"/>
          </w:tcPr>
          <w:p w14:paraId="7F8C45D0" w14:textId="77777777" w:rsidR="00B052FA" w:rsidRPr="0046672D" w:rsidRDefault="00B052FA" w:rsidP="00673716">
            <w:pPr>
              <w:jc w:val="right"/>
              <w:rPr>
                <w:rFonts w:ascii="Arial" w:hAnsi="Arial" w:cs="Arial"/>
                <w:lang w:val="mn-MN"/>
              </w:rPr>
            </w:pPr>
            <w:r w:rsidRPr="0046672D">
              <w:rPr>
                <w:rFonts w:ascii="Arial" w:hAnsi="Arial" w:cs="Arial"/>
                <w:lang w:val="mn-MN"/>
              </w:rPr>
              <w:t>8,354.0</w:t>
            </w:r>
          </w:p>
        </w:tc>
        <w:tc>
          <w:tcPr>
            <w:tcW w:w="1407" w:type="dxa"/>
          </w:tcPr>
          <w:p w14:paraId="435F31E6" w14:textId="77777777" w:rsidR="00B052FA" w:rsidRPr="0046672D" w:rsidRDefault="00B052FA" w:rsidP="00673716">
            <w:pPr>
              <w:jc w:val="right"/>
              <w:rPr>
                <w:rFonts w:ascii="Arial" w:hAnsi="Arial" w:cs="Arial"/>
                <w:lang w:val="mn-MN"/>
              </w:rPr>
            </w:pPr>
            <w:r w:rsidRPr="0046672D">
              <w:rPr>
                <w:rFonts w:ascii="Arial" w:hAnsi="Arial" w:cs="Arial"/>
                <w:lang w:val="mn-MN"/>
              </w:rPr>
              <w:t>8,175.6</w:t>
            </w:r>
          </w:p>
        </w:tc>
      </w:tr>
      <w:tr w:rsidR="00B052FA" w:rsidRPr="0046672D" w14:paraId="3D5EE6CE" w14:textId="77777777" w:rsidTr="00673716">
        <w:trPr>
          <w:trHeight w:val="271"/>
        </w:trPr>
        <w:tc>
          <w:tcPr>
            <w:tcW w:w="4916" w:type="dxa"/>
          </w:tcPr>
          <w:p w14:paraId="3FD7BC5C" w14:textId="77777777" w:rsidR="00B052FA" w:rsidRPr="0046672D" w:rsidRDefault="00B052FA" w:rsidP="00673716">
            <w:pPr>
              <w:rPr>
                <w:rFonts w:ascii="Arial" w:hAnsi="Arial" w:cs="Arial"/>
                <w:lang w:val="mn-MN"/>
              </w:rPr>
            </w:pPr>
            <w:r w:rsidRPr="0046672D">
              <w:rPr>
                <w:rFonts w:ascii="Arial" w:eastAsia="Times New Roman" w:hAnsi="Arial" w:cs="Arial"/>
                <w:lang w:val="mn-MN"/>
              </w:rPr>
              <w:t xml:space="preserve">    2.2. Зээл</w:t>
            </w:r>
          </w:p>
        </w:tc>
        <w:tc>
          <w:tcPr>
            <w:tcW w:w="1473" w:type="dxa"/>
          </w:tcPr>
          <w:p w14:paraId="5261F1CF" w14:textId="77777777" w:rsidR="00B052FA" w:rsidRPr="0046672D" w:rsidRDefault="00B052FA" w:rsidP="00673716">
            <w:pPr>
              <w:jc w:val="right"/>
              <w:rPr>
                <w:rFonts w:ascii="Arial" w:hAnsi="Arial" w:cs="Arial"/>
                <w:lang w:val="mn-MN"/>
              </w:rPr>
            </w:pPr>
            <w:r w:rsidRPr="0046672D">
              <w:rPr>
                <w:rFonts w:ascii="Arial" w:hAnsi="Arial" w:cs="Arial"/>
                <w:lang w:val="mn-MN"/>
              </w:rPr>
              <w:t>12,800.9</w:t>
            </w:r>
          </w:p>
        </w:tc>
        <w:tc>
          <w:tcPr>
            <w:tcW w:w="1569" w:type="dxa"/>
          </w:tcPr>
          <w:p w14:paraId="12866A9E" w14:textId="77777777" w:rsidR="00B052FA" w:rsidRPr="0046672D" w:rsidRDefault="00B052FA" w:rsidP="00673716">
            <w:pPr>
              <w:jc w:val="right"/>
              <w:rPr>
                <w:rFonts w:ascii="Arial" w:hAnsi="Arial" w:cs="Arial"/>
                <w:lang w:val="mn-MN"/>
              </w:rPr>
            </w:pPr>
            <w:r w:rsidRPr="0046672D">
              <w:rPr>
                <w:rFonts w:ascii="Arial" w:hAnsi="Arial" w:cs="Arial"/>
                <w:lang w:val="mn-MN"/>
              </w:rPr>
              <w:t>16,497.4</w:t>
            </w:r>
          </w:p>
        </w:tc>
        <w:tc>
          <w:tcPr>
            <w:tcW w:w="1407" w:type="dxa"/>
          </w:tcPr>
          <w:p w14:paraId="49B4EFC3" w14:textId="77777777" w:rsidR="00B052FA" w:rsidRPr="0046672D" w:rsidRDefault="00B052FA" w:rsidP="00673716">
            <w:pPr>
              <w:jc w:val="right"/>
              <w:rPr>
                <w:rFonts w:ascii="Arial" w:hAnsi="Arial" w:cs="Arial"/>
                <w:lang w:val="mn-MN"/>
              </w:rPr>
            </w:pPr>
            <w:r w:rsidRPr="0046672D">
              <w:rPr>
                <w:rFonts w:ascii="Arial" w:hAnsi="Arial" w:cs="Arial"/>
                <w:lang w:val="mn-MN"/>
              </w:rPr>
              <w:t>16,517.7</w:t>
            </w:r>
          </w:p>
        </w:tc>
      </w:tr>
      <w:tr w:rsidR="00B052FA" w:rsidRPr="0046672D" w14:paraId="67244AAF" w14:textId="77777777" w:rsidTr="00673716">
        <w:trPr>
          <w:trHeight w:val="271"/>
        </w:trPr>
        <w:tc>
          <w:tcPr>
            <w:tcW w:w="4916" w:type="dxa"/>
          </w:tcPr>
          <w:p w14:paraId="7CC933F1" w14:textId="77777777" w:rsidR="00B052FA" w:rsidRPr="0046672D" w:rsidRDefault="00B052FA" w:rsidP="00673716">
            <w:pPr>
              <w:rPr>
                <w:rFonts w:ascii="Arial" w:hAnsi="Arial" w:cs="Arial"/>
                <w:b/>
                <w:lang w:val="mn-MN"/>
              </w:rPr>
            </w:pPr>
            <w:r w:rsidRPr="0046672D">
              <w:rPr>
                <w:rFonts w:ascii="Arial" w:eastAsia="Times New Roman" w:hAnsi="Arial" w:cs="Arial"/>
                <w:b/>
                <w:lang w:val="mn-MN"/>
              </w:rPr>
              <w:t>3. Бусад өр төлбөр</w:t>
            </w:r>
          </w:p>
        </w:tc>
        <w:tc>
          <w:tcPr>
            <w:tcW w:w="1473" w:type="dxa"/>
          </w:tcPr>
          <w:p w14:paraId="4DDA8CDA" w14:textId="77777777" w:rsidR="00B052FA" w:rsidRPr="0046672D" w:rsidRDefault="00B052FA" w:rsidP="00673716">
            <w:pPr>
              <w:jc w:val="right"/>
              <w:rPr>
                <w:rFonts w:ascii="Arial" w:hAnsi="Arial" w:cs="Arial"/>
                <w:b/>
                <w:lang w:val="mn-MN"/>
              </w:rPr>
            </w:pPr>
            <w:r w:rsidRPr="0046672D">
              <w:rPr>
                <w:rFonts w:ascii="Arial" w:hAnsi="Arial" w:cs="Arial"/>
                <w:b/>
                <w:lang w:val="mn-MN"/>
              </w:rPr>
              <w:t>2072.0</w:t>
            </w:r>
          </w:p>
        </w:tc>
        <w:tc>
          <w:tcPr>
            <w:tcW w:w="1569" w:type="dxa"/>
          </w:tcPr>
          <w:p w14:paraId="545A5B0A" w14:textId="77777777" w:rsidR="00B052FA" w:rsidRPr="0046672D" w:rsidRDefault="00B052FA" w:rsidP="00673716">
            <w:pPr>
              <w:jc w:val="right"/>
              <w:rPr>
                <w:rFonts w:ascii="Arial" w:hAnsi="Arial" w:cs="Arial"/>
                <w:b/>
                <w:lang w:val="mn-MN"/>
              </w:rPr>
            </w:pPr>
            <w:r w:rsidRPr="0046672D">
              <w:rPr>
                <w:rFonts w:ascii="Arial" w:hAnsi="Arial" w:cs="Arial"/>
                <w:b/>
                <w:lang w:val="mn-MN"/>
              </w:rPr>
              <w:t>1,910.6</w:t>
            </w:r>
          </w:p>
        </w:tc>
        <w:tc>
          <w:tcPr>
            <w:tcW w:w="1407" w:type="dxa"/>
          </w:tcPr>
          <w:p w14:paraId="2963724A" w14:textId="77777777" w:rsidR="00B052FA" w:rsidRPr="0046672D" w:rsidRDefault="00B052FA" w:rsidP="00673716">
            <w:pPr>
              <w:jc w:val="right"/>
              <w:rPr>
                <w:rFonts w:ascii="Arial" w:hAnsi="Arial" w:cs="Arial"/>
                <w:b/>
                <w:lang w:val="mn-MN"/>
              </w:rPr>
            </w:pPr>
            <w:r w:rsidRPr="0046672D">
              <w:rPr>
                <w:rFonts w:ascii="Arial" w:hAnsi="Arial" w:cs="Arial"/>
                <w:b/>
                <w:lang w:val="mn-MN"/>
              </w:rPr>
              <w:t>1,550.4</w:t>
            </w:r>
          </w:p>
        </w:tc>
      </w:tr>
      <w:tr w:rsidR="00B052FA" w:rsidRPr="0046672D" w14:paraId="182C4A57" w14:textId="77777777" w:rsidTr="00673716">
        <w:trPr>
          <w:trHeight w:val="271"/>
        </w:trPr>
        <w:tc>
          <w:tcPr>
            <w:tcW w:w="4916" w:type="dxa"/>
          </w:tcPr>
          <w:p w14:paraId="7652188D" w14:textId="77777777" w:rsidR="00B052FA" w:rsidRPr="0046672D" w:rsidRDefault="00B052FA" w:rsidP="00673716">
            <w:pPr>
              <w:rPr>
                <w:rFonts w:ascii="Arial" w:hAnsi="Arial" w:cs="Arial"/>
                <w:lang w:val="mn-MN"/>
              </w:rPr>
            </w:pPr>
            <w:r w:rsidRPr="0046672D">
              <w:rPr>
                <w:rFonts w:ascii="Arial" w:eastAsia="Times New Roman" w:hAnsi="Arial" w:cs="Arial"/>
                <w:b/>
                <w:lang w:val="mn-MN"/>
              </w:rPr>
              <w:t xml:space="preserve">    </w:t>
            </w:r>
            <w:r w:rsidRPr="0046672D">
              <w:rPr>
                <w:rFonts w:ascii="Arial" w:eastAsia="Times New Roman" w:hAnsi="Arial" w:cs="Arial"/>
                <w:lang w:val="mn-MN"/>
              </w:rPr>
              <w:t>3.1. Засгийн газрын өрийн баталгаа</w:t>
            </w:r>
          </w:p>
        </w:tc>
        <w:tc>
          <w:tcPr>
            <w:tcW w:w="1473" w:type="dxa"/>
          </w:tcPr>
          <w:p w14:paraId="4684D887" w14:textId="77777777" w:rsidR="00B052FA" w:rsidRPr="0046672D" w:rsidRDefault="00B052FA" w:rsidP="00673716">
            <w:pPr>
              <w:jc w:val="right"/>
              <w:rPr>
                <w:rFonts w:ascii="Arial" w:hAnsi="Arial" w:cs="Arial"/>
                <w:lang w:val="mn-MN"/>
              </w:rPr>
            </w:pPr>
            <w:r w:rsidRPr="0046672D">
              <w:rPr>
                <w:rFonts w:ascii="Arial" w:hAnsi="Arial" w:cs="Arial"/>
                <w:lang w:val="mn-MN"/>
              </w:rPr>
              <w:t>1,076.3</w:t>
            </w:r>
          </w:p>
        </w:tc>
        <w:tc>
          <w:tcPr>
            <w:tcW w:w="1569" w:type="dxa"/>
          </w:tcPr>
          <w:p w14:paraId="71737DE5" w14:textId="77777777" w:rsidR="00B052FA" w:rsidRPr="0046672D" w:rsidRDefault="00B052FA" w:rsidP="00673716">
            <w:pPr>
              <w:jc w:val="right"/>
              <w:rPr>
                <w:rFonts w:ascii="Arial" w:hAnsi="Arial" w:cs="Arial"/>
                <w:lang w:val="mn-MN"/>
              </w:rPr>
            </w:pPr>
            <w:r w:rsidRPr="0046672D">
              <w:rPr>
                <w:rFonts w:ascii="Arial" w:hAnsi="Arial" w:cs="Arial"/>
                <w:lang w:val="mn-MN"/>
              </w:rPr>
              <w:t>1,060.4</w:t>
            </w:r>
          </w:p>
        </w:tc>
        <w:tc>
          <w:tcPr>
            <w:tcW w:w="1407" w:type="dxa"/>
          </w:tcPr>
          <w:p w14:paraId="76B1A5A3" w14:textId="77777777" w:rsidR="00B052FA" w:rsidRPr="0046672D" w:rsidRDefault="00B052FA" w:rsidP="00673716">
            <w:pPr>
              <w:tabs>
                <w:tab w:val="left" w:pos="901"/>
              </w:tabs>
              <w:ind w:left="617" w:hanging="617"/>
              <w:jc w:val="right"/>
              <w:rPr>
                <w:rFonts w:ascii="Arial" w:hAnsi="Arial" w:cs="Arial"/>
                <w:lang w:val="mn-MN"/>
              </w:rPr>
            </w:pPr>
            <w:r w:rsidRPr="0046672D">
              <w:rPr>
                <w:rFonts w:ascii="Arial" w:hAnsi="Arial" w:cs="Arial"/>
                <w:lang w:val="mn-MN"/>
              </w:rPr>
              <w:t>876.5</w:t>
            </w:r>
          </w:p>
        </w:tc>
      </w:tr>
      <w:tr w:rsidR="00B052FA" w:rsidRPr="0046672D" w14:paraId="439F924A" w14:textId="77777777" w:rsidTr="00673716">
        <w:trPr>
          <w:trHeight w:val="271"/>
        </w:trPr>
        <w:tc>
          <w:tcPr>
            <w:tcW w:w="4916" w:type="dxa"/>
          </w:tcPr>
          <w:p w14:paraId="762CA346" w14:textId="77777777" w:rsidR="00B052FA" w:rsidRPr="0046672D" w:rsidRDefault="00B052FA" w:rsidP="00673716">
            <w:pPr>
              <w:rPr>
                <w:rFonts w:ascii="Arial" w:hAnsi="Arial" w:cs="Arial"/>
                <w:lang w:val="mn-MN"/>
              </w:rPr>
            </w:pPr>
            <w:r w:rsidRPr="0046672D">
              <w:rPr>
                <w:rFonts w:ascii="Arial" w:eastAsia="Times New Roman" w:hAnsi="Arial" w:cs="Arial"/>
                <w:lang w:val="mn-MN"/>
              </w:rPr>
              <w:t xml:space="preserve">    3.2. Концесс (“барих-шилжүүлэх”)</w:t>
            </w:r>
          </w:p>
        </w:tc>
        <w:tc>
          <w:tcPr>
            <w:tcW w:w="1473" w:type="dxa"/>
          </w:tcPr>
          <w:p w14:paraId="2980B30F" w14:textId="77777777" w:rsidR="00B052FA" w:rsidRPr="0046672D" w:rsidRDefault="00B052FA" w:rsidP="00673716">
            <w:pPr>
              <w:jc w:val="right"/>
              <w:rPr>
                <w:rFonts w:ascii="Arial" w:hAnsi="Arial" w:cs="Arial"/>
                <w:lang w:val="mn-MN"/>
              </w:rPr>
            </w:pPr>
            <w:r w:rsidRPr="0046672D">
              <w:rPr>
                <w:rFonts w:ascii="Arial" w:hAnsi="Arial" w:cs="Arial"/>
                <w:lang w:val="mn-MN"/>
              </w:rPr>
              <w:t>995.7</w:t>
            </w:r>
          </w:p>
        </w:tc>
        <w:tc>
          <w:tcPr>
            <w:tcW w:w="1569" w:type="dxa"/>
          </w:tcPr>
          <w:p w14:paraId="49621F64" w14:textId="77777777" w:rsidR="00B052FA" w:rsidRPr="0046672D" w:rsidRDefault="00B052FA" w:rsidP="00673716">
            <w:pPr>
              <w:jc w:val="right"/>
              <w:rPr>
                <w:rFonts w:ascii="Arial" w:hAnsi="Arial" w:cs="Arial"/>
                <w:lang w:val="mn-MN"/>
              </w:rPr>
            </w:pPr>
            <w:r w:rsidRPr="0046672D">
              <w:rPr>
                <w:rFonts w:ascii="Arial" w:hAnsi="Arial" w:cs="Arial"/>
                <w:lang w:val="mn-MN"/>
              </w:rPr>
              <w:t>850.2</w:t>
            </w:r>
          </w:p>
        </w:tc>
        <w:tc>
          <w:tcPr>
            <w:tcW w:w="1407" w:type="dxa"/>
          </w:tcPr>
          <w:p w14:paraId="545B0A1B" w14:textId="77777777" w:rsidR="00B052FA" w:rsidRPr="0046672D" w:rsidRDefault="00B052FA" w:rsidP="00673716">
            <w:pPr>
              <w:jc w:val="right"/>
              <w:rPr>
                <w:rFonts w:ascii="Arial" w:hAnsi="Arial" w:cs="Arial"/>
                <w:lang w:val="mn-MN"/>
              </w:rPr>
            </w:pPr>
            <w:r w:rsidRPr="0046672D">
              <w:rPr>
                <w:rFonts w:ascii="Arial" w:hAnsi="Arial" w:cs="Arial"/>
                <w:lang w:val="mn-MN"/>
              </w:rPr>
              <w:t>673.9</w:t>
            </w:r>
          </w:p>
        </w:tc>
      </w:tr>
      <w:tr w:rsidR="00B052FA" w:rsidRPr="0046672D" w14:paraId="21378E67" w14:textId="77777777" w:rsidTr="00673716">
        <w:trPr>
          <w:trHeight w:val="271"/>
        </w:trPr>
        <w:tc>
          <w:tcPr>
            <w:tcW w:w="4916" w:type="dxa"/>
          </w:tcPr>
          <w:p w14:paraId="5BBBEA9C" w14:textId="77777777" w:rsidR="00B052FA" w:rsidRPr="0046672D" w:rsidRDefault="00B052FA" w:rsidP="00673716">
            <w:pPr>
              <w:rPr>
                <w:rFonts w:ascii="Arial" w:eastAsia="Times New Roman" w:hAnsi="Arial" w:cs="Arial"/>
                <w:lang w:val="mn-MN"/>
              </w:rPr>
            </w:pPr>
            <w:r w:rsidRPr="0046672D">
              <w:rPr>
                <w:rFonts w:ascii="Arial" w:eastAsia="Times New Roman" w:hAnsi="Arial" w:cs="Arial"/>
                <w:b/>
                <w:lang w:val="mn-MN"/>
              </w:rPr>
              <w:t>4. Орон нутгийн зээллэг</w:t>
            </w:r>
          </w:p>
        </w:tc>
        <w:tc>
          <w:tcPr>
            <w:tcW w:w="1473" w:type="dxa"/>
          </w:tcPr>
          <w:p w14:paraId="532458AF" w14:textId="77777777" w:rsidR="00B052FA" w:rsidRPr="0046672D" w:rsidRDefault="00B052FA" w:rsidP="00673716">
            <w:pPr>
              <w:jc w:val="right"/>
              <w:rPr>
                <w:rFonts w:ascii="Arial" w:hAnsi="Arial" w:cs="Arial"/>
                <w:b/>
                <w:bCs/>
                <w:lang w:val="mn-MN"/>
              </w:rPr>
            </w:pPr>
            <w:r w:rsidRPr="0046672D">
              <w:rPr>
                <w:rFonts w:ascii="Arial" w:hAnsi="Arial" w:cs="Arial"/>
                <w:b/>
                <w:bCs/>
                <w:lang w:val="mn-MN"/>
              </w:rPr>
              <w:t>-</w:t>
            </w:r>
          </w:p>
        </w:tc>
        <w:tc>
          <w:tcPr>
            <w:tcW w:w="1569" w:type="dxa"/>
          </w:tcPr>
          <w:p w14:paraId="346B0EA3" w14:textId="77777777" w:rsidR="00B052FA" w:rsidRPr="0046672D" w:rsidRDefault="00B052FA" w:rsidP="00673716">
            <w:pPr>
              <w:jc w:val="right"/>
              <w:rPr>
                <w:rFonts w:ascii="Arial" w:hAnsi="Arial" w:cs="Arial"/>
                <w:b/>
                <w:bCs/>
                <w:lang w:val="mn-MN"/>
              </w:rPr>
            </w:pPr>
            <w:r w:rsidRPr="0046672D">
              <w:rPr>
                <w:rFonts w:ascii="Arial" w:hAnsi="Arial" w:cs="Arial"/>
                <w:b/>
                <w:bCs/>
                <w:lang w:val="mn-MN"/>
              </w:rPr>
              <w:t>-</w:t>
            </w:r>
          </w:p>
        </w:tc>
        <w:tc>
          <w:tcPr>
            <w:tcW w:w="1407" w:type="dxa"/>
          </w:tcPr>
          <w:p w14:paraId="0A1D4D9F" w14:textId="77777777" w:rsidR="00B052FA" w:rsidRPr="0046672D" w:rsidRDefault="00B052FA" w:rsidP="00673716">
            <w:pPr>
              <w:jc w:val="right"/>
              <w:rPr>
                <w:rFonts w:ascii="Arial" w:hAnsi="Arial" w:cs="Arial"/>
                <w:b/>
                <w:bCs/>
                <w:lang w:val="mn-MN"/>
              </w:rPr>
            </w:pPr>
            <w:r w:rsidRPr="0046672D">
              <w:rPr>
                <w:rFonts w:ascii="Arial" w:hAnsi="Arial" w:cs="Arial"/>
                <w:b/>
                <w:bCs/>
                <w:lang w:val="mn-MN"/>
              </w:rPr>
              <w:t>17.2</w:t>
            </w:r>
          </w:p>
        </w:tc>
      </w:tr>
      <w:tr w:rsidR="00B052FA" w:rsidRPr="0046672D" w14:paraId="566CB293" w14:textId="77777777" w:rsidTr="00673716">
        <w:trPr>
          <w:trHeight w:val="271"/>
        </w:trPr>
        <w:tc>
          <w:tcPr>
            <w:tcW w:w="4916" w:type="dxa"/>
          </w:tcPr>
          <w:p w14:paraId="6B5EBD63" w14:textId="77777777" w:rsidR="00B052FA" w:rsidRPr="0046672D" w:rsidRDefault="00B052FA" w:rsidP="00673716">
            <w:pPr>
              <w:rPr>
                <w:rFonts w:ascii="Arial" w:eastAsia="Times New Roman" w:hAnsi="Arial" w:cs="Arial"/>
                <w:b/>
                <w:lang w:val="mn-MN"/>
              </w:rPr>
            </w:pPr>
            <w:r w:rsidRPr="0046672D">
              <w:rPr>
                <w:rFonts w:ascii="Arial" w:eastAsia="Times New Roman" w:hAnsi="Arial" w:cs="Arial"/>
                <w:lang w:val="mn-MN"/>
              </w:rPr>
              <w:t xml:space="preserve">    4.1 НЗДТГ-ийн орон нутгийн зээллэг</w:t>
            </w:r>
          </w:p>
        </w:tc>
        <w:tc>
          <w:tcPr>
            <w:tcW w:w="1473" w:type="dxa"/>
          </w:tcPr>
          <w:p w14:paraId="2C94731B" w14:textId="77777777" w:rsidR="00B052FA" w:rsidRPr="0046672D" w:rsidRDefault="00B052FA" w:rsidP="00673716">
            <w:pPr>
              <w:jc w:val="right"/>
              <w:rPr>
                <w:rFonts w:ascii="Arial" w:hAnsi="Arial" w:cs="Arial"/>
                <w:b/>
                <w:lang w:val="mn-MN"/>
              </w:rPr>
            </w:pPr>
            <w:r w:rsidRPr="0046672D">
              <w:rPr>
                <w:rFonts w:ascii="Arial" w:hAnsi="Arial" w:cs="Arial"/>
                <w:lang w:val="mn-MN"/>
              </w:rPr>
              <w:t>-</w:t>
            </w:r>
          </w:p>
        </w:tc>
        <w:tc>
          <w:tcPr>
            <w:tcW w:w="1569" w:type="dxa"/>
          </w:tcPr>
          <w:p w14:paraId="56109B43" w14:textId="77777777" w:rsidR="00B052FA" w:rsidRPr="0046672D" w:rsidRDefault="00B052FA" w:rsidP="00673716">
            <w:pPr>
              <w:jc w:val="right"/>
              <w:rPr>
                <w:rFonts w:ascii="Arial" w:hAnsi="Arial" w:cs="Arial"/>
                <w:b/>
                <w:lang w:val="mn-MN"/>
              </w:rPr>
            </w:pPr>
            <w:r w:rsidRPr="0046672D">
              <w:rPr>
                <w:rFonts w:ascii="Arial" w:hAnsi="Arial" w:cs="Arial"/>
                <w:lang w:val="mn-MN"/>
              </w:rPr>
              <w:t>-</w:t>
            </w:r>
          </w:p>
        </w:tc>
        <w:tc>
          <w:tcPr>
            <w:tcW w:w="1407" w:type="dxa"/>
          </w:tcPr>
          <w:p w14:paraId="56214BFB" w14:textId="77777777" w:rsidR="00B052FA" w:rsidRPr="0046672D" w:rsidRDefault="00B052FA" w:rsidP="00673716">
            <w:pPr>
              <w:jc w:val="right"/>
              <w:rPr>
                <w:rFonts w:ascii="Arial" w:hAnsi="Arial" w:cs="Arial"/>
                <w:b/>
                <w:lang w:val="mn-MN"/>
              </w:rPr>
            </w:pPr>
            <w:r w:rsidRPr="0046672D">
              <w:rPr>
                <w:rFonts w:ascii="Arial" w:hAnsi="Arial" w:cs="Arial"/>
                <w:lang w:val="mn-MN"/>
              </w:rPr>
              <w:t>17.2</w:t>
            </w:r>
          </w:p>
        </w:tc>
      </w:tr>
      <w:tr w:rsidR="00B052FA" w:rsidRPr="0046672D" w14:paraId="7160DADC" w14:textId="77777777" w:rsidTr="00673716">
        <w:trPr>
          <w:trHeight w:val="271"/>
        </w:trPr>
        <w:tc>
          <w:tcPr>
            <w:tcW w:w="4916" w:type="dxa"/>
          </w:tcPr>
          <w:p w14:paraId="230B9BCD" w14:textId="77777777" w:rsidR="00B052FA" w:rsidRPr="0046672D" w:rsidRDefault="00B052FA" w:rsidP="00673716">
            <w:pPr>
              <w:rPr>
                <w:rFonts w:ascii="Arial" w:hAnsi="Arial" w:cs="Arial"/>
                <w:b/>
                <w:lang w:val="mn-MN"/>
              </w:rPr>
            </w:pPr>
            <w:r w:rsidRPr="0046672D">
              <w:rPr>
                <w:rFonts w:ascii="Arial" w:eastAsia="Times New Roman" w:hAnsi="Arial" w:cs="Arial"/>
                <w:b/>
                <w:lang w:val="mn-MN"/>
              </w:rPr>
              <w:t>ЗАСГИЙН ГАЗРЫН НИЙТ ӨР (I+II+III)</w:t>
            </w:r>
          </w:p>
        </w:tc>
        <w:tc>
          <w:tcPr>
            <w:tcW w:w="1473" w:type="dxa"/>
          </w:tcPr>
          <w:p w14:paraId="0F64DE9E" w14:textId="77777777" w:rsidR="00B052FA" w:rsidRPr="0046672D" w:rsidRDefault="00B052FA" w:rsidP="00673716">
            <w:pPr>
              <w:jc w:val="right"/>
              <w:rPr>
                <w:rFonts w:ascii="Arial" w:hAnsi="Arial" w:cs="Arial"/>
                <w:b/>
                <w:lang w:val="mn-MN"/>
              </w:rPr>
            </w:pPr>
            <w:r w:rsidRPr="0046672D">
              <w:rPr>
                <w:rFonts w:ascii="Arial" w:hAnsi="Arial" w:cs="Arial"/>
                <w:b/>
                <w:lang w:val="mn-MN"/>
              </w:rPr>
              <w:t>24,199.7</w:t>
            </w:r>
          </w:p>
        </w:tc>
        <w:tc>
          <w:tcPr>
            <w:tcW w:w="1569" w:type="dxa"/>
          </w:tcPr>
          <w:p w14:paraId="2BBD1064" w14:textId="77777777" w:rsidR="00B052FA" w:rsidRPr="0046672D" w:rsidRDefault="00B052FA" w:rsidP="00673716">
            <w:pPr>
              <w:jc w:val="right"/>
              <w:rPr>
                <w:rFonts w:ascii="Arial" w:hAnsi="Arial" w:cs="Arial"/>
                <w:b/>
                <w:lang w:val="mn-MN"/>
              </w:rPr>
            </w:pPr>
            <w:r w:rsidRPr="0046672D">
              <w:rPr>
                <w:rFonts w:ascii="Arial" w:hAnsi="Arial" w:cs="Arial"/>
                <w:b/>
                <w:lang w:val="mn-MN"/>
              </w:rPr>
              <w:t>27,898.6</w:t>
            </w:r>
          </w:p>
        </w:tc>
        <w:tc>
          <w:tcPr>
            <w:tcW w:w="1407" w:type="dxa"/>
          </w:tcPr>
          <w:p w14:paraId="0F2AA0A0" w14:textId="77777777" w:rsidR="00B052FA" w:rsidRPr="0046672D" w:rsidRDefault="00B052FA" w:rsidP="00673716">
            <w:pPr>
              <w:jc w:val="right"/>
              <w:rPr>
                <w:rFonts w:ascii="Arial" w:hAnsi="Arial" w:cs="Arial"/>
                <w:b/>
                <w:lang w:val="mn-MN"/>
              </w:rPr>
            </w:pPr>
            <w:r w:rsidRPr="0046672D">
              <w:rPr>
                <w:rFonts w:ascii="Arial" w:hAnsi="Arial" w:cs="Arial"/>
                <w:b/>
                <w:lang w:val="mn-MN"/>
              </w:rPr>
              <w:t>26,918.1</w:t>
            </w:r>
          </w:p>
        </w:tc>
      </w:tr>
      <w:tr w:rsidR="00B052FA" w:rsidRPr="0046672D" w14:paraId="55A9B6F5" w14:textId="77777777" w:rsidTr="00673716">
        <w:trPr>
          <w:trHeight w:val="271"/>
        </w:trPr>
        <w:tc>
          <w:tcPr>
            <w:tcW w:w="4916" w:type="dxa"/>
          </w:tcPr>
          <w:p w14:paraId="2BB927BA" w14:textId="77777777" w:rsidR="00B052FA" w:rsidRPr="0046672D" w:rsidRDefault="00B052FA" w:rsidP="00673716">
            <w:pPr>
              <w:rPr>
                <w:rFonts w:ascii="Arial" w:hAnsi="Arial" w:cs="Arial"/>
                <w:b/>
                <w:lang w:val="mn-MN"/>
              </w:rPr>
            </w:pPr>
            <w:r w:rsidRPr="0046672D">
              <w:rPr>
                <w:rFonts w:ascii="Arial" w:eastAsia="Times New Roman" w:hAnsi="Arial" w:cs="Arial"/>
                <w:b/>
                <w:lang w:val="mn-MN"/>
              </w:rPr>
              <w:t>ЗАСГИЙН ГАЗРЫН ӨР (ӨҮЦ)</w:t>
            </w:r>
          </w:p>
        </w:tc>
        <w:tc>
          <w:tcPr>
            <w:tcW w:w="1473" w:type="dxa"/>
          </w:tcPr>
          <w:p w14:paraId="7935E382" w14:textId="77777777" w:rsidR="00B052FA" w:rsidRPr="0046672D" w:rsidRDefault="00B052FA" w:rsidP="00673716">
            <w:pPr>
              <w:jc w:val="right"/>
              <w:rPr>
                <w:rFonts w:ascii="Arial" w:hAnsi="Arial" w:cs="Arial"/>
                <w:b/>
                <w:lang w:val="mn-MN"/>
              </w:rPr>
            </w:pPr>
            <w:r w:rsidRPr="0046672D">
              <w:rPr>
                <w:rFonts w:ascii="Arial" w:hAnsi="Arial" w:cs="Arial"/>
                <w:b/>
                <w:lang w:val="mn-MN"/>
              </w:rPr>
              <w:t>20,525.6</w:t>
            </w:r>
          </w:p>
        </w:tc>
        <w:tc>
          <w:tcPr>
            <w:tcW w:w="1569" w:type="dxa"/>
          </w:tcPr>
          <w:p w14:paraId="2365E35F" w14:textId="77777777" w:rsidR="00B052FA" w:rsidRPr="0046672D" w:rsidRDefault="00B052FA" w:rsidP="00673716">
            <w:pPr>
              <w:jc w:val="right"/>
              <w:rPr>
                <w:rFonts w:ascii="Arial" w:hAnsi="Arial" w:cs="Arial"/>
                <w:b/>
                <w:lang w:val="mn-MN"/>
              </w:rPr>
            </w:pPr>
            <w:r w:rsidRPr="0046672D">
              <w:rPr>
                <w:rFonts w:ascii="Arial" w:hAnsi="Arial" w:cs="Arial"/>
                <w:b/>
                <w:lang w:val="mn-MN"/>
              </w:rPr>
              <w:t>23,024.3</w:t>
            </w:r>
          </w:p>
        </w:tc>
        <w:tc>
          <w:tcPr>
            <w:tcW w:w="1407" w:type="dxa"/>
          </w:tcPr>
          <w:p w14:paraId="16D071C8" w14:textId="77777777" w:rsidR="00B052FA" w:rsidRPr="0046672D" w:rsidRDefault="00B052FA" w:rsidP="00673716">
            <w:pPr>
              <w:jc w:val="right"/>
              <w:rPr>
                <w:rFonts w:ascii="Arial" w:hAnsi="Arial" w:cs="Arial"/>
                <w:b/>
                <w:lang w:val="mn-MN"/>
              </w:rPr>
            </w:pPr>
            <w:r w:rsidRPr="0046672D">
              <w:rPr>
                <w:rFonts w:ascii="Arial" w:hAnsi="Arial" w:cs="Arial"/>
                <w:b/>
                <w:lang w:val="mn-MN"/>
              </w:rPr>
              <w:t>21,837.3</w:t>
            </w:r>
          </w:p>
        </w:tc>
      </w:tr>
      <w:tr w:rsidR="00B052FA" w:rsidRPr="0046672D" w14:paraId="12F7BD33" w14:textId="77777777" w:rsidTr="00673716">
        <w:trPr>
          <w:trHeight w:val="271"/>
        </w:trPr>
        <w:tc>
          <w:tcPr>
            <w:tcW w:w="4916" w:type="dxa"/>
          </w:tcPr>
          <w:p w14:paraId="6ADCC2C6" w14:textId="77777777" w:rsidR="00B052FA" w:rsidRPr="0046672D" w:rsidDel="006A7BCB" w:rsidRDefault="00B052FA" w:rsidP="00673716">
            <w:pPr>
              <w:rPr>
                <w:rFonts w:ascii="Arial" w:eastAsia="Times New Roman" w:hAnsi="Arial" w:cs="Arial"/>
                <w:bCs/>
                <w:i/>
                <w:iCs/>
                <w:color w:val="3B3838" w:themeColor="background2" w:themeShade="40"/>
                <w:lang w:val="mn-MN"/>
              </w:rPr>
            </w:pPr>
            <w:r w:rsidRPr="0046672D">
              <w:rPr>
                <w:rFonts w:ascii="Arial" w:eastAsia="Times New Roman" w:hAnsi="Arial" w:cs="Arial"/>
                <w:bCs/>
                <w:i/>
                <w:iCs/>
                <w:color w:val="3B3838" w:themeColor="background2" w:themeShade="40"/>
                <w:lang w:val="mn-MN"/>
              </w:rPr>
              <w:t>Төсвийн тогтвортой байдлын тухай тогтоосон өрийн хязгаар</w:t>
            </w:r>
          </w:p>
        </w:tc>
        <w:tc>
          <w:tcPr>
            <w:tcW w:w="1473" w:type="dxa"/>
            <w:shd w:val="clear" w:color="auto" w:fill="auto"/>
          </w:tcPr>
          <w:p w14:paraId="322903BE" w14:textId="77777777" w:rsidR="00B052FA" w:rsidRPr="0046672D" w:rsidRDefault="00B052FA" w:rsidP="00673716">
            <w:pPr>
              <w:jc w:val="right"/>
              <w:rPr>
                <w:rFonts w:ascii="Arial" w:hAnsi="Arial" w:cs="Arial"/>
                <w:b/>
                <w:lang w:val="mn-MN"/>
              </w:rPr>
            </w:pPr>
            <w:r w:rsidRPr="0046672D">
              <w:rPr>
                <w:rFonts w:ascii="Arial" w:hAnsi="Arial" w:cs="Arial"/>
                <w:b/>
                <w:lang w:val="mn-MN"/>
              </w:rPr>
              <w:t>75%</w:t>
            </w:r>
          </w:p>
        </w:tc>
        <w:tc>
          <w:tcPr>
            <w:tcW w:w="1569" w:type="dxa"/>
            <w:shd w:val="clear" w:color="auto" w:fill="auto"/>
          </w:tcPr>
          <w:p w14:paraId="6A815362" w14:textId="77777777" w:rsidR="00B052FA" w:rsidRPr="0046672D" w:rsidRDefault="00B052FA" w:rsidP="00673716">
            <w:pPr>
              <w:jc w:val="right"/>
              <w:rPr>
                <w:rFonts w:ascii="Arial" w:hAnsi="Arial" w:cs="Arial"/>
                <w:b/>
                <w:lang w:val="mn-MN"/>
              </w:rPr>
            </w:pPr>
            <w:r w:rsidRPr="0046672D">
              <w:rPr>
                <w:rFonts w:ascii="Arial" w:hAnsi="Arial" w:cs="Arial"/>
                <w:b/>
                <w:lang w:val="mn-MN"/>
              </w:rPr>
              <w:t>70%</w:t>
            </w:r>
          </w:p>
        </w:tc>
        <w:tc>
          <w:tcPr>
            <w:tcW w:w="1407" w:type="dxa"/>
          </w:tcPr>
          <w:p w14:paraId="7E68BBC0" w14:textId="77777777" w:rsidR="00B052FA" w:rsidRPr="0046672D" w:rsidRDefault="00B052FA" w:rsidP="00673716">
            <w:pPr>
              <w:jc w:val="right"/>
              <w:rPr>
                <w:rFonts w:ascii="Arial" w:hAnsi="Arial" w:cs="Arial"/>
                <w:b/>
                <w:lang w:val="mn-MN"/>
              </w:rPr>
            </w:pPr>
            <w:r w:rsidRPr="0046672D">
              <w:rPr>
                <w:rFonts w:ascii="Arial" w:hAnsi="Arial" w:cs="Arial"/>
                <w:b/>
                <w:lang w:val="mn-MN"/>
              </w:rPr>
              <w:t>70%</w:t>
            </w:r>
          </w:p>
        </w:tc>
      </w:tr>
      <w:tr w:rsidR="00B052FA" w:rsidRPr="0046672D" w14:paraId="69FB41F8" w14:textId="77777777" w:rsidTr="00673716">
        <w:trPr>
          <w:trHeight w:val="271"/>
        </w:trPr>
        <w:tc>
          <w:tcPr>
            <w:tcW w:w="4916" w:type="dxa"/>
          </w:tcPr>
          <w:p w14:paraId="4521F829" w14:textId="77777777" w:rsidR="00B052FA" w:rsidRPr="0046672D" w:rsidDel="006A7BCB" w:rsidRDefault="00B052FA" w:rsidP="00673716">
            <w:pPr>
              <w:rPr>
                <w:rFonts w:ascii="Arial" w:eastAsia="Times New Roman" w:hAnsi="Arial" w:cs="Arial"/>
                <w:bCs/>
                <w:i/>
                <w:iCs/>
                <w:color w:val="3B3838" w:themeColor="background2" w:themeShade="40"/>
                <w:lang w:val="mn-MN"/>
              </w:rPr>
            </w:pPr>
            <w:r w:rsidRPr="0046672D">
              <w:rPr>
                <w:rFonts w:ascii="Arial" w:eastAsia="Times New Roman" w:hAnsi="Arial" w:cs="Arial"/>
                <w:bCs/>
                <w:i/>
                <w:iCs/>
                <w:color w:val="3B3838" w:themeColor="background2" w:themeShade="40"/>
                <w:lang w:val="mn-MN"/>
              </w:rPr>
              <w:t xml:space="preserve">Засгийн газрын өр </w:t>
            </w:r>
            <w:r w:rsidRPr="0046672D">
              <w:rPr>
                <w:rFonts w:ascii="Arial" w:eastAsia="Times New Roman" w:hAnsi="Arial" w:cs="Arial"/>
                <w:i/>
                <w:color w:val="3B3838" w:themeColor="background2" w:themeShade="40"/>
                <w:lang w:val="mn-MN"/>
              </w:rPr>
              <w:t>(</w:t>
            </w:r>
            <w:r w:rsidRPr="0046672D">
              <w:rPr>
                <w:rFonts w:ascii="Arial" w:eastAsia="Times New Roman" w:hAnsi="Arial" w:cs="Arial"/>
                <w:bCs/>
                <w:i/>
                <w:iCs/>
                <w:color w:val="3B3838" w:themeColor="background2" w:themeShade="40"/>
                <w:lang w:val="mn-MN"/>
              </w:rPr>
              <w:t>ӨҮЦ</w:t>
            </w:r>
            <w:r w:rsidRPr="0046672D">
              <w:rPr>
                <w:rFonts w:ascii="Arial" w:eastAsia="Times New Roman" w:hAnsi="Arial" w:cs="Arial"/>
                <w:i/>
                <w:color w:val="3B3838" w:themeColor="background2" w:themeShade="40"/>
                <w:lang w:val="mn-MN"/>
              </w:rPr>
              <w:t>)</w:t>
            </w:r>
            <w:r w:rsidRPr="0046672D">
              <w:rPr>
                <w:rFonts w:ascii="Arial" w:eastAsia="Times New Roman" w:hAnsi="Arial" w:cs="Arial"/>
                <w:bCs/>
                <w:i/>
                <w:iCs/>
                <w:color w:val="3B3838" w:themeColor="background2" w:themeShade="40"/>
                <w:lang w:val="mn-MN"/>
              </w:rPr>
              <w:t>/ДНБ</w:t>
            </w:r>
          </w:p>
        </w:tc>
        <w:tc>
          <w:tcPr>
            <w:tcW w:w="1473" w:type="dxa"/>
            <w:shd w:val="clear" w:color="auto" w:fill="auto"/>
          </w:tcPr>
          <w:p w14:paraId="433A244C" w14:textId="77777777" w:rsidR="00B052FA" w:rsidRPr="0046672D" w:rsidRDefault="00B052FA" w:rsidP="00673716">
            <w:pPr>
              <w:jc w:val="right"/>
              <w:rPr>
                <w:rFonts w:ascii="Arial" w:hAnsi="Arial" w:cs="Arial"/>
                <w:b/>
                <w:lang w:val="mn-MN"/>
              </w:rPr>
            </w:pPr>
            <w:r w:rsidRPr="0046672D">
              <w:rPr>
                <w:rFonts w:ascii="Arial" w:hAnsi="Arial" w:cs="Arial"/>
                <w:b/>
                <w:lang w:val="mn-MN"/>
              </w:rPr>
              <w:t>55.1%</w:t>
            </w:r>
          </w:p>
        </w:tc>
        <w:tc>
          <w:tcPr>
            <w:tcW w:w="1569" w:type="dxa"/>
            <w:shd w:val="clear" w:color="auto" w:fill="auto"/>
          </w:tcPr>
          <w:p w14:paraId="288F4490" w14:textId="77777777" w:rsidR="00B052FA" w:rsidRPr="0046672D" w:rsidRDefault="00B052FA" w:rsidP="00673716">
            <w:pPr>
              <w:jc w:val="right"/>
              <w:rPr>
                <w:rFonts w:ascii="Arial" w:hAnsi="Arial" w:cs="Arial"/>
                <w:b/>
                <w:lang w:val="mn-MN"/>
              </w:rPr>
            </w:pPr>
            <w:r w:rsidRPr="0046672D">
              <w:rPr>
                <w:rFonts w:ascii="Arial" w:hAnsi="Arial" w:cs="Arial"/>
                <w:b/>
                <w:lang w:val="mn-MN"/>
              </w:rPr>
              <w:t>62.3%</w:t>
            </w:r>
          </w:p>
        </w:tc>
        <w:tc>
          <w:tcPr>
            <w:tcW w:w="1407" w:type="dxa"/>
          </w:tcPr>
          <w:p w14:paraId="1B4610B2" w14:textId="77777777" w:rsidR="00B052FA" w:rsidRPr="0046672D" w:rsidRDefault="00B052FA" w:rsidP="00673716">
            <w:pPr>
              <w:jc w:val="right"/>
              <w:rPr>
                <w:rFonts w:ascii="Arial" w:hAnsi="Arial" w:cs="Arial"/>
                <w:b/>
                <w:lang w:val="mn-MN"/>
              </w:rPr>
            </w:pPr>
            <w:r w:rsidRPr="0046672D">
              <w:rPr>
                <w:rFonts w:ascii="Arial" w:hAnsi="Arial" w:cs="Arial"/>
                <w:b/>
                <w:lang w:val="mn-MN"/>
              </w:rPr>
              <w:t>50.7%</w:t>
            </w:r>
          </w:p>
        </w:tc>
      </w:tr>
    </w:tbl>
    <w:p w14:paraId="671EC7F8" w14:textId="77777777" w:rsidR="00B052FA" w:rsidRPr="0046672D" w:rsidRDefault="00B052FA" w:rsidP="00B052FA">
      <w:pPr>
        <w:ind w:firstLine="720"/>
        <w:jc w:val="center"/>
        <w:rPr>
          <w:rFonts w:ascii="Arial" w:hAnsi="Arial" w:cs="Arial"/>
          <w:i/>
          <w:sz w:val="20"/>
          <w:szCs w:val="24"/>
          <w:lang w:val="mn-MN"/>
        </w:rPr>
      </w:pPr>
      <w:r w:rsidRPr="0046672D">
        <w:rPr>
          <w:rFonts w:ascii="Arial" w:hAnsi="Arial" w:cs="Arial"/>
          <w:i/>
          <w:sz w:val="20"/>
          <w:szCs w:val="24"/>
          <w:lang w:val="mn-MN"/>
        </w:rPr>
        <w:t>Эх сурвалж: Сангийн яам</w:t>
      </w:r>
    </w:p>
    <w:p w14:paraId="22EA5F1F" w14:textId="1329626F" w:rsidR="00B052FA" w:rsidRPr="0046672D" w:rsidRDefault="00B052FA" w:rsidP="00B052FA">
      <w:pPr>
        <w:ind w:right="4"/>
        <w:jc w:val="both"/>
        <w:rPr>
          <w:rFonts w:ascii="Arial" w:hAnsi="Arial" w:cs="Arial"/>
          <w:sz w:val="24"/>
          <w:szCs w:val="24"/>
          <w:lang w:val="mn-MN"/>
        </w:rPr>
      </w:pPr>
      <w:r w:rsidRPr="0046672D">
        <w:rPr>
          <w:rFonts w:ascii="Arial" w:hAnsi="Arial" w:cs="Arial"/>
          <w:sz w:val="24"/>
          <w:szCs w:val="24"/>
          <w:lang w:val="mn-MN"/>
        </w:rPr>
        <w:tab/>
        <w:t xml:space="preserve">Засгийн газрын зүгээс Төсвийн тогтвортой байдлын тухай хуульд заасан тусгай шаардлагын үзүүлэлтийг 2019-2021 онд бүрэн ханган ажилласан бөгөөд Ковид-19 цар </w:t>
      </w:r>
      <w:r w:rsidRPr="0046672D">
        <w:rPr>
          <w:rFonts w:ascii="Arial" w:hAnsi="Arial" w:cs="Arial"/>
          <w:sz w:val="24"/>
          <w:szCs w:val="24"/>
          <w:lang w:val="mn-MN"/>
        </w:rPr>
        <w:lastRenderedPageBreak/>
        <w:t xml:space="preserve">тахлын нөхцөл байдалд эдийн засгийн өсөлтийг тогтвортой хадгалан арилжааны нөхцөлтэй гадаад, дотоод зээллэгийн үлдэгдэл, Засгийн газрын өрийн баталгааны үлдэгдлийг бууруулан Засгийн газрын гадаад өрийн хэрэгсэл (“бонд” гэх)-ийн дахин санхүүжилтийн арга хэмжээг бодит үр </w:t>
      </w:r>
      <w:r w:rsidR="00223B77" w:rsidRPr="0046672D">
        <w:rPr>
          <w:rFonts w:ascii="Arial" w:hAnsi="Arial" w:cs="Arial"/>
          <w:sz w:val="24"/>
          <w:szCs w:val="24"/>
          <w:lang w:val="mn-MN"/>
        </w:rPr>
        <w:t>өгөөжтэйгөөр</w:t>
      </w:r>
      <w:r w:rsidRPr="0046672D">
        <w:rPr>
          <w:rFonts w:ascii="Arial" w:hAnsi="Arial" w:cs="Arial"/>
          <w:sz w:val="24"/>
          <w:szCs w:val="24"/>
          <w:lang w:val="mn-MN"/>
        </w:rPr>
        <w:t xml:space="preserve"> хэрэгжүүлсэн.</w:t>
      </w:r>
    </w:p>
    <w:p w14:paraId="144FDC91" w14:textId="77777777" w:rsidR="00B052FA" w:rsidRPr="0046672D" w:rsidRDefault="00B052FA" w:rsidP="00B052FA">
      <w:pPr>
        <w:rPr>
          <w:rFonts w:ascii="Arial" w:hAnsi="Arial" w:cs="Arial"/>
          <w:b/>
          <w:sz w:val="24"/>
          <w:szCs w:val="24"/>
          <w:lang w:val="mn-MN"/>
        </w:rPr>
      </w:pPr>
      <w:r w:rsidRPr="0046672D">
        <w:rPr>
          <w:rFonts w:ascii="Arial" w:hAnsi="Arial" w:cs="Arial"/>
          <w:b/>
          <w:bCs/>
          <w:iCs/>
          <w:sz w:val="24"/>
          <w:szCs w:val="24"/>
          <w:lang w:val="mn-MN"/>
        </w:rPr>
        <w:t>2.2.1</w:t>
      </w:r>
      <w:r w:rsidRPr="0046672D">
        <w:rPr>
          <w:rFonts w:ascii="Arial" w:hAnsi="Arial" w:cs="Arial"/>
          <w:b/>
          <w:bCs/>
          <w:iCs/>
          <w:sz w:val="24"/>
          <w:szCs w:val="24"/>
          <w:lang w:val="mn-MN"/>
        </w:rPr>
        <w:tab/>
      </w:r>
      <w:r w:rsidRPr="0046672D">
        <w:rPr>
          <w:rFonts w:ascii="Arial" w:hAnsi="Arial" w:cs="Arial"/>
          <w:b/>
          <w:sz w:val="24"/>
          <w:szCs w:val="24"/>
          <w:lang w:val="mn-MN"/>
        </w:rPr>
        <w:t>Дотоод үнэт цаас</w:t>
      </w:r>
    </w:p>
    <w:p w14:paraId="56CD51E9" w14:textId="77777777" w:rsidR="00B052FA" w:rsidRPr="0046672D" w:rsidRDefault="00B052FA" w:rsidP="00B052FA">
      <w:pPr>
        <w:ind w:firstLine="720"/>
        <w:jc w:val="both"/>
        <w:rPr>
          <w:rFonts w:ascii="Arial" w:hAnsi="Arial" w:cs="Arial"/>
          <w:color w:val="000000"/>
          <w:sz w:val="24"/>
          <w:szCs w:val="24"/>
          <w:shd w:val="clear" w:color="auto" w:fill="FFFFFF"/>
          <w:lang w:val="mn-MN"/>
        </w:rPr>
      </w:pPr>
      <w:r w:rsidRPr="0046672D">
        <w:rPr>
          <w:rFonts w:ascii="Arial" w:hAnsi="Arial" w:cs="Arial"/>
          <w:color w:val="000000"/>
          <w:sz w:val="24"/>
          <w:szCs w:val="24"/>
          <w:shd w:val="clear" w:color="auto" w:fill="FFFFFF"/>
          <w:lang w:val="mn-MN"/>
        </w:rPr>
        <w:t xml:space="preserve">Засгийн газар 2017 оны 10 дугаар сараас хойш дотоод зах зээлд Засгийн газрын үнэт цаас арилжаалаагүй бөгөөд төлбөрийн үүргийг хуваарийн дагуу гүйцэтгэж байгаа тул дээрх хугацаанаас хойш дотоод үнэт цаасны үлдэгдэл 3 дахин буурч 2021 </w:t>
      </w:r>
      <w:r w:rsidRPr="0046672D">
        <w:rPr>
          <w:rFonts w:ascii="Arial" w:hAnsi="Arial" w:cs="Arial"/>
          <w:sz w:val="24"/>
          <w:szCs w:val="24"/>
          <w:lang w:val="mn-MN"/>
        </w:rPr>
        <w:t>оны жилийн эцсийн урьдчилсан гүйцэтгэлээр</w:t>
      </w:r>
      <w:r w:rsidRPr="0046672D">
        <w:rPr>
          <w:rFonts w:ascii="Arial" w:hAnsi="Arial" w:cs="Arial"/>
          <w:color w:val="000000"/>
          <w:sz w:val="24"/>
          <w:szCs w:val="24"/>
          <w:shd w:val="clear" w:color="auto" w:fill="FFFFFF"/>
          <w:lang w:val="mn-MN"/>
        </w:rPr>
        <w:t xml:space="preserve"> 657.3 тэрбум төгрөгт хүрсэн.</w:t>
      </w:r>
      <w:bookmarkStart w:id="1" w:name="_Hlk82623372"/>
    </w:p>
    <w:p w14:paraId="1DCC2A11" w14:textId="77777777" w:rsidR="00B052FA" w:rsidRPr="0046672D" w:rsidRDefault="00B052FA" w:rsidP="00B052FA">
      <w:pPr>
        <w:ind w:firstLine="720"/>
        <w:jc w:val="both"/>
        <w:rPr>
          <w:rFonts w:ascii="Arial" w:hAnsi="Arial" w:cs="Arial"/>
          <w:color w:val="000000"/>
          <w:sz w:val="24"/>
          <w:szCs w:val="24"/>
          <w:shd w:val="clear" w:color="auto" w:fill="FFFFFF"/>
          <w:lang w:val="mn-MN"/>
        </w:rPr>
      </w:pPr>
      <w:r w:rsidRPr="0046672D">
        <w:rPr>
          <w:rFonts w:ascii="Arial" w:hAnsi="Arial" w:cs="Arial"/>
          <w:color w:val="000000"/>
          <w:sz w:val="24"/>
          <w:szCs w:val="24"/>
          <w:shd w:val="clear" w:color="auto" w:fill="FFFFFF"/>
          <w:lang w:val="mn-MN"/>
        </w:rPr>
        <w:t>Стратегийн баримт бичгийн хамрах хугацаанд (2019-2022) Засгийн газраас дотоод үнэт цаас арилжаалахад илүү орчин үеийн технологид суурилсан байдлаар үнэт цаасыг санал болгохоор ажилласан нь 2022 онд гаргахаар төлөвлөсөн Засгийн газрын дотоод үнэт цаасыг хурдан хугацаанд үр ашигтай байдлаар хөрөнгө оруулагчдад санал болгох орчинг бүрдүүлэхээр төлөвлөсөн байна.</w:t>
      </w:r>
    </w:p>
    <w:bookmarkEnd w:id="1"/>
    <w:p w14:paraId="3C76A086" w14:textId="77777777" w:rsidR="00B052FA" w:rsidRPr="0046672D" w:rsidRDefault="00B052FA" w:rsidP="00B052FA">
      <w:pPr>
        <w:ind w:firstLine="720"/>
        <w:jc w:val="center"/>
        <w:rPr>
          <w:rFonts w:ascii="Arial" w:hAnsi="Arial" w:cs="Arial"/>
          <w:color w:val="000000"/>
          <w:sz w:val="24"/>
          <w:szCs w:val="24"/>
          <w:shd w:val="clear" w:color="auto" w:fill="FFFFFF"/>
          <w:lang w:val="mn-MN"/>
        </w:rPr>
      </w:pPr>
      <w:r w:rsidRPr="0046672D">
        <w:rPr>
          <w:rFonts w:ascii="Arial" w:hAnsi="Arial" w:cs="Arial"/>
          <w:i/>
          <w:iCs/>
          <w:noProof/>
          <w:sz w:val="24"/>
          <w:szCs w:val="24"/>
        </w:rPr>
        <w:drawing>
          <wp:anchor distT="0" distB="0" distL="114300" distR="114300" simplePos="0" relativeHeight="251658247" behindDoc="0" locked="0" layoutInCell="1" allowOverlap="1" wp14:anchorId="6DD85D51" wp14:editId="2080E1FE">
            <wp:simplePos x="0" y="0"/>
            <wp:positionH relativeFrom="margin">
              <wp:align>right</wp:align>
            </wp:positionH>
            <wp:positionV relativeFrom="paragraph">
              <wp:posOffset>251167</wp:posOffset>
            </wp:positionV>
            <wp:extent cx="5934075" cy="261937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46672D">
        <w:rPr>
          <w:rFonts w:ascii="Arial" w:hAnsi="Arial" w:cs="Arial"/>
          <w:i/>
          <w:color w:val="000000"/>
          <w:sz w:val="24"/>
          <w:szCs w:val="24"/>
          <w:shd w:val="clear" w:color="auto" w:fill="FFFFFF"/>
          <w:lang w:val="mn-MN"/>
        </w:rPr>
        <w:t xml:space="preserve">График № 1. </w:t>
      </w:r>
      <w:bookmarkStart w:id="2" w:name="_Hlk96976975"/>
      <w:r w:rsidRPr="0046672D">
        <w:rPr>
          <w:rFonts w:ascii="Arial" w:hAnsi="Arial" w:cs="Arial"/>
          <w:i/>
          <w:color w:val="000000"/>
          <w:sz w:val="24"/>
          <w:szCs w:val="24"/>
          <w:shd w:val="clear" w:color="auto" w:fill="FFFFFF"/>
          <w:lang w:val="mn-MN"/>
        </w:rPr>
        <w:t>Дотоод үнэт цаас</w:t>
      </w:r>
      <w:r w:rsidRPr="0046672D">
        <w:rPr>
          <w:rFonts w:ascii="Arial" w:hAnsi="Arial" w:cs="Arial"/>
          <w:i/>
          <w:iCs/>
          <w:color w:val="000000"/>
          <w:sz w:val="24"/>
          <w:szCs w:val="24"/>
          <w:shd w:val="clear" w:color="auto" w:fill="FFFFFF"/>
          <w:lang w:val="mn-MN"/>
        </w:rPr>
        <w:t>, тэрбум төгрөг</w:t>
      </w:r>
      <w:r w:rsidRPr="0046672D">
        <w:rPr>
          <w:rFonts w:ascii="Arial" w:hAnsi="Arial" w:cs="Arial"/>
          <w:i/>
          <w:color w:val="000000"/>
          <w:sz w:val="24"/>
          <w:szCs w:val="24"/>
          <w:shd w:val="clear" w:color="auto" w:fill="FFFFFF"/>
          <w:lang w:val="mn-MN"/>
        </w:rPr>
        <w:t xml:space="preserve"> /2021.12.31/</w:t>
      </w:r>
      <w:bookmarkEnd w:id="2"/>
    </w:p>
    <w:p w14:paraId="2DF9000F" w14:textId="77777777" w:rsidR="00B052FA" w:rsidRPr="0046672D" w:rsidRDefault="00B052FA" w:rsidP="00B052FA">
      <w:pPr>
        <w:ind w:firstLine="720"/>
        <w:jc w:val="center"/>
        <w:rPr>
          <w:rFonts w:ascii="Arial" w:hAnsi="Arial" w:cs="Arial"/>
          <w:b/>
          <w:bCs/>
          <w:sz w:val="24"/>
          <w:szCs w:val="24"/>
          <w:lang w:val="mn-MN"/>
        </w:rPr>
      </w:pPr>
      <w:r w:rsidRPr="0046672D">
        <w:rPr>
          <w:rFonts w:ascii="Arial" w:hAnsi="Arial" w:cs="Arial"/>
          <w:i/>
          <w:sz w:val="20"/>
          <w:szCs w:val="24"/>
          <w:lang w:val="mn-MN"/>
        </w:rPr>
        <w:t>Эх сурвалж: Сангийн яам</w:t>
      </w:r>
    </w:p>
    <w:p w14:paraId="44840EF3" w14:textId="77777777" w:rsidR="00B052FA" w:rsidRPr="0046672D" w:rsidRDefault="00B052FA" w:rsidP="00B052FA">
      <w:pPr>
        <w:ind w:firstLine="720"/>
        <w:jc w:val="center"/>
        <w:rPr>
          <w:rFonts w:ascii="Arial" w:hAnsi="Arial" w:cs="Arial"/>
          <w:b/>
          <w:bCs/>
          <w:sz w:val="24"/>
          <w:szCs w:val="24"/>
          <w:lang w:val="mn-MN"/>
        </w:rPr>
      </w:pPr>
    </w:p>
    <w:p w14:paraId="193E4F68" w14:textId="77777777" w:rsidR="00B052FA" w:rsidRPr="0046672D" w:rsidRDefault="00B052FA" w:rsidP="00B052FA">
      <w:pPr>
        <w:ind w:firstLine="720"/>
        <w:jc w:val="center"/>
        <w:rPr>
          <w:rFonts w:ascii="Arial" w:hAnsi="Arial" w:cs="Arial"/>
          <w:b/>
          <w:bCs/>
          <w:sz w:val="24"/>
          <w:szCs w:val="24"/>
          <w:lang w:val="mn-MN"/>
        </w:rPr>
      </w:pPr>
    </w:p>
    <w:p w14:paraId="0678F511" w14:textId="77777777" w:rsidR="00B052FA" w:rsidRPr="0046672D" w:rsidRDefault="00B052FA" w:rsidP="00B052FA">
      <w:pPr>
        <w:jc w:val="both"/>
        <w:rPr>
          <w:rFonts w:ascii="Arial" w:hAnsi="Arial" w:cs="Arial"/>
          <w:sz w:val="24"/>
          <w:szCs w:val="24"/>
          <w:lang w:val="mn-MN"/>
        </w:rPr>
      </w:pPr>
      <w:r w:rsidRPr="0046672D">
        <w:rPr>
          <w:rFonts w:ascii="Arial" w:hAnsi="Arial" w:cs="Arial"/>
          <w:b/>
          <w:bCs/>
          <w:sz w:val="24"/>
          <w:szCs w:val="24"/>
          <w:lang w:val="mn-MN"/>
        </w:rPr>
        <w:t>2.2.2</w:t>
      </w:r>
      <w:r w:rsidRPr="0046672D">
        <w:rPr>
          <w:rFonts w:ascii="Arial" w:hAnsi="Arial" w:cs="Arial"/>
          <w:b/>
          <w:bCs/>
          <w:sz w:val="24"/>
          <w:szCs w:val="24"/>
          <w:lang w:val="mn-MN"/>
        </w:rPr>
        <w:tab/>
      </w:r>
      <w:r w:rsidRPr="0046672D">
        <w:rPr>
          <w:rFonts w:ascii="Arial" w:hAnsi="Arial" w:cs="Arial"/>
          <w:b/>
          <w:sz w:val="24"/>
          <w:szCs w:val="24"/>
          <w:lang w:val="mn-MN"/>
        </w:rPr>
        <w:t>Гадаад үнэт цаас</w:t>
      </w:r>
      <w:r w:rsidRPr="0046672D">
        <w:rPr>
          <w:rFonts w:ascii="Arial" w:hAnsi="Arial" w:cs="Arial"/>
          <w:sz w:val="24"/>
          <w:szCs w:val="24"/>
          <w:lang w:val="mn-MN"/>
        </w:rPr>
        <w:tab/>
      </w:r>
    </w:p>
    <w:p w14:paraId="695E4E10"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Засгийн газраас олон улсын зах зээлд арилжаалсан гадаад бондын үлдэгдэл оны жилийн эцсийн урьдчилсан гүйцэтгэлээр 8,175.6 тэрбум төгрөг байна.</w:t>
      </w:r>
    </w:p>
    <w:p w14:paraId="61E5A130" w14:textId="77777777" w:rsidR="00B052FA" w:rsidRPr="0046672D" w:rsidRDefault="00B052FA" w:rsidP="00B052FA">
      <w:pPr>
        <w:spacing w:after="0"/>
        <w:ind w:firstLine="720"/>
        <w:jc w:val="both"/>
        <w:rPr>
          <w:rFonts w:ascii="Arial" w:hAnsi="Arial" w:cs="Arial"/>
          <w:i/>
          <w:sz w:val="24"/>
          <w:szCs w:val="24"/>
          <w:lang w:val="mn-MN"/>
        </w:rPr>
      </w:pPr>
      <w:r w:rsidRPr="0046672D">
        <w:rPr>
          <w:rFonts w:ascii="Arial" w:hAnsi="Arial" w:cs="Arial"/>
          <w:i/>
          <w:sz w:val="24"/>
          <w:szCs w:val="24"/>
          <w:lang w:val="mn-MN"/>
        </w:rPr>
        <w:t>Хүснэгт № 3. Гадаад үнэт цаас, тэрбум төгрөг /2021.12.31/</w:t>
      </w:r>
    </w:p>
    <w:tbl>
      <w:tblPr>
        <w:tblStyle w:val="TableGrid"/>
        <w:tblW w:w="9196" w:type="dxa"/>
        <w:tblLook w:val="04A0" w:firstRow="1" w:lastRow="0" w:firstColumn="1" w:lastColumn="0" w:noHBand="0" w:noVBand="1"/>
      </w:tblPr>
      <w:tblGrid>
        <w:gridCol w:w="685"/>
        <w:gridCol w:w="2573"/>
        <w:gridCol w:w="1506"/>
        <w:gridCol w:w="2230"/>
        <w:gridCol w:w="2202"/>
      </w:tblGrid>
      <w:tr w:rsidR="00B052FA" w:rsidRPr="0046672D" w14:paraId="7FA1C11E" w14:textId="77777777" w:rsidTr="00673716">
        <w:trPr>
          <w:trHeight w:val="328"/>
        </w:trPr>
        <w:tc>
          <w:tcPr>
            <w:tcW w:w="685" w:type="dxa"/>
            <w:shd w:val="clear" w:color="auto" w:fill="E7E6E6" w:themeFill="background2"/>
            <w:noWrap/>
            <w:hideMark/>
          </w:tcPr>
          <w:p w14:paraId="4165A56D" w14:textId="77777777" w:rsidR="00B052FA" w:rsidRPr="0046672D" w:rsidRDefault="00B052FA" w:rsidP="00673716">
            <w:pPr>
              <w:rPr>
                <w:rFonts w:ascii="Arial" w:eastAsia="Times New Roman" w:hAnsi="Arial" w:cs="Arial"/>
                <w:b/>
                <w:sz w:val="24"/>
                <w:szCs w:val="24"/>
                <w:lang w:val="mn-MN"/>
              </w:rPr>
            </w:pPr>
            <w:r w:rsidRPr="0046672D">
              <w:rPr>
                <w:rFonts w:ascii="Arial" w:eastAsia="Times New Roman" w:hAnsi="Arial" w:cs="Arial"/>
                <w:b/>
                <w:sz w:val="24"/>
                <w:szCs w:val="24"/>
                <w:lang w:val="mn-MN"/>
              </w:rPr>
              <w:t>№</w:t>
            </w:r>
          </w:p>
        </w:tc>
        <w:tc>
          <w:tcPr>
            <w:tcW w:w="2573" w:type="dxa"/>
            <w:shd w:val="clear" w:color="auto" w:fill="E7E6E6" w:themeFill="background2"/>
            <w:noWrap/>
            <w:hideMark/>
          </w:tcPr>
          <w:p w14:paraId="73880B27" w14:textId="77777777" w:rsidR="00B052FA" w:rsidRPr="0046672D" w:rsidRDefault="00B052FA" w:rsidP="00673716">
            <w:pPr>
              <w:jc w:val="center"/>
              <w:rPr>
                <w:rFonts w:ascii="Arial" w:eastAsia="Times New Roman" w:hAnsi="Arial" w:cs="Arial"/>
                <w:b/>
                <w:sz w:val="24"/>
                <w:szCs w:val="24"/>
                <w:lang w:val="mn-MN"/>
              </w:rPr>
            </w:pPr>
            <w:r w:rsidRPr="0046672D">
              <w:rPr>
                <w:rFonts w:ascii="Arial" w:eastAsia="Times New Roman" w:hAnsi="Arial" w:cs="Arial"/>
                <w:b/>
                <w:sz w:val="24"/>
                <w:szCs w:val="24"/>
                <w:lang w:val="mn-MN"/>
              </w:rPr>
              <w:t>Гадаад үнэт цаас</w:t>
            </w:r>
          </w:p>
        </w:tc>
        <w:tc>
          <w:tcPr>
            <w:tcW w:w="1506" w:type="dxa"/>
            <w:shd w:val="clear" w:color="auto" w:fill="E7E6E6" w:themeFill="background2"/>
            <w:noWrap/>
            <w:hideMark/>
          </w:tcPr>
          <w:p w14:paraId="4520DF17" w14:textId="77777777" w:rsidR="00B052FA" w:rsidRPr="0046672D" w:rsidRDefault="00B052FA" w:rsidP="00673716">
            <w:pPr>
              <w:jc w:val="center"/>
              <w:rPr>
                <w:rFonts w:ascii="Arial" w:eastAsia="Times New Roman" w:hAnsi="Arial" w:cs="Arial"/>
                <w:b/>
                <w:sz w:val="24"/>
                <w:szCs w:val="24"/>
                <w:lang w:val="mn-MN"/>
              </w:rPr>
            </w:pPr>
            <w:r w:rsidRPr="0046672D">
              <w:rPr>
                <w:rFonts w:ascii="Arial" w:eastAsia="Times New Roman" w:hAnsi="Arial" w:cs="Arial"/>
                <w:b/>
                <w:sz w:val="24"/>
                <w:szCs w:val="24"/>
                <w:lang w:val="mn-MN"/>
              </w:rPr>
              <w:t>Купон</w:t>
            </w:r>
          </w:p>
        </w:tc>
        <w:tc>
          <w:tcPr>
            <w:tcW w:w="2230" w:type="dxa"/>
            <w:shd w:val="clear" w:color="auto" w:fill="E7E6E6" w:themeFill="background2"/>
            <w:noWrap/>
            <w:hideMark/>
          </w:tcPr>
          <w:p w14:paraId="191B3C04" w14:textId="77777777" w:rsidR="00B052FA" w:rsidRPr="0046672D" w:rsidRDefault="00B052FA" w:rsidP="00673716">
            <w:pPr>
              <w:jc w:val="center"/>
              <w:rPr>
                <w:rFonts w:ascii="Arial" w:eastAsia="Times New Roman" w:hAnsi="Arial" w:cs="Arial"/>
                <w:b/>
                <w:sz w:val="24"/>
                <w:szCs w:val="24"/>
                <w:lang w:val="mn-MN"/>
              </w:rPr>
            </w:pPr>
            <w:r w:rsidRPr="0046672D">
              <w:rPr>
                <w:rFonts w:ascii="Arial" w:eastAsia="Times New Roman" w:hAnsi="Arial" w:cs="Arial"/>
                <w:b/>
                <w:sz w:val="24"/>
                <w:szCs w:val="24"/>
                <w:lang w:val="mn-MN"/>
              </w:rPr>
              <w:t>Хугацаа</w:t>
            </w:r>
          </w:p>
        </w:tc>
        <w:tc>
          <w:tcPr>
            <w:tcW w:w="2202" w:type="dxa"/>
            <w:shd w:val="clear" w:color="auto" w:fill="E7E6E6" w:themeFill="background2"/>
            <w:noWrap/>
            <w:hideMark/>
          </w:tcPr>
          <w:p w14:paraId="44DA23F1" w14:textId="77777777" w:rsidR="00B052FA" w:rsidRPr="0046672D" w:rsidRDefault="00B052FA" w:rsidP="00673716">
            <w:pPr>
              <w:jc w:val="center"/>
              <w:rPr>
                <w:rFonts w:ascii="Arial" w:eastAsia="Times New Roman" w:hAnsi="Arial" w:cs="Arial"/>
                <w:b/>
                <w:sz w:val="24"/>
                <w:szCs w:val="24"/>
                <w:lang w:val="mn-MN"/>
              </w:rPr>
            </w:pPr>
            <w:r w:rsidRPr="0046672D">
              <w:rPr>
                <w:rFonts w:ascii="Arial" w:eastAsia="Times New Roman" w:hAnsi="Arial" w:cs="Arial"/>
                <w:b/>
                <w:bCs/>
                <w:sz w:val="24"/>
                <w:szCs w:val="24"/>
                <w:lang w:val="mn-MN"/>
              </w:rPr>
              <w:t>Үлдэгдэл</w:t>
            </w:r>
          </w:p>
        </w:tc>
      </w:tr>
      <w:tr w:rsidR="00B052FA" w:rsidRPr="0046672D" w14:paraId="7FD246D3" w14:textId="77777777" w:rsidTr="00673716">
        <w:trPr>
          <w:trHeight w:val="338"/>
        </w:trPr>
        <w:tc>
          <w:tcPr>
            <w:tcW w:w="685" w:type="dxa"/>
            <w:noWrap/>
            <w:hideMark/>
          </w:tcPr>
          <w:p w14:paraId="7B7AA3AA" w14:textId="77777777" w:rsidR="00B052FA" w:rsidRPr="0046672D" w:rsidRDefault="00B052FA" w:rsidP="00673716">
            <w:pPr>
              <w:jc w:val="center"/>
              <w:rPr>
                <w:rFonts w:ascii="Arial" w:eastAsia="Times New Roman" w:hAnsi="Arial" w:cs="Arial"/>
                <w:sz w:val="24"/>
                <w:szCs w:val="24"/>
                <w:lang w:val="mn-MN"/>
              </w:rPr>
            </w:pPr>
            <w:r w:rsidRPr="0046672D">
              <w:rPr>
                <w:rFonts w:ascii="Arial" w:eastAsia="Times New Roman" w:hAnsi="Arial" w:cs="Arial"/>
                <w:sz w:val="24"/>
                <w:szCs w:val="24"/>
                <w:lang w:val="mn-MN"/>
              </w:rPr>
              <w:t>1</w:t>
            </w:r>
          </w:p>
        </w:tc>
        <w:tc>
          <w:tcPr>
            <w:tcW w:w="2573" w:type="dxa"/>
            <w:noWrap/>
            <w:hideMark/>
          </w:tcPr>
          <w:p w14:paraId="2AE5B60F" w14:textId="77777777" w:rsidR="00B052FA" w:rsidRPr="0046672D" w:rsidRDefault="00B052FA" w:rsidP="00673716">
            <w:pPr>
              <w:rPr>
                <w:rFonts w:ascii="Arial" w:eastAsia="Times New Roman" w:hAnsi="Arial" w:cs="Arial"/>
                <w:sz w:val="24"/>
                <w:szCs w:val="24"/>
                <w:lang w:val="mn-MN"/>
              </w:rPr>
            </w:pPr>
            <w:r w:rsidRPr="0046672D">
              <w:rPr>
                <w:rFonts w:ascii="Arial" w:eastAsia="Times New Roman" w:hAnsi="Arial" w:cs="Arial"/>
                <w:sz w:val="24"/>
                <w:szCs w:val="24"/>
                <w:lang w:val="mn-MN"/>
              </w:rPr>
              <w:t>Чингис-2022</w:t>
            </w:r>
          </w:p>
        </w:tc>
        <w:tc>
          <w:tcPr>
            <w:tcW w:w="1506" w:type="dxa"/>
            <w:noWrap/>
            <w:hideMark/>
          </w:tcPr>
          <w:p w14:paraId="49861652"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5.13%</w:t>
            </w:r>
          </w:p>
        </w:tc>
        <w:tc>
          <w:tcPr>
            <w:tcW w:w="2230" w:type="dxa"/>
            <w:noWrap/>
            <w:hideMark/>
          </w:tcPr>
          <w:p w14:paraId="38131C75"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10 жил</w:t>
            </w:r>
          </w:p>
        </w:tc>
        <w:tc>
          <w:tcPr>
            <w:tcW w:w="2202" w:type="dxa"/>
            <w:noWrap/>
            <w:hideMark/>
          </w:tcPr>
          <w:p w14:paraId="50379815" w14:textId="77777777" w:rsidR="00B052FA" w:rsidRPr="0046672D" w:rsidRDefault="00B052FA" w:rsidP="00673716">
            <w:pPr>
              <w:jc w:val="right"/>
              <w:rPr>
                <w:rFonts w:ascii="Arial" w:eastAsia="Times New Roman" w:hAnsi="Arial" w:cs="Arial"/>
                <w:sz w:val="24"/>
                <w:szCs w:val="24"/>
                <w:lang w:val="mn-MN"/>
              </w:rPr>
            </w:pPr>
            <w:r w:rsidRPr="0046672D">
              <w:rPr>
                <w:rFonts w:ascii="Arial" w:eastAsia="Times New Roman" w:hAnsi="Arial" w:cs="Arial"/>
                <w:sz w:val="24"/>
                <w:szCs w:val="24"/>
                <w:lang w:val="mn-MN"/>
              </w:rPr>
              <w:t>389.6</w:t>
            </w:r>
          </w:p>
        </w:tc>
      </w:tr>
      <w:tr w:rsidR="00B052FA" w:rsidRPr="0046672D" w14:paraId="588F7DC7" w14:textId="77777777" w:rsidTr="00673716">
        <w:trPr>
          <w:trHeight w:val="338"/>
        </w:trPr>
        <w:tc>
          <w:tcPr>
            <w:tcW w:w="685" w:type="dxa"/>
            <w:noWrap/>
            <w:hideMark/>
          </w:tcPr>
          <w:p w14:paraId="40F40DC1"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2</w:t>
            </w:r>
          </w:p>
        </w:tc>
        <w:tc>
          <w:tcPr>
            <w:tcW w:w="2573" w:type="dxa"/>
            <w:noWrap/>
            <w:hideMark/>
          </w:tcPr>
          <w:p w14:paraId="6DC07DC0" w14:textId="77777777" w:rsidR="00B052FA" w:rsidRPr="0046672D" w:rsidRDefault="00B052FA" w:rsidP="00673716">
            <w:pP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Хуралдай</w:t>
            </w:r>
          </w:p>
        </w:tc>
        <w:tc>
          <w:tcPr>
            <w:tcW w:w="1506" w:type="dxa"/>
            <w:noWrap/>
            <w:hideMark/>
          </w:tcPr>
          <w:p w14:paraId="0CA52A63"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8.75%</w:t>
            </w:r>
          </w:p>
        </w:tc>
        <w:tc>
          <w:tcPr>
            <w:tcW w:w="2230" w:type="dxa"/>
            <w:noWrap/>
            <w:hideMark/>
          </w:tcPr>
          <w:p w14:paraId="3757C05A"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7 жил</w:t>
            </w:r>
          </w:p>
        </w:tc>
        <w:tc>
          <w:tcPr>
            <w:tcW w:w="2202" w:type="dxa"/>
            <w:noWrap/>
            <w:hideMark/>
          </w:tcPr>
          <w:p w14:paraId="3C7B12DD" w14:textId="77777777" w:rsidR="00B052FA" w:rsidRPr="0046672D" w:rsidRDefault="00B052FA" w:rsidP="00673716">
            <w:pPr>
              <w:jc w:val="right"/>
              <w:rPr>
                <w:rFonts w:ascii="Arial" w:eastAsia="Times New Roman" w:hAnsi="Arial" w:cs="Arial"/>
                <w:color w:val="000000"/>
                <w:sz w:val="24"/>
                <w:szCs w:val="24"/>
                <w:lang w:val="mn-MN"/>
              </w:rPr>
            </w:pPr>
            <w:r w:rsidRPr="0046672D">
              <w:rPr>
                <w:rFonts w:ascii="Arial" w:eastAsia="Times New Roman" w:hAnsi="Arial" w:cs="Arial"/>
                <w:sz w:val="24"/>
                <w:szCs w:val="24"/>
                <w:lang w:val="mn-MN"/>
              </w:rPr>
              <w:t>1,709.1</w:t>
            </w:r>
          </w:p>
        </w:tc>
      </w:tr>
      <w:tr w:rsidR="00B052FA" w:rsidRPr="0046672D" w14:paraId="237D346A" w14:textId="77777777" w:rsidTr="00673716">
        <w:trPr>
          <w:trHeight w:val="338"/>
        </w:trPr>
        <w:tc>
          <w:tcPr>
            <w:tcW w:w="685" w:type="dxa"/>
            <w:noWrap/>
            <w:hideMark/>
          </w:tcPr>
          <w:p w14:paraId="13D91ECD" w14:textId="77777777" w:rsidR="00B052FA" w:rsidRPr="0046672D" w:rsidRDefault="00B052FA" w:rsidP="00673716">
            <w:pPr>
              <w:jc w:val="center"/>
              <w:rPr>
                <w:rFonts w:ascii="Arial" w:eastAsia="Times New Roman" w:hAnsi="Arial" w:cs="Arial"/>
                <w:sz w:val="24"/>
                <w:szCs w:val="24"/>
                <w:lang w:val="mn-MN"/>
              </w:rPr>
            </w:pPr>
            <w:r w:rsidRPr="0046672D">
              <w:rPr>
                <w:rFonts w:ascii="Arial" w:eastAsia="Times New Roman" w:hAnsi="Arial" w:cs="Arial"/>
                <w:sz w:val="24"/>
                <w:szCs w:val="24"/>
                <w:lang w:val="mn-MN"/>
              </w:rPr>
              <w:t>3</w:t>
            </w:r>
          </w:p>
        </w:tc>
        <w:tc>
          <w:tcPr>
            <w:tcW w:w="2573" w:type="dxa"/>
            <w:noWrap/>
            <w:hideMark/>
          </w:tcPr>
          <w:p w14:paraId="0B7F5A58" w14:textId="77777777" w:rsidR="00B052FA" w:rsidRPr="0046672D" w:rsidRDefault="00B052FA" w:rsidP="00673716">
            <w:pPr>
              <w:rPr>
                <w:rFonts w:ascii="Arial" w:eastAsia="Times New Roman" w:hAnsi="Arial" w:cs="Arial"/>
                <w:sz w:val="24"/>
                <w:szCs w:val="24"/>
                <w:lang w:val="mn-MN"/>
              </w:rPr>
            </w:pPr>
            <w:r w:rsidRPr="0046672D">
              <w:rPr>
                <w:rFonts w:ascii="Arial" w:eastAsia="Times New Roman" w:hAnsi="Arial" w:cs="Arial"/>
                <w:sz w:val="24"/>
                <w:szCs w:val="24"/>
                <w:lang w:val="mn-MN"/>
              </w:rPr>
              <w:t>Гэрэгэ</w:t>
            </w:r>
          </w:p>
        </w:tc>
        <w:tc>
          <w:tcPr>
            <w:tcW w:w="1506" w:type="dxa"/>
            <w:noWrap/>
            <w:hideMark/>
          </w:tcPr>
          <w:p w14:paraId="2FB99A77"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5.63%</w:t>
            </w:r>
          </w:p>
        </w:tc>
        <w:tc>
          <w:tcPr>
            <w:tcW w:w="2230" w:type="dxa"/>
            <w:noWrap/>
            <w:hideMark/>
          </w:tcPr>
          <w:p w14:paraId="7E679F6B"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5.5 жил</w:t>
            </w:r>
          </w:p>
        </w:tc>
        <w:tc>
          <w:tcPr>
            <w:tcW w:w="2202" w:type="dxa"/>
            <w:noWrap/>
            <w:hideMark/>
          </w:tcPr>
          <w:p w14:paraId="685BC40E" w14:textId="77777777" w:rsidR="00B052FA" w:rsidRPr="0046672D" w:rsidRDefault="00B052FA" w:rsidP="00673716">
            <w:pPr>
              <w:jc w:val="right"/>
              <w:rPr>
                <w:rFonts w:ascii="Arial" w:eastAsia="Times New Roman" w:hAnsi="Arial" w:cs="Arial"/>
                <w:sz w:val="24"/>
                <w:szCs w:val="24"/>
                <w:lang w:val="mn-MN"/>
              </w:rPr>
            </w:pPr>
            <w:r w:rsidRPr="0046672D">
              <w:rPr>
                <w:rFonts w:ascii="Arial" w:eastAsia="Times New Roman" w:hAnsi="Arial" w:cs="Arial"/>
                <w:sz w:val="24"/>
                <w:szCs w:val="24"/>
                <w:lang w:val="mn-MN"/>
              </w:rPr>
              <w:t>1,518.4</w:t>
            </w:r>
          </w:p>
        </w:tc>
      </w:tr>
      <w:tr w:rsidR="00B052FA" w:rsidRPr="0046672D" w14:paraId="72648131" w14:textId="77777777" w:rsidTr="00673716">
        <w:trPr>
          <w:trHeight w:val="338"/>
        </w:trPr>
        <w:tc>
          <w:tcPr>
            <w:tcW w:w="685" w:type="dxa"/>
            <w:noWrap/>
            <w:hideMark/>
          </w:tcPr>
          <w:p w14:paraId="15508C7E"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4</w:t>
            </w:r>
          </w:p>
        </w:tc>
        <w:tc>
          <w:tcPr>
            <w:tcW w:w="2573" w:type="dxa"/>
            <w:noWrap/>
            <w:hideMark/>
          </w:tcPr>
          <w:p w14:paraId="4E2A8A46" w14:textId="77777777" w:rsidR="00B052FA" w:rsidRPr="0046672D" w:rsidRDefault="00B052FA" w:rsidP="00673716">
            <w:pP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Номад</w:t>
            </w:r>
          </w:p>
        </w:tc>
        <w:tc>
          <w:tcPr>
            <w:tcW w:w="1506" w:type="dxa"/>
            <w:noWrap/>
            <w:hideMark/>
          </w:tcPr>
          <w:p w14:paraId="51078ABA"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5.13%</w:t>
            </w:r>
          </w:p>
        </w:tc>
        <w:tc>
          <w:tcPr>
            <w:tcW w:w="2230" w:type="dxa"/>
            <w:noWrap/>
            <w:hideMark/>
          </w:tcPr>
          <w:p w14:paraId="2961DF9B"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5.5 жил</w:t>
            </w:r>
          </w:p>
        </w:tc>
        <w:tc>
          <w:tcPr>
            <w:tcW w:w="2202" w:type="dxa"/>
            <w:noWrap/>
            <w:hideMark/>
          </w:tcPr>
          <w:p w14:paraId="2ACC1593" w14:textId="77777777" w:rsidR="00B052FA" w:rsidRPr="0046672D" w:rsidRDefault="00B052FA" w:rsidP="00673716">
            <w:pPr>
              <w:jc w:val="right"/>
              <w:rPr>
                <w:rFonts w:ascii="Arial" w:eastAsia="Times New Roman" w:hAnsi="Arial" w:cs="Arial"/>
                <w:color w:val="000000"/>
                <w:sz w:val="24"/>
                <w:szCs w:val="24"/>
                <w:lang w:val="mn-MN"/>
              </w:rPr>
            </w:pPr>
            <w:r w:rsidRPr="0046672D">
              <w:rPr>
                <w:rFonts w:ascii="Arial" w:eastAsia="Times New Roman" w:hAnsi="Arial" w:cs="Arial"/>
                <w:sz w:val="24"/>
                <w:szCs w:val="24"/>
                <w:lang w:val="mn-MN"/>
              </w:rPr>
              <w:t>1,709.1</w:t>
            </w:r>
          </w:p>
        </w:tc>
      </w:tr>
      <w:tr w:rsidR="00B052FA" w:rsidRPr="0046672D" w14:paraId="58899E23" w14:textId="77777777" w:rsidTr="00673716">
        <w:trPr>
          <w:trHeight w:val="338"/>
        </w:trPr>
        <w:tc>
          <w:tcPr>
            <w:tcW w:w="685" w:type="dxa"/>
            <w:noWrap/>
            <w:hideMark/>
          </w:tcPr>
          <w:p w14:paraId="14BD1802" w14:textId="77777777" w:rsidR="00B052FA" w:rsidRPr="0046672D" w:rsidRDefault="00B052FA" w:rsidP="00673716">
            <w:pPr>
              <w:jc w:val="center"/>
              <w:rPr>
                <w:rFonts w:ascii="Arial" w:eastAsia="Times New Roman" w:hAnsi="Arial" w:cs="Arial"/>
                <w:sz w:val="24"/>
                <w:szCs w:val="24"/>
                <w:lang w:val="mn-MN"/>
              </w:rPr>
            </w:pPr>
            <w:r w:rsidRPr="0046672D">
              <w:rPr>
                <w:rFonts w:ascii="Arial" w:eastAsia="Times New Roman" w:hAnsi="Arial" w:cs="Arial"/>
                <w:sz w:val="24"/>
                <w:szCs w:val="24"/>
                <w:lang w:val="mn-MN"/>
              </w:rPr>
              <w:t>5</w:t>
            </w:r>
          </w:p>
        </w:tc>
        <w:tc>
          <w:tcPr>
            <w:tcW w:w="2573" w:type="dxa"/>
            <w:noWrap/>
            <w:hideMark/>
          </w:tcPr>
          <w:p w14:paraId="354ECB16" w14:textId="77777777" w:rsidR="00B052FA" w:rsidRPr="0046672D" w:rsidRDefault="00B052FA" w:rsidP="00673716">
            <w:pPr>
              <w:rPr>
                <w:rFonts w:ascii="Arial" w:eastAsia="Times New Roman" w:hAnsi="Arial" w:cs="Arial"/>
                <w:sz w:val="24"/>
                <w:szCs w:val="24"/>
                <w:lang w:val="mn-MN"/>
              </w:rPr>
            </w:pPr>
            <w:r w:rsidRPr="0046672D">
              <w:rPr>
                <w:rFonts w:ascii="Arial" w:eastAsia="Times New Roman" w:hAnsi="Arial" w:cs="Arial"/>
                <w:sz w:val="24"/>
                <w:szCs w:val="24"/>
                <w:lang w:val="mn-MN"/>
              </w:rPr>
              <w:t>Сенчири-2027</w:t>
            </w:r>
          </w:p>
        </w:tc>
        <w:tc>
          <w:tcPr>
            <w:tcW w:w="1506" w:type="dxa"/>
            <w:noWrap/>
            <w:hideMark/>
          </w:tcPr>
          <w:p w14:paraId="2AD1D3F9"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3.50%</w:t>
            </w:r>
          </w:p>
        </w:tc>
        <w:tc>
          <w:tcPr>
            <w:tcW w:w="2230" w:type="dxa"/>
            <w:noWrap/>
            <w:hideMark/>
          </w:tcPr>
          <w:p w14:paraId="4EBDCE26"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6 жил</w:t>
            </w:r>
          </w:p>
        </w:tc>
        <w:tc>
          <w:tcPr>
            <w:tcW w:w="2202" w:type="dxa"/>
            <w:noWrap/>
            <w:hideMark/>
          </w:tcPr>
          <w:p w14:paraId="629A67B6" w14:textId="77777777" w:rsidR="00B052FA" w:rsidRPr="0046672D" w:rsidRDefault="00B052FA" w:rsidP="00673716">
            <w:pPr>
              <w:jc w:val="right"/>
              <w:rPr>
                <w:rFonts w:ascii="Arial" w:eastAsia="Times New Roman" w:hAnsi="Arial" w:cs="Arial"/>
                <w:sz w:val="24"/>
                <w:szCs w:val="24"/>
                <w:lang w:val="mn-MN"/>
              </w:rPr>
            </w:pPr>
            <w:r w:rsidRPr="0046672D">
              <w:rPr>
                <w:rFonts w:ascii="Arial" w:eastAsia="Times New Roman" w:hAnsi="Arial" w:cs="Arial"/>
                <w:sz w:val="24"/>
                <w:szCs w:val="24"/>
                <w:lang w:val="mn-MN"/>
              </w:rPr>
              <w:t>1,424.2</w:t>
            </w:r>
          </w:p>
        </w:tc>
      </w:tr>
      <w:tr w:rsidR="00B052FA" w:rsidRPr="0046672D" w14:paraId="1431D1B7" w14:textId="77777777" w:rsidTr="00673716">
        <w:trPr>
          <w:trHeight w:val="338"/>
        </w:trPr>
        <w:tc>
          <w:tcPr>
            <w:tcW w:w="685" w:type="dxa"/>
            <w:noWrap/>
            <w:hideMark/>
          </w:tcPr>
          <w:p w14:paraId="32848992"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lastRenderedPageBreak/>
              <w:t>6</w:t>
            </w:r>
          </w:p>
        </w:tc>
        <w:tc>
          <w:tcPr>
            <w:tcW w:w="2573" w:type="dxa"/>
            <w:noWrap/>
            <w:hideMark/>
          </w:tcPr>
          <w:p w14:paraId="219E6C40" w14:textId="77777777" w:rsidR="00B052FA" w:rsidRPr="0046672D" w:rsidRDefault="00B052FA" w:rsidP="00673716">
            <w:pP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Сенчири-2031</w:t>
            </w:r>
          </w:p>
        </w:tc>
        <w:tc>
          <w:tcPr>
            <w:tcW w:w="1506" w:type="dxa"/>
            <w:noWrap/>
            <w:hideMark/>
          </w:tcPr>
          <w:p w14:paraId="55AB8E4B"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4.45%</w:t>
            </w:r>
          </w:p>
        </w:tc>
        <w:tc>
          <w:tcPr>
            <w:tcW w:w="2230" w:type="dxa"/>
            <w:noWrap/>
            <w:hideMark/>
          </w:tcPr>
          <w:p w14:paraId="317EB22E" w14:textId="77777777" w:rsidR="00B052FA" w:rsidRPr="0046672D" w:rsidRDefault="00B052FA" w:rsidP="00673716">
            <w:pPr>
              <w:jc w:val="center"/>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10 жил</w:t>
            </w:r>
          </w:p>
        </w:tc>
        <w:tc>
          <w:tcPr>
            <w:tcW w:w="2202" w:type="dxa"/>
            <w:noWrap/>
            <w:hideMark/>
          </w:tcPr>
          <w:p w14:paraId="64866DDE" w14:textId="77777777" w:rsidR="00B052FA" w:rsidRPr="0046672D" w:rsidRDefault="00B052FA" w:rsidP="00673716">
            <w:pPr>
              <w:jc w:val="right"/>
              <w:rPr>
                <w:rFonts w:ascii="Arial" w:eastAsia="Times New Roman" w:hAnsi="Arial" w:cs="Arial"/>
                <w:color w:val="000000"/>
                <w:sz w:val="24"/>
                <w:szCs w:val="24"/>
                <w:lang w:val="mn-MN"/>
              </w:rPr>
            </w:pPr>
            <w:r w:rsidRPr="0046672D">
              <w:rPr>
                <w:rFonts w:ascii="Arial" w:eastAsia="Times New Roman" w:hAnsi="Arial" w:cs="Arial"/>
                <w:sz w:val="24"/>
                <w:szCs w:val="24"/>
                <w:lang w:val="mn-MN"/>
              </w:rPr>
              <w:t>1,424.2</w:t>
            </w:r>
          </w:p>
        </w:tc>
      </w:tr>
      <w:tr w:rsidR="00B052FA" w:rsidRPr="0046672D" w14:paraId="41CC75A9" w14:textId="77777777" w:rsidTr="00673716">
        <w:trPr>
          <w:trHeight w:val="338"/>
        </w:trPr>
        <w:tc>
          <w:tcPr>
            <w:tcW w:w="685" w:type="dxa"/>
            <w:noWrap/>
            <w:hideMark/>
          </w:tcPr>
          <w:p w14:paraId="56471AD1" w14:textId="77777777" w:rsidR="00B052FA" w:rsidRPr="0046672D" w:rsidRDefault="00B052FA" w:rsidP="00673716">
            <w:pPr>
              <w:rPr>
                <w:rFonts w:ascii="Arial" w:eastAsia="Times New Roman" w:hAnsi="Arial" w:cs="Arial"/>
                <w:sz w:val="24"/>
                <w:szCs w:val="24"/>
                <w:lang w:val="mn-MN"/>
              </w:rPr>
            </w:pPr>
            <w:r w:rsidRPr="0046672D">
              <w:rPr>
                <w:rFonts w:ascii="Arial" w:eastAsia="Times New Roman" w:hAnsi="Arial" w:cs="Arial"/>
                <w:sz w:val="24"/>
                <w:szCs w:val="24"/>
                <w:lang w:val="mn-MN"/>
              </w:rPr>
              <w:t> </w:t>
            </w:r>
          </w:p>
        </w:tc>
        <w:tc>
          <w:tcPr>
            <w:tcW w:w="2573" w:type="dxa"/>
            <w:noWrap/>
            <w:hideMark/>
          </w:tcPr>
          <w:p w14:paraId="00DCACC1" w14:textId="77777777" w:rsidR="00B052FA" w:rsidRPr="0046672D" w:rsidRDefault="00B052FA" w:rsidP="00673716">
            <w:pPr>
              <w:jc w:val="center"/>
              <w:rPr>
                <w:rFonts w:ascii="Arial" w:eastAsia="Times New Roman" w:hAnsi="Arial" w:cs="Arial"/>
                <w:b/>
                <w:sz w:val="24"/>
                <w:szCs w:val="24"/>
                <w:lang w:val="mn-MN"/>
              </w:rPr>
            </w:pPr>
            <w:r w:rsidRPr="0046672D">
              <w:rPr>
                <w:rFonts w:ascii="Arial" w:eastAsia="Times New Roman" w:hAnsi="Arial" w:cs="Arial"/>
                <w:b/>
                <w:sz w:val="24"/>
                <w:szCs w:val="24"/>
                <w:lang w:val="mn-MN"/>
              </w:rPr>
              <w:t>НИЙТ</w:t>
            </w:r>
          </w:p>
        </w:tc>
        <w:tc>
          <w:tcPr>
            <w:tcW w:w="1506" w:type="dxa"/>
            <w:noWrap/>
            <w:hideMark/>
          </w:tcPr>
          <w:p w14:paraId="2CDC2003" w14:textId="77777777" w:rsidR="00B052FA" w:rsidRPr="0046672D" w:rsidRDefault="00B052FA" w:rsidP="00673716">
            <w:pPr>
              <w:rPr>
                <w:rFonts w:ascii="Arial" w:eastAsia="Times New Roman" w:hAnsi="Arial" w:cs="Arial"/>
                <w:b/>
                <w:sz w:val="24"/>
                <w:szCs w:val="24"/>
                <w:lang w:val="mn-MN"/>
              </w:rPr>
            </w:pPr>
            <w:r w:rsidRPr="0046672D">
              <w:rPr>
                <w:rFonts w:ascii="Arial" w:eastAsia="Times New Roman" w:hAnsi="Arial" w:cs="Arial"/>
                <w:b/>
                <w:sz w:val="24"/>
                <w:szCs w:val="24"/>
                <w:lang w:val="mn-MN"/>
              </w:rPr>
              <w:t> </w:t>
            </w:r>
          </w:p>
        </w:tc>
        <w:tc>
          <w:tcPr>
            <w:tcW w:w="2230" w:type="dxa"/>
            <w:noWrap/>
            <w:hideMark/>
          </w:tcPr>
          <w:p w14:paraId="13C4D9E7" w14:textId="77777777" w:rsidR="00B052FA" w:rsidRPr="0046672D" w:rsidRDefault="00B052FA" w:rsidP="00673716">
            <w:pPr>
              <w:rPr>
                <w:rFonts w:ascii="Arial" w:eastAsia="Times New Roman" w:hAnsi="Arial" w:cs="Arial"/>
                <w:b/>
                <w:sz w:val="24"/>
                <w:szCs w:val="24"/>
                <w:lang w:val="mn-MN"/>
              </w:rPr>
            </w:pPr>
            <w:r w:rsidRPr="0046672D">
              <w:rPr>
                <w:rFonts w:ascii="Arial" w:eastAsia="Times New Roman" w:hAnsi="Arial" w:cs="Arial"/>
                <w:b/>
                <w:sz w:val="24"/>
                <w:szCs w:val="24"/>
                <w:lang w:val="mn-MN"/>
              </w:rPr>
              <w:t> </w:t>
            </w:r>
          </w:p>
        </w:tc>
        <w:tc>
          <w:tcPr>
            <w:tcW w:w="2202" w:type="dxa"/>
            <w:noWrap/>
            <w:hideMark/>
          </w:tcPr>
          <w:p w14:paraId="01E8247D" w14:textId="77777777" w:rsidR="00B052FA" w:rsidRPr="0046672D" w:rsidRDefault="00B052FA" w:rsidP="00673716">
            <w:pPr>
              <w:jc w:val="right"/>
              <w:rPr>
                <w:rFonts w:ascii="Arial" w:eastAsia="Times New Roman" w:hAnsi="Arial" w:cs="Arial"/>
                <w:b/>
                <w:sz w:val="24"/>
                <w:szCs w:val="24"/>
                <w:lang w:val="mn-MN"/>
              </w:rPr>
            </w:pPr>
            <w:r w:rsidRPr="0046672D">
              <w:rPr>
                <w:rFonts w:ascii="Arial" w:eastAsia="Times New Roman" w:hAnsi="Arial" w:cs="Arial"/>
                <w:b/>
                <w:sz w:val="24"/>
                <w:szCs w:val="24"/>
                <w:lang w:val="mn-MN"/>
              </w:rPr>
              <w:t>8,175.6</w:t>
            </w:r>
          </w:p>
        </w:tc>
      </w:tr>
    </w:tbl>
    <w:p w14:paraId="5BCAB6F7" w14:textId="77777777" w:rsidR="00B052FA" w:rsidRPr="0046672D" w:rsidRDefault="00B052FA" w:rsidP="00B052FA">
      <w:pPr>
        <w:ind w:firstLine="720"/>
        <w:jc w:val="center"/>
        <w:rPr>
          <w:rFonts w:ascii="Arial" w:hAnsi="Arial" w:cs="Arial"/>
          <w:i/>
          <w:sz w:val="20"/>
          <w:szCs w:val="24"/>
          <w:lang w:val="mn-MN"/>
        </w:rPr>
      </w:pPr>
      <w:r w:rsidRPr="0046672D">
        <w:rPr>
          <w:rFonts w:ascii="Arial" w:hAnsi="Arial" w:cs="Arial"/>
          <w:i/>
          <w:sz w:val="20"/>
          <w:szCs w:val="24"/>
          <w:lang w:val="mn-MN"/>
        </w:rPr>
        <w:t>Эх сурвалж: Сангийн яам</w:t>
      </w:r>
    </w:p>
    <w:p w14:paraId="0AD9FD5F" w14:textId="77777777" w:rsidR="00B052FA" w:rsidRPr="0046672D" w:rsidRDefault="00B052FA" w:rsidP="00B052FA">
      <w:pPr>
        <w:ind w:firstLine="720"/>
        <w:jc w:val="both"/>
        <w:rPr>
          <w:rFonts w:ascii="Arial" w:hAnsi="Arial" w:cs="Arial"/>
          <w:color w:val="000000"/>
          <w:sz w:val="24"/>
          <w:szCs w:val="24"/>
          <w:shd w:val="clear" w:color="auto" w:fill="FFFFFF"/>
          <w:lang w:val="mn-MN"/>
        </w:rPr>
      </w:pPr>
      <w:r w:rsidRPr="0046672D">
        <w:rPr>
          <w:rFonts w:ascii="Arial" w:hAnsi="Arial" w:cs="Arial"/>
          <w:sz w:val="24"/>
          <w:szCs w:val="24"/>
          <w:lang w:val="mn-MN"/>
        </w:rPr>
        <w:t xml:space="preserve">Засгийн газрын зүгээс стратегийн баримт бичгийн хэрэгжилтийг хангах, дунд хугацааны төлбөрийн дарамтыг бууруулах зорилгоор 2020 оны 9 дүгээр сарын 28-ны өдөр 600.0 сая ам.долларын 5.125 хувийн хүүтэй “Номад” бондыг арилжаалж 2021 онд төлөгдөх 10.875 хувийн хүүтэй “Мазаалай” бонд, 2022 онд төлөгдөх 5.125 хувийн купонтой “Чингис” бондын тодорхой хэсгийг буцаан худалдан авсан. Мазаалай бондын үлдэгдэл 132.6 сая ам.долларын үндсэн төлбөрийг улсын төсвөөс 2021 оны 4 дүгээр сард бүрэн төлж барагдуулсан. Мөн 2021 оны </w:t>
      </w:r>
      <w:r w:rsidRPr="0046672D">
        <w:rPr>
          <w:rStyle w:val="normaltextrun"/>
          <w:rFonts w:ascii="Arial" w:hAnsi="Arial" w:cs="Arial"/>
          <w:color w:val="000000"/>
          <w:shd w:val="clear" w:color="auto" w:fill="FFFFFF"/>
          <w:lang w:val="mn-MN"/>
        </w:rPr>
        <w:t>7 дугаар сард “Сенчири” төслийн хүрээнд хугацаа тулаад байсан 2012 онд гаргасан “Чингис” бонд болон 2017 онд гаргасан “Гэрэгэ” бондын өр төлбөрийн тодорхой хувийг дахин санхүүжилт хийж өрийн зохицуулалтын арга хэмжээг авч хэрэгжүүлсэн бөгөөд түүхэндээ хамгийн бага түвшний хүүтэйгээр буюу 6 жилийн хугацаатай 3.5 хувийн хүүтэй 500 сая ам.доллар, 10 жилийн хугацаатай 4.45 хувийн хүүтэй, 500 сая ам.доллар, нийт 1.0 тэрбум ам.долларын өр төлбөрийг шийдвэрлээд байна.</w:t>
      </w:r>
    </w:p>
    <w:p w14:paraId="67D9DE9B" w14:textId="77777777" w:rsidR="00B052FA" w:rsidRPr="0046672D" w:rsidRDefault="00B052FA" w:rsidP="00B052FA">
      <w:pPr>
        <w:spacing w:after="0"/>
        <w:jc w:val="both"/>
        <w:rPr>
          <w:rFonts w:ascii="Arial" w:hAnsi="Arial" w:cs="Arial"/>
          <w:i/>
          <w:sz w:val="24"/>
          <w:szCs w:val="24"/>
          <w:lang w:val="mn-MN"/>
        </w:rPr>
      </w:pPr>
      <w:r w:rsidRPr="0046672D">
        <w:rPr>
          <w:rFonts w:ascii="Arial" w:hAnsi="Arial" w:cs="Arial"/>
          <w:i/>
          <w:sz w:val="24"/>
          <w:szCs w:val="24"/>
          <w:lang w:val="mn-MN"/>
        </w:rPr>
        <w:tab/>
        <w:t>График № 2. Дахин санхүүжүүлсэн гадаад үнэт цаас хүүгийн хувиар</w:t>
      </w:r>
    </w:p>
    <w:p w14:paraId="2C3DC9E2" w14:textId="77777777" w:rsidR="00B052FA" w:rsidRPr="0046672D" w:rsidRDefault="00B052FA" w:rsidP="00B052FA">
      <w:pPr>
        <w:rPr>
          <w:rStyle w:val="eop"/>
          <w:rFonts w:ascii="Arial" w:hAnsi="Arial" w:cs="Arial"/>
          <w:sz w:val="24"/>
          <w:szCs w:val="24"/>
          <w:lang w:val="mn-MN"/>
        </w:rPr>
      </w:pPr>
      <w:r w:rsidRPr="0046672D">
        <w:rPr>
          <w:rFonts w:ascii="Arial" w:hAnsi="Arial" w:cs="Arial"/>
          <w:noProof/>
        </w:rPr>
        <w:drawing>
          <wp:inline distT="0" distB="0" distL="0" distR="0" wp14:anchorId="0B6A809A" wp14:editId="0FD457AF">
            <wp:extent cx="2597203" cy="2350770"/>
            <wp:effectExtent l="0" t="0" r="12700" b="11430"/>
            <wp:docPr id="16" name="Chart 16">
              <a:extLst xmlns:a="http://schemas.openxmlformats.org/drawingml/2006/main">
                <a:ext uri="{FF2B5EF4-FFF2-40B4-BE49-F238E27FC236}">
                  <a16:creationId xmlns:a16="http://schemas.microsoft.com/office/drawing/2014/main" id="{187CD29D-5ED6-4305-A5CE-F5DF7CCB75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6672D">
        <w:rPr>
          <w:rFonts w:ascii="Arial" w:hAnsi="Arial" w:cs="Arial"/>
          <w:noProof/>
        </w:rPr>
        <w:drawing>
          <wp:inline distT="0" distB="0" distL="0" distR="0" wp14:anchorId="60348FD7" wp14:editId="5B7F1EF1">
            <wp:extent cx="2665730" cy="2328224"/>
            <wp:effectExtent l="0" t="0" r="1270" b="15240"/>
            <wp:docPr id="1" name="Chart 1">
              <a:extLst xmlns:a="http://schemas.openxmlformats.org/drawingml/2006/main">
                <a:ext uri="{FF2B5EF4-FFF2-40B4-BE49-F238E27FC236}">
                  <a16:creationId xmlns:a16="http://schemas.microsoft.com/office/drawing/2014/main" id="{BB4F1A9C-F7CA-463F-9AC0-926B49A641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76BA51" w14:textId="77777777" w:rsidR="00B052FA" w:rsidRPr="0046672D" w:rsidRDefault="00B052FA" w:rsidP="00B052FA">
      <w:pPr>
        <w:ind w:firstLine="720"/>
        <w:jc w:val="center"/>
        <w:rPr>
          <w:rFonts w:ascii="Arial" w:hAnsi="Arial" w:cs="Arial"/>
          <w:i/>
          <w:sz w:val="20"/>
          <w:szCs w:val="24"/>
          <w:lang w:val="mn-MN"/>
        </w:rPr>
      </w:pPr>
      <w:r w:rsidRPr="0046672D">
        <w:rPr>
          <w:rFonts w:ascii="Arial" w:hAnsi="Arial" w:cs="Arial"/>
          <w:i/>
          <w:sz w:val="20"/>
          <w:szCs w:val="24"/>
          <w:lang w:val="mn-MN"/>
        </w:rPr>
        <w:t>Эх сурвалж: Сангийн яам</w:t>
      </w:r>
    </w:p>
    <w:p w14:paraId="3AD69FC0" w14:textId="77777777" w:rsidR="00B052FA" w:rsidRPr="0046672D" w:rsidRDefault="00B052FA" w:rsidP="00B052FA">
      <w:pPr>
        <w:jc w:val="both"/>
        <w:rPr>
          <w:rStyle w:val="eop"/>
          <w:rFonts w:ascii="Arial" w:hAnsi="Arial" w:cs="Arial"/>
          <w:b/>
          <w:iCs/>
          <w:sz w:val="24"/>
          <w:szCs w:val="24"/>
          <w:shd w:val="clear" w:color="auto" w:fill="FFFFFF"/>
          <w:lang w:val="mn-MN"/>
        </w:rPr>
      </w:pPr>
      <w:r w:rsidRPr="0046672D">
        <w:rPr>
          <w:rStyle w:val="eop"/>
          <w:rFonts w:ascii="Arial" w:hAnsi="Arial" w:cs="Arial"/>
          <w:b/>
          <w:sz w:val="24"/>
          <w:szCs w:val="24"/>
          <w:shd w:val="clear" w:color="auto" w:fill="FFFFFF"/>
          <w:lang w:val="mn-MN"/>
        </w:rPr>
        <w:t>2.2.3</w:t>
      </w:r>
      <w:r w:rsidRPr="0046672D">
        <w:rPr>
          <w:rStyle w:val="eop"/>
          <w:rFonts w:ascii="Arial" w:hAnsi="Arial" w:cs="Arial"/>
          <w:b/>
          <w:sz w:val="24"/>
          <w:szCs w:val="24"/>
          <w:shd w:val="clear" w:color="auto" w:fill="FFFFFF"/>
          <w:lang w:val="mn-MN"/>
        </w:rPr>
        <w:tab/>
      </w:r>
      <w:r w:rsidRPr="0046672D">
        <w:rPr>
          <w:rStyle w:val="eop"/>
          <w:rFonts w:ascii="Arial" w:hAnsi="Arial" w:cs="Arial"/>
          <w:b/>
          <w:iCs/>
          <w:sz w:val="24"/>
          <w:szCs w:val="24"/>
          <w:shd w:val="clear" w:color="auto" w:fill="FFFFFF"/>
          <w:lang w:val="mn-MN"/>
        </w:rPr>
        <w:t>Гадаад зээл</w:t>
      </w:r>
    </w:p>
    <w:p w14:paraId="56BB58EC" w14:textId="77777777" w:rsidR="00B052FA" w:rsidRPr="0046672D" w:rsidRDefault="00B052FA" w:rsidP="00B052FA">
      <w:pPr>
        <w:spacing w:before="240"/>
        <w:jc w:val="both"/>
        <w:rPr>
          <w:rFonts w:ascii="Arial" w:hAnsi="Arial" w:cs="Arial"/>
          <w:sz w:val="24"/>
          <w:szCs w:val="24"/>
          <w:lang w:val="mn-MN"/>
        </w:rPr>
      </w:pPr>
      <w:r w:rsidRPr="0046672D">
        <w:rPr>
          <w:rFonts w:ascii="Arial" w:eastAsia="Times New Roman" w:hAnsi="Arial" w:cs="Arial"/>
          <w:sz w:val="24"/>
          <w:szCs w:val="24"/>
          <w:lang w:val="mn-MN"/>
        </w:rPr>
        <w:tab/>
        <w:t xml:space="preserve">Монгол Улсын Засгийн газар 1991 оноос Дэлхийн банк, Азийн хөгжлийн банкны гишүүнээр элсэн орж олон талт болон хоёр талт зээлдүүлэгчдээс хөнгөлөлттэй  нөхцөлтэй зээл, тусламж, техник туслалцааг авч ашиглаж ирсэн ба нийт гадаад зээлийн </w:t>
      </w:r>
      <w:r w:rsidRPr="0046672D">
        <w:rPr>
          <w:rFonts w:ascii="Arial" w:hAnsi="Arial" w:cs="Arial"/>
          <w:sz w:val="24"/>
          <w:szCs w:val="24"/>
          <w:lang w:val="mn-MN"/>
        </w:rPr>
        <w:t>үлдэгдэл 2021 оны оны жилийн эцсийн урьдчилсан гүйцэтгэлээр 16,517.7 тэрбум төгрөгт хүрсэн. Энэ нь 2020 оны жилийн эцэстэй харьцуулахад 14.9 тэрбум төгрөгөөр өссөн бол 2019 оныхтой харьцуулахад 3,711.4 тэрбум төгрөгөөр нэмэгдсэн. 2021 онд гадаад зээлийн үлдэгдэл Засгийн газрын нийт өрийн багцын 61.4 хувийг эзэлж байна.</w:t>
      </w:r>
    </w:p>
    <w:p w14:paraId="6C4F3D35" w14:textId="77777777" w:rsidR="00B052FA" w:rsidRPr="0046672D" w:rsidRDefault="00B052FA" w:rsidP="00B052FA">
      <w:pPr>
        <w:spacing w:before="240" w:after="0"/>
        <w:rPr>
          <w:rFonts w:ascii="Arial" w:hAnsi="Arial" w:cs="Arial"/>
          <w:i/>
          <w:iCs/>
          <w:sz w:val="24"/>
          <w:szCs w:val="24"/>
          <w:lang w:val="mn-MN"/>
        </w:rPr>
      </w:pPr>
      <w:r w:rsidRPr="0046672D">
        <w:rPr>
          <w:rFonts w:ascii="Arial" w:hAnsi="Arial" w:cs="Arial"/>
          <w:i/>
          <w:iCs/>
          <w:sz w:val="24"/>
          <w:szCs w:val="24"/>
          <w:lang w:val="mn-MN"/>
        </w:rPr>
        <w:tab/>
        <w:t>Хүснэгт № 4. Гадаад зээлийн ашиглалт, тэрбум төгрөг /2021.12.31/</w:t>
      </w:r>
    </w:p>
    <w:tbl>
      <w:tblPr>
        <w:tblW w:w="9350" w:type="dxa"/>
        <w:tblLook w:val="04A0" w:firstRow="1" w:lastRow="0" w:firstColumn="1" w:lastColumn="0" w:noHBand="0" w:noVBand="1"/>
      </w:tblPr>
      <w:tblGrid>
        <w:gridCol w:w="2084"/>
        <w:gridCol w:w="2022"/>
        <w:gridCol w:w="1701"/>
        <w:gridCol w:w="1985"/>
        <w:gridCol w:w="1558"/>
      </w:tblGrid>
      <w:tr w:rsidR="00B052FA" w:rsidRPr="0046672D" w14:paraId="7255B9B6" w14:textId="77777777" w:rsidTr="00673716">
        <w:trPr>
          <w:trHeight w:val="188"/>
        </w:trPr>
        <w:tc>
          <w:tcPr>
            <w:tcW w:w="208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6EC148A"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Төрөл</w:t>
            </w:r>
          </w:p>
        </w:tc>
        <w:tc>
          <w:tcPr>
            <w:tcW w:w="202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9DCB665"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2019 он</w:t>
            </w:r>
          </w:p>
        </w:tc>
        <w:tc>
          <w:tcPr>
            <w:tcW w:w="1701"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4E0660"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2020 он</w:t>
            </w:r>
          </w:p>
        </w:tc>
        <w:tc>
          <w:tcPr>
            <w:tcW w:w="198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35767DE"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2021 он</w:t>
            </w:r>
          </w:p>
        </w:tc>
        <w:tc>
          <w:tcPr>
            <w:tcW w:w="1558" w:type="dxa"/>
            <w:tcBorders>
              <w:top w:val="single" w:sz="4" w:space="0" w:color="auto"/>
              <w:left w:val="nil"/>
              <w:bottom w:val="single" w:sz="4" w:space="0" w:color="auto"/>
              <w:right w:val="single" w:sz="4" w:space="0" w:color="auto"/>
            </w:tcBorders>
            <w:shd w:val="clear" w:color="auto" w:fill="E7E6E6" w:themeFill="background2"/>
          </w:tcPr>
          <w:p w14:paraId="6B388510"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НИЙТ</w:t>
            </w:r>
          </w:p>
        </w:tc>
      </w:tr>
      <w:tr w:rsidR="00B052FA" w:rsidRPr="0046672D" w14:paraId="5DEE2757" w14:textId="77777777" w:rsidTr="00673716">
        <w:trPr>
          <w:trHeight w:val="246"/>
        </w:trPr>
        <w:tc>
          <w:tcPr>
            <w:tcW w:w="2084" w:type="dxa"/>
            <w:tcBorders>
              <w:top w:val="nil"/>
              <w:left w:val="single" w:sz="4" w:space="0" w:color="auto"/>
              <w:bottom w:val="single" w:sz="4" w:space="0" w:color="auto"/>
              <w:right w:val="single" w:sz="4" w:space="0" w:color="auto"/>
            </w:tcBorders>
            <w:shd w:val="clear" w:color="auto" w:fill="auto"/>
            <w:vAlign w:val="center"/>
            <w:hideMark/>
          </w:tcPr>
          <w:p w14:paraId="5DC2618B" w14:textId="77777777" w:rsidR="00B052FA" w:rsidRPr="0046672D" w:rsidRDefault="00B052FA" w:rsidP="00673716">
            <w:pPr>
              <w:spacing w:after="0" w:line="240" w:lineRule="auto"/>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Хөтөлбөрийн зээл</w:t>
            </w:r>
          </w:p>
        </w:tc>
        <w:tc>
          <w:tcPr>
            <w:tcW w:w="2022" w:type="dxa"/>
            <w:tcBorders>
              <w:top w:val="nil"/>
              <w:left w:val="nil"/>
              <w:bottom w:val="single" w:sz="4" w:space="0" w:color="auto"/>
              <w:right w:val="single" w:sz="4" w:space="0" w:color="auto"/>
            </w:tcBorders>
            <w:shd w:val="clear" w:color="auto" w:fill="auto"/>
            <w:noWrap/>
            <w:vAlign w:val="center"/>
            <w:hideMark/>
          </w:tcPr>
          <w:p w14:paraId="0524F707"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 xml:space="preserve">409.5 </w:t>
            </w:r>
          </w:p>
        </w:tc>
        <w:tc>
          <w:tcPr>
            <w:tcW w:w="1701" w:type="dxa"/>
            <w:tcBorders>
              <w:top w:val="nil"/>
              <w:left w:val="nil"/>
              <w:bottom w:val="single" w:sz="4" w:space="0" w:color="auto"/>
              <w:right w:val="single" w:sz="4" w:space="0" w:color="auto"/>
            </w:tcBorders>
            <w:shd w:val="clear" w:color="auto" w:fill="auto"/>
            <w:noWrap/>
            <w:vAlign w:val="center"/>
            <w:hideMark/>
          </w:tcPr>
          <w:p w14:paraId="76257FBC"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 xml:space="preserve">1,978.1 </w:t>
            </w:r>
          </w:p>
        </w:tc>
        <w:tc>
          <w:tcPr>
            <w:tcW w:w="1985" w:type="dxa"/>
            <w:tcBorders>
              <w:top w:val="nil"/>
              <w:left w:val="nil"/>
              <w:bottom w:val="single" w:sz="4" w:space="0" w:color="auto"/>
              <w:right w:val="single" w:sz="4" w:space="0" w:color="auto"/>
            </w:tcBorders>
            <w:shd w:val="clear" w:color="auto" w:fill="auto"/>
            <w:noWrap/>
            <w:vAlign w:val="center"/>
            <w:hideMark/>
          </w:tcPr>
          <w:p w14:paraId="17A25858"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285.0</w:t>
            </w:r>
          </w:p>
        </w:tc>
        <w:tc>
          <w:tcPr>
            <w:tcW w:w="1558" w:type="dxa"/>
            <w:tcBorders>
              <w:top w:val="nil"/>
              <w:left w:val="nil"/>
              <w:bottom w:val="single" w:sz="4" w:space="0" w:color="auto"/>
              <w:right w:val="single" w:sz="4" w:space="0" w:color="auto"/>
            </w:tcBorders>
          </w:tcPr>
          <w:p w14:paraId="4A23E3FC"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2,672.6</w:t>
            </w:r>
          </w:p>
        </w:tc>
      </w:tr>
      <w:tr w:rsidR="00B052FA" w:rsidRPr="0046672D" w14:paraId="55DAC6E1" w14:textId="77777777" w:rsidTr="00673716">
        <w:trPr>
          <w:trHeight w:val="377"/>
        </w:trPr>
        <w:tc>
          <w:tcPr>
            <w:tcW w:w="2084" w:type="dxa"/>
            <w:tcBorders>
              <w:top w:val="nil"/>
              <w:left w:val="single" w:sz="4" w:space="0" w:color="auto"/>
              <w:bottom w:val="single" w:sz="4" w:space="0" w:color="auto"/>
              <w:right w:val="single" w:sz="4" w:space="0" w:color="auto"/>
            </w:tcBorders>
            <w:shd w:val="clear" w:color="auto" w:fill="auto"/>
            <w:noWrap/>
            <w:vAlign w:val="center"/>
            <w:hideMark/>
          </w:tcPr>
          <w:p w14:paraId="14682AEC" w14:textId="77777777" w:rsidR="00B052FA" w:rsidRPr="0046672D" w:rsidRDefault="00B052FA" w:rsidP="00673716">
            <w:pPr>
              <w:spacing w:after="0" w:line="240" w:lineRule="auto"/>
              <w:rPr>
                <w:rFonts w:ascii="Arial" w:eastAsia="Times New Roman" w:hAnsi="Arial" w:cs="Arial"/>
                <w:sz w:val="24"/>
                <w:szCs w:val="24"/>
                <w:lang w:val="mn-MN"/>
              </w:rPr>
            </w:pPr>
            <w:r w:rsidRPr="0046672D">
              <w:rPr>
                <w:rFonts w:ascii="Arial" w:eastAsia="Times New Roman" w:hAnsi="Arial" w:cs="Arial"/>
                <w:sz w:val="24"/>
                <w:szCs w:val="24"/>
                <w:lang w:val="mn-MN"/>
              </w:rPr>
              <w:t>Төслийн зээл</w:t>
            </w:r>
          </w:p>
        </w:tc>
        <w:tc>
          <w:tcPr>
            <w:tcW w:w="2022" w:type="dxa"/>
            <w:tcBorders>
              <w:top w:val="nil"/>
              <w:left w:val="nil"/>
              <w:bottom w:val="single" w:sz="4" w:space="0" w:color="auto"/>
              <w:right w:val="single" w:sz="4" w:space="0" w:color="auto"/>
            </w:tcBorders>
            <w:shd w:val="clear" w:color="auto" w:fill="auto"/>
            <w:noWrap/>
            <w:vAlign w:val="center"/>
            <w:hideMark/>
          </w:tcPr>
          <w:p w14:paraId="7B434BF0"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 xml:space="preserve">1,229.1 </w:t>
            </w:r>
          </w:p>
        </w:tc>
        <w:tc>
          <w:tcPr>
            <w:tcW w:w="1701" w:type="dxa"/>
            <w:tcBorders>
              <w:top w:val="nil"/>
              <w:left w:val="nil"/>
              <w:bottom w:val="single" w:sz="4" w:space="0" w:color="auto"/>
              <w:right w:val="single" w:sz="4" w:space="0" w:color="auto"/>
            </w:tcBorders>
            <w:shd w:val="clear" w:color="auto" w:fill="auto"/>
            <w:noWrap/>
            <w:vAlign w:val="center"/>
            <w:hideMark/>
          </w:tcPr>
          <w:p w14:paraId="5FC53CD5"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 xml:space="preserve">1,390.3 </w:t>
            </w:r>
          </w:p>
        </w:tc>
        <w:tc>
          <w:tcPr>
            <w:tcW w:w="1985" w:type="dxa"/>
            <w:tcBorders>
              <w:top w:val="nil"/>
              <w:left w:val="nil"/>
              <w:bottom w:val="single" w:sz="4" w:space="0" w:color="auto"/>
              <w:right w:val="single" w:sz="4" w:space="0" w:color="auto"/>
            </w:tcBorders>
            <w:shd w:val="clear" w:color="auto" w:fill="auto"/>
            <w:noWrap/>
            <w:vAlign w:val="center"/>
            <w:hideMark/>
          </w:tcPr>
          <w:p w14:paraId="2CBBA0F4"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 xml:space="preserve">1,106.4 </w:t>
            </w:r>
          </w:p>
        </w:tc>
        <w:tc>
          <w:tcPr>
            <w:tcW w:w="1558" w:type="dxa"/>
            <w:tcBorders>
              <w:top w:val="nil"/>
              <w:left w:val="nil"/>
              <w:bottom w:val="single" w:sz="4" w:space="0" w:color="auto"/>
              <w:right w:val="single" w:sz="4" w:space="0" w:color="auto"/>
            </w:tcBorders>
            <w:vAlign w:val="center"/>
          </w:tcPr>
          <w:p w14:paraId="351A87DC" w14:textId="77777777" w:rsidR="00B052FA" w:rsidRPr="0046672D" w:rsidRDefault="00B052FA" w:rsidP="00673716">
            <w:pPr>
              <w:spacing w:after="0" w:line="240" w:lineRule="auto"/>
              <w:jc w:val="right"/>
              <w:rPr>
                <w:rFonts w:ascii="Arial" w:eastAsia="Times New Roman" w:hAnsi="Arial" w:cs="Arial"/>
                <w:sz w:val="24"/>
                <w:szCs w:val="24"/>
                <w:lang w:val="mn-MN"/>
              </w:rPr>
            </w:pPr>
            <w:r w:rsidRPr="0046672D">
              <w:rPr>
                <w:rFonts w:ascii="Arial" w:eastAsia="Times New Roman" w:hAnsi="Arial" w:cs="Arial"/>
                <w:sz w:val="24"/>
                <w:szCs w:val="24"/>
                <w:lang w:val="mn-MN"/>
              </w:rPr>
              <w:t>3,725.8</w:t>
            </w:r>
          </w:p>
        </w:tc>
      </w:tr>
      <w:tr w:rsidR="00B052FA" w:rsidRPr="0046672D" w14:paraId="1334DA57" w14:textId="77777777" w:rsidTr="00673716">
        <w:trPr>
          <w:trHeight w:val="277"/>
        </w:trPr>
        <w:tc>
          <w:tcPr>
            <w:tcW w:w="2084" w:type="dxa"/>
            <w:tcBorders>
              <w:top w:val="nil"/>
              <w:left w:val="single" w:sz="4" w:space="0" w:color="auto"/>
              <w:bottom w:val="single" w:sz="4" w:space="0" w:color="auto"/>
              <w:right w:val="single" w:sz="4" w:space="0" w:color="auto"/>
            </w:tcBorders>
            <w:shd w:val="clear" w:color="auto" w:fill="auto"/>
            <w:noWrap/>
            <w:vAlign w:val="center"/>
            <w:hideMark/>
          </w:tcPr>
          <w:p w14:paraId="450C9C46" w14:textId="77777777" w:rsidR="00B052FA" w:rsidRPr="0046672D" w:rsidRDefault="00B052FA" w:rsidP="00673716">
            <w:pPr>
              <w:spacing w:after="0" w:line="240" w:lineRule="auto"/>
              <w:rPr>
                <w:rFonts w:ascii="Arial" w:eastAsia="Times New Roman" w:hAnsi="Arial" w:cs="Arial"/>
                <w:b/>
                <w:sz w:val="24"/>
                <w:szCs w:val="24"/>
                <w:lang w:val="mn-MN"/>
              </w:rPr>
            </w:pPr>
            <w:r w:rsidRPr="0046672D">
              <w:rPr>
                <w:rFonts w:ascii="Arial" w:eastAsia="Times New Roman" w:hAnsi="Arial" w:cs="Arial"/>
                <w:b/>
                <w:sz w:val="24"/>
                <w:szCs w:val="24"/>
                <w:lang w:val="mn-MN"/>
              </w:rPr>
              <w:t>НИЙТ</w:t>
            </w:r>
          </w:p>
        </w:tc>
        <w:tc>
          <w:tcPr>
            <w:tcW w:w="2022" w:type="dxa"/>
            <w:tcBorders>
              <w:top w:val="nil"/>
              <w:left w:val="nil"/>
              <w:bottom w:val="single" w:sz="4" w:space="0" w:color="auto"/>
              <w:right w:val="single" w:sz="4" w:space="0" w:color="auto"/>
            </w:tcBorders>
            <w:shd w:val="clear" w:color="auto" w:fill="auto"/>
            <w:noWrap/>
            <w:vAlign w:val="center"/>
            <w:hideMark/>
          </w:tcPr>
          <w:p w14:paraId="0FD410E9" w14:textId="77777777" w:rsidR="00B052FA" w:rsidRPr="0046672D" w:rsidRDefault="00B052FA" w:rsidP="00673716">
            <w:pPr>
              <w:spacing w:after="0" w:line="240" w:lineRule="auto"/>
              <w:jc w:val="right"/>
              <w:rPr>
                <w:rFonts w:ascii="Arial" w:eastAsia="Times New Roman" w:hAnsi="Arial" w:cs="Arial"/>
                <w:b/>
                <w:sz w:val="24"/>
                <w:szCs w:val="24"/>
                <w:lang w:val="mn-MN"/>
              </w:rPr>
            </w:pPr>
            <w:r w:rsidRPr="0046672D">
              <w:rPr>
                <w:rFonts w:ascii="Arial" w:eastAsia="Times New Roman" w:hAnsi="Arial" w:cs="Arial"/>
                <w:b/>
                <w:sz w:val="24"/>
                <w:szCs w:val="24"/>
                <w:lang w:val="mn-MN"/>
              </w:rPr>
              <w:t>1,638.</w:t>
            </w:r>
            <w:r w:rsidRPr="0046672D">
              <w:rPr>
                <w:rFonts w:ascii="Arial" w:eastAsia="Times New Roman" w:hAnsi="Arial" w:cs="Arial"/>
                <w:b/>
                <w:bCs/>
                <w:sz w:val="24"/>
                <w:szCs w:val="24"/>
                <w:lang w:val="mn-MN"/>
              </w:rPr>
              <w:t>6</w:t>
            </w:r>
            <w:r w:rsidRPr="0046672D">
              <w:rPr>
                <w:rFonts w:ascii="Arial" w:eastAsia="Times New Roman" w:hAnsi="Arial" w:cs="Arial"/>
                <w:b/>
                <w:sz w:val="24"/>
                <w:szCs w:val="24"/>
                <w:lang w:val="mn-MN"/>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5996833" w14:textId="77777777" w:rsidR="00B052FA" w:rsidRPr="0046672D" w:rsidRDefault="00B052FA" w:rsidP="00673716">
            <w:pPr>
              <w:spacing w:after="0" w:line="240" w:lineRule="auto"/>
              <w:jc w:val="right"/>
              <w:rPr>
                <w:rFonts w:ascii="Arial" w:eastAsia="Times New Roman" w:hAnsi="Arial" w:cs="Arial"/>
                <w:b/>
                <w:sz w:val="24"/>
                <w:szCs w:val="24"/>
                <w:lang w:val="mn-MN"/>
              </w:rPr>
            </w:pPr>
            <w:r w:rsidRPr="0046672D">
              <w:rPr>
                <w:rFonts w:ascii="Arial" w:eastAsia="Times New Roman" w:hAnsi="Arial" w:cs="Arial"/>
                <w:b/>
                <w:sz w:val="24"/>
                <w:szCs w:val="24"/>
                <w:lang w:val="mn-MN"/>
              </w:rPr>
              <w:t xml:space="preserve">3,368.4 </w:t>
            </w:r>
          </w:p>
        </w:tc>
        <w:tc>
          <w:tcPr>
            <w:tcW w:w="1985" w:type="dxa"/>
            <w:tcBorders>
              <w:top w:val="nil"/>
              <w:left w:val="nil"/>
              <w:bottom w:val="single" w:sz="4" w:space="0" w:color="auto"/>
              <w:right w:val="single" w:sz="4" w:space="0" w:color="auto"/>
            </w:tcBorders>
            <w:shd w:val="clear" w:color="auto" w:fill="auto"/>
            <w:noWrap/>
            <w:vAlign w:val="center"/>
            <w:hideMark/>
          </w:tcPr>
          <w:p w14:paraId="793F5726" w14:textId="77777777" w:rsidR="00B052FA" w:rsidRPr="0046672D" w:rsidRDefault="00B052FA" w:rsidP="00673716">
            <w:pPr>
              <w:spacing w:after="0" w:line="240" w:lineRule="auto"/>
              <w:jc w:val="right"/>
              <w:rPr>
                <w:rFonts w:ascii="Arial" w:eastAsia="Times New Roman" w:hAnsi="Arial" w:cs="Arial"/>
                <w:b/>
                <w:sz w:val="24"/>
                <w:szCs w:val="24"/>
                <w:lang w:val="mn-MN"/>
              </w:rPr>
            </w:pPr>
            <w:r w:rsidRPr="0046672D">
              <w:rPr>
                <w:rFonts w:ascii="Arial" w:eastAsia="Times New Roman" w:hAnsi="Arial" w:cs="Arial"/>
                <w:b/>
                <w:sz w:val="24"/>
                <w:szCs w:val="24"/>
                <w:lang w:val="mn-MN"/>
              </w:rPr>
              <w:t xml:space="preserve">1,391.4 </w:t>
            </w:r>
          </w:p>
        </w:tc>
        <w:tc>
          <w:tcPr>
            <w:tcW w:w="1558" w:type="dxa"/>
            <w:tcBorders>
              <w:top w:val="nil"/>
              <w:left w:val="nil"/>
              <w:bottom w:val="single" w:sz="4" w:space="0" w:color="auto"/>
              <w:right w:val="single" w:sz="4" w:space="0" w:color="auto"/>
            </w:tcBorders>
            <w:vAlign w:val="center"/>
          </w:tcPr>
          <w:p w14:paraId="0DFF38DB" w14:textId="77777777" w:rsidR="00B052FA" w:rsidRPr="0046672D" w:rsidRDefault="00B052FA" w:rsidP="00673716">
            <w:pPr>
              <w:spacing w:after="0" w:line="240" w:lineRule="auto"/>
              <w:jc w:val="right"/>
              <w:rPr>
                <w:rFonts w:ascii="Arial" w:eastAsia="Times New Roman" w:hAnsi="Arial" w:cs="Arial"/>
                <w:b/>
                <w:sz w:val="24"/>
                <w:szCs w:val="24"/>
                <w:lang w:val="mn-MN"/>
              </w:rPr>
            </w:pPr>
            <w:r w:rsidRPr="0046672D">
              <w:rPr>
                <w:rFonts w:ascii="Arial" w:eastAsia="Times New Roman" w:hAnsi="Arial" w:cs="Arial"/>
                <w:b/>
                <w:sz w:val="24"/>
                <w:szCs w:val="24"/>
                <w:lang w:val="mn-MN"/>
              </w:rPr>
              <w:t xml:space="preserve">6,398.4 </w:t>
            </w:r>
          </w:p>
        </w:tc>
      </w:tr>
    </w:tbl>
    <w:p w14:paraId="6DA8F898" w14:textId="77777777" w:rsidR="00B052FA" w:rsidRPr="0046672D" w:rsidRDefault="00B052FA" w:rsidP="00B052FA">
      <w:pPr>
        <w:spacing w:after="0" w:line="240" w:lineRule="auto"/>
        <w:ind w:firstLine="360"/>
        <w:jc w:val="center"/>
        <w:textAlignment w:val="baseline"/>
        <w:rPr>
          <w:rFonts w:ascii="Arial" w:hAnsi="Arial" w:cs="Arial"/>
          <w:i/>
          <w:sz w:val="20"/>
          <w:szCs w:val="24"/>
          <w:lang w:val="mn-MN"/>
        </w:rPr>
      </w:pPr>
      <w:r w:rsidRPr="0046672D">
        <w:rPr>
          <w:rFonts w:ascii="Arial" w:hAnsi="Arial" w:cs="Arial"/>
          <w:i/>
          <w:sz w:val="20"/>
          <w:szCs w:val="24"/>
          <w:lang w:val="mn-MN"/>
        </w:rPr>
        <w:lastRenderedPageBreak/>
        <w:t>Эх сурвалж: Сангийн яам</w:t>
      </w:r>
    </w:p>
    <w:p w14:paraId="0655D9E1" w14:textId="77777777" w:rsidR="00B052FA" w:rsidRPr="0046672D" w:rsidRDefault="00B052FA" w:rsidP="00B052FA">
      <w:pPr>
        <w:spacing w:after="0" w:line="240" w:lineRule="auto"/>
        <w:ind w:firstLine="360"/>
        <w:jc w:val="center"/>
        <w:textAlignment w:val="baseline"/>
        <w:rPr>
          <w:rFonts w:ascii="Arial" w:hAnsi="Arial" w:cs="Arial"/>
          <w:sz w:val="24"/>
          <w:szCs w:val="24"/>
          <w:lang w:val="mn-MN"/>
        </w:rPr>
      </w:pPr>
    </w:p>
    <w:p w14:paraId="26944D8E" w14:textId="77777777" w:rsidR="00B052FA" w:rsidRPr="0046672D" w:rsidRDefault="00B052FA" w:rsidP="00B052FA">
      <w:pPr>
        <w:spacing w:after="0" w:line="240" w:lineRule="auto"/>
        <w:ind w:firstLine="709"/>
        <w:jc w:val="both"/>
        <w:textAlignment w:val="baseline"/>
        <w:rPr>
          <w:rFonts w:ascii="Arial" w:eastAsia="Times New Roman" w:hAnsi="Arial" w:cs="Arial"/>
          <w:sz w:val="24"/>
          <w:szCs w:val="24"/>
          <w:lang w:val="mn-MN"/>
        </w:rPr>
      </w:pPr>
      <w:r w:rsidRPr="0046672D">
        <w:rPr>
          <w:rFonts w:ascii="Arial" w:hAnsi="Arial" w:cs="Arial"/>
          <w:sz w:val="24"/>
          <w:szCs w:val="24"/>
          <w:lang w:val="mn-MN"/>
        </w:rPr>
        <w:t xml:space="preserve">Олон улсын банк санхүүгийн байгууллага, түншлэгч орнуудын хөнгөлөлттэй зээлийн хөрөнгөөр хэрэгжүүлж буй </w:t>
      </w:r>
      <w:r w:rsidRPr="0046672D">
        <w:rPr>
          <w:rFonts w:ascii="Arial" w:hAnsi="Arial" w:cs="Arial"/>
          <w:b/>
          <w:sz w:val="24"/>
          <w:szCs w:val="24"/>
          <w:lang w:val="mn-MN"/>
        </w:rPr>
        <w:t>92</w:t>
      </w:r>
      <w:r w:rsidRPr="0046672D">
        <w:rPr>
          <w:rFonts w:ascii="Arial" w:hAnsi="Arial" w:cs="Arial"/>
          <w:sz w:val="24"/>
          <w:szCs w:val="24"/>
          <w:lang w:val="mn-MN"/>
        </w:rPr>
        <w:t> төсөл, хөтөлбөрийн хүрээнд 2019-2021 онд нийт </w:t>
      </w:r>
      <w:r w:rsidRPr="0046672D">
        <w:rPr>
          <w:rFonts w:ascii="Arial" w:hAnsi="Arial" w:cs="Arial"/>
          <w:b/>
          <w:sz w:val="24"/>
          <w:szCs w:val="24"/>
          <w:lang w:val="mn-MN"/>
        </w:rPr>
        <w:t>6,398.4</w:t>
      </w:r>
      <w:r w:rsidRPr="0046672D">
        <w:rPr>
          <w:rFonts w:ascii="Arial" w:hAnsi="Arial" w:cs="Arial"/>
          <w:sz w:val="24"/>
          <w:szCs w:val="24"/>
          <w:lang w:val="mn-MN"/>
        </w:rPr>
        <w:t xml:space="preserve"> тэрбум төгрөгийг авч ашигласнаас </w:t>
      </w:r>
      <w:r w:rsidRPr="0046672D">
        <w:rPr>
          <w:rFonts w:ascii="Arial" w:hAnsi="Arial" w:cs="Arial"/>
          <w:b/>
          <w:sz w:val="24"/>
          <w:szCs w:val="24"/>
          <w:lang w:val="mn-MN"/>
        </w:rPr>
        <w:t>2,672.6</w:t>
      </w:r>
      <w:r w:rsidRPr="0046672D">
        <w:rPr>
          <w:rFonts w:ascii="Arial" w:hAnsi="Arial" w:cs="Arial"/>
          <w:sz w:val="24"/>
          <w:szCs w:val="24"/>
          <w:lang w:val="mn-MN"/>
        </w:rPr>
        <w:t xml:space="preserve"> тэрбум төгрөг нь хөтөлбөрийн зээл зориулалтаар авч ашигласан байна гадаад зээл байна. Харин  үлдсэн </w:t>
      </w:r>
      <w:r w:rsidRPr="0046672D">
        <w:rPr>
          <w:rFonts w:ascii="Arial" w:hAnsi="Arial" w:cs="Arial"/>
          <w:b/>
          <w:sz w:val="24"/>
          <w:szCs w:val="24"/>
          <w:lang w:val="mn-MN"/>
        </w:rPr>
        <w:t>3,725.8</w:t>
      </w:r>
      <w:r w:rsidRPr="0046672D">
        <w:rPr>
          <w:rFonts w:ascii="Arial" w:hAnsi="Arial" w:cs="Arial"/>
          <w:sz w:val="24"/>
          <w:szCs w:val="24"/>
          <w:lang w:val="mn-MN"/>
        </w:rPr>
        <w:t xml:space="preserve"> тэрбум төгрөг нь төслийн зээлүүд багтаж байгаа бол арилжааны нөхцөлтэй гадаад зээллэг үүсгээгүй байна.</w:t>
      </w:r>
    </w:p>
    <w:p w14:paraId="226FF8A2" w14:textId="77777777" w:rsidR="00B052FA" w:rsidRPr="0046672D" w:rsidRDefault="00B052FA" w:rsidP="00B052FA">
      <w:pPr>
        <w:spacing w:after="0" w:line="240" w:lineRule="auto"/>
        <w:ind w:firstLine="709"/>
        <w:jc w:val="both"/>
        <w:textAlignment w:val="baseline"/>
        <w:rPr>
          <w:rFonts w:ascii="Arial" w:eastAsia="Times New Roman" w:hAnsi="Arial" w:cs="Arial"/>
          <w:sz w:val="24"/>
          <w:szCs w:val="24"/>
          <w:lang w:val="mn-MN"/>
        </w:rPr>
      </w:pPr>
      <w:r w:rsidRPr="0046672D">
        <w:rPr>
          <w:rFonts w:ascii="Arial" w:eastAsia="Times New Roman" w:hAnsi="Arial" w:cs="Arial"/>
          <w:sz w:val="24"/>
          <w:szCs w:val="24"/>
          <w:lang w:val="mn-MN"/>
        </w:rPr>
        <w:tab/>
      </w:r>
    </w:p>
    <w:p w14:paraId="3CA23399" w14:textId="77777777" w:rsidR="00B052FA" w:rsidRPr="0046672D" w:rsidRDefault="00B052FA" w:rsidP="00B052FA">
      <w:pPr>
        <w:spacing w:after="0" w:line="240" w:lineRule="auto"/>
        <w:ind w:firstLine="709"/>
        <w:jc w:val="both"/>
        <w:textAlignment w:val="baseline"/>
        <w:rPr>
          <w:rFonts w:ascii="Arial" w:eastAsia="Times New Roman" w:hAnsi="Arial" w:cs="Arial"/>
          <w:sz w:val="24"/>
          <w:szCs w:val="24"/>
          <w:lang w:val="mn-MN"/>
        </w:rPr>
      </w:pPr>
      <w:r w:rsidRPr="0046672D">
        <w:rPr>
          <w:rFonts w:ascii="Arial" w:eastAsia="Times New Roman" w:hAnsi="Arial" w:cs="Arial"/>
          <w:sz w:val="24"/>
          <w:szCs w:val="24"/>
          <w:lang w:val="mn-MN"/>
        </w:rPr>
        <w:t xml:space="preserve">Засгийн газраас 2019-2021 оны хооронд авч ашигласан хөтөлбөрийн зээлүүдээс эдийн засгийн удирдлагыг дэмжих, мөн Ковид-19 цар тахлын эсрэг үйл ажиллагаанд зориулан 6 хөтөлбөрийн зээл 2020 онд шинээр хэрэгжиж буй </w:t>
      </w:r>
      <w:r w:rsidRPr="0046672D">
        <w:rPr>
          <w:rFonts w:ascii="Arial" w:eastAsia="Times New Roman" w:hAnsi="Arial" w:cs="Arial"/>
          <w:b/>
          <w:sz w:val="24"/>
          <w:szCs w:val="24"/>
          <w:lang w:val="mn-MN"/>
        </w:rPr>
        <w:t>1,978.1</w:t>
      </w:r>
      <w:r w:rsidRPr="0046672D">
        <w:rPr>
          <w:rFonts w:ascii="Arial" w:eastAsia="Times New Roman" w:hAnsi="Arial" w:cs="Arial"/>
          <w:sz w:val="24"/>
          <w:szCs w:val="24"/>
          <w:lang w:val="mn-MN"/>
        </w:rPr>
        <w:t xml:space="preserve"> тэрбум төгрөгийн ашиглалт гарсан. </w:t>
      </w:r>
    </w:p>
    <w:p w14:paraId="35A238C5" w14:textId="77777777" w:rsidR="00B052FA" w:rsidRPr="0046672D" w:rsidRDefault="00B052FA" w:rsidP="00B052FA">
      <w:pPr>
        <w:spacing w:before="240" w:after="0"/>
        <w:rPr>
          <w:rFonts w:ascii="Arial" w:hAnsi="Arial" w:cs="Arial"/>
          <w:i/>
          <w:iCs/>
          <w:sz w:val="24"/>
          <w:szCs w:val="24"/>
          <w:lang w:val="mn-MN"/>
        </w:rPr>
      </w:pPr>
      <w:r w:rsidRPr="0046672D">
        <w:rPr>
          <w:rFonts w:ascii="Arial" w:hAnsi="Arial" w:cs="Arial"/>
          <w:i/>
          <w:iCs/>
          <w:sz w:val="24"/>
          <w:szCs w:val="24"/>
          <w:lang w:val="mn-MN"/>
        </w:rPr>
        <w:tab/>
        <w:t>Хүснэгт № 5. Гадаад зээлийн үйлчилгээ, тэрбум.төгрөг /2021.12.31/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546"/>
        <w:gridCol w:w="1885"/>
        <w:gridCol w:w="1885"/>
        <w:gridCol w:w="1782"/>
      </w:tblGrid>
      <w:tr w:rsidR="00B052FA" w:rsidRPr="0046672D" w14:paraId="24138428" w14:textId="77777777" w:rsidTr="00673716">
        <w:trPr>
          <w:trHeight w:val="305"/>
        </w:trPr>
        <w:tc>
          <w:tcPr>
            <w:tcW w:w="2258" w:type="dxa"/>
            <w:shd w:val="clear" w:color="000000" w:fill="E7E6E6"/>
            <w:noWrap/>
            <w:vAlign w:val="center"/>
            <w:hideMark/>
          </w:tcPr>
          <w:p w14:paraId="2B689C48" w14:textId="77777777" w:rsidR="00B052FA" w:rsidRPr="0046672D" w:rsidRDefault="00B052FA" w:rsidP="00673716">
            <w:pPr>
              <w:spacing w:after="0" w:line="240" w:lineRule="auto"/>
              <w:jc w:val="center"/>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Төрөл</w:t>
            </w:r>
          </w:p>
        </w:tc>
        <w:tc>
          <w:tcPr>
            <w:tcW w:w="1546" w:type="dxa"/>
            <w:shd w:val="clear" w:color="000000" w:fill="E7E6E6"/>
            <w:noWrap/>
            <w:vAlign w:val="center"/>
            <w:hideMark/>
          </w:tcPr>
          <w:p w14:paraId="67405144" w14:textId="77777777" w:rsidR="00B052FA" w:rsidRPr="0046672D" w:rsidRDefault="00B052FA" w:rsidP="00673716">
            <w:pPr>
              <w:spacing w:after="0" w:line="240" w:lineRule="auto"/>
              <w:jc w:val="center"/>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2019 он</w:t>
            </w:r>
          </w:p>
        </w:tc>
        <w:tc>
          <w:tcPr>
            <w:tcW w:w="1885" w:type="dxa"/>
            <w:shd w:val="clear" w:color="000000" w:fill="E7E6E6"/>
            <w:noWrap/>
            <w:vAlign w:val="center"/>
            <w:hideMark/>
          </w:tcPr>
          <w:p w14:paraId="297A991D" w14:textId="77777777" w:rsidR="00B052FA" w:rsidRPr="0046672D" w:rsidRDefault="00B052FA" w:rsidP="00673716">
            <w:pPr>
              <w:spacing w:after="0" w:line="240" w:lineRule="auto"/>
              <w:jc w:val="center"/>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2020 он</w:t>
            </w:r>
          </w:p>
        </w:tc>
        <w:tc>
          <w:tcPr>
            <w:tcW w:w="1885" w:type="dxa"/>
            <w:shd w:val="clear" w:color="000000" w:fill="E7E6E6"/>
            <w:noWrap/>
            <w:vAlign w:val="center"/>
            <w:hideMark/>
          </w:tcPr>
          <w:p w14:paraId="5F50A73A" w14:textId="77777777" w:rsidR="00B052FA" w:rsidRPr="0046672D" w:rsidRDefault="00B052FA" w:rsidP="00673716">
            <w:pPr>
              <w:spacing w:after="0" w:line="240" w:lineRule="auto"/>
              <w:jc w:val="center"/>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2021 он</w:t>
            </w:r>
          </w:p>
        </w:tc>
        <w:tc>
          <w:tcPr>
            <w:tcW w:w="1782" w:type="dxa"/>
            <w:shd w:val="clear" w:color="auto" w:fill="E7E6E6" w:themeFill="background2"/>
            <w:noWrap/>
            <w:vAlign w:val="center"/>
            <w:hideMark/>
          </w:tcPr>
          <w:p w14:paraId="342C5707" w14:textId="77777777" w:rsidR="00B052FA" w:rsidRPr="0046672D" w:rsidRDefault="00B052FA" w:rsidP="00673716">
            <w:pPr>
              <w:spacing w:after="0" w:line="240" w:lineRule="auto"/>
              <w:jc w:val="center"/>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НИЙТ /2019-2021/</w:t>
            </w:r>
          </w:p>
        </w:tc>
      </w:tr>
      <w:tr w:rsidR="00B052FA" w:rsidRPr="0046672D" w14:paraId="130D5A5F" w14:textId="77777777" w:rsidTr="00673716">
        <w:trPr>
          <w:trHeight w:val="314"/>
        </w:trPr>
        <w:tc>
          <w:tcPr>
            <w:tcW w:w="2258" w:type="dxa"/>
            <w:shd w:val="clear" w:color="auto" w:fill="auto"/>
            <w:vAlign w:val="center"/>
            <w:hideMark/>
          </w:tcPr>
          <w:p w14:paraId="1BC1B97E" w14:textId="77777777" w:rsidR="00B052FA" w:rsidRPr="0046672D" w:rsidRDefault="00B052FA" w:rsidP="00673716">
            <w:pPr>
              <w:spacing w:after="0" w:line="240" w:lineRule="auto"/>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Үндсэн төлбөр</w:t>
            </w:r>
          </w:p>
        </w:tc>
        <w:tc>
          <w:tcPr>
            <w:tcW w:w="1546" w:type="dxa"/>
            <w:shd w:val="clear" w:color="auto" w:fill="auto"/>
            <w:noWrap/>
            <w:hideMark/>
          </w:tcPr>
          <w:p w14:paraId="71F5CAC5"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438.3</w:t>
            </w:r>
          </w:p>
        </w:tc>
        <w:tc>
          <w:tcPr>
            <w:tcW w:w="1885" w:type="dxa"/>
            <w:shd w:val="clear" w:color="auto" w:fill="auto"/>
            <w:noWrap/>
            <w:hideMark/>
          </w:tcPr>
          <w:p w14:paraId="7D70EA03"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691.0</w:t>
            </w:r>
          </w:p>
        </w:tc>
        <w:tc>
          <w:tcPr>
            <w:tcW w:w="1885" w:type="dxa"/>
            <w:shd w:val="clear" w:color="auto" w:fill="auto"/>
            <w:noWrap/>
            <w:hideMark/>
          </w:tcPr>
          <w:p w14:paraId="6FCE7E6E"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732.8</w:t>
            </w:r>
          </w:p>
        </w:tc>
        <w:tc>
          <w:tcPr>
            <w:tcW w:w="1782" w:type="dxa"/>
            <w:shd w:val="clear" w:color="auto" w:fill="auto"/>
            <w:noWrap/>
            <w:vAlign w:val="center"/>
            <w:hideMark/>
          </w:tcPr>
          <w:p w14:paraId="5FD54037"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 xml:space="preserve">1,862.1 </w:t>
            </w:r>
          </w:p>
        </w:tc>
      </w:tr>
      <w:tr w:rsidR="00B052FA" w:rsidRPr="0046672D" w14:paraId="6EC7BD70" w14:textId="77777777" w:rsidTr="00673716">
        <w:trPr>
          <w:trHeight w:val="314"/>
        </w:trPr>
        <w:tc>
          <w:tcPr>
            <w:tcW w:w="2258" w:type="dxa"/>
            <w:shd w:val="clear" w:color="auto" w:fill="auto"/>
            <w:noWrap/>
            <w:vAlign w:val="center"/>
            <w:hideMark/>
          </w:tcPr>
          <w:p w14:paraId="0250A091" w14:textId="77777777" w:rsidR="00B052FA" w:rsidRPr="0046672D" w:rsidRDefault="00B052FA" w:rsidP="00673716">
            <w:pPr>
              <w:spacing w:after="0" w:line="240" w:lineRule="auto"/>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Хүүгийн төлбөр</w:t>
            </w:r>
          </w:p>
        </w:tc>
        <w:tc>
          <w:tcPr>
            <w:tcW w:w="1546" w:type="dxa"/>
            <w:shd w:val="clear" w:color="auto" w:fill="auto"/>
            <w:noWrap/>
            <w:vAlign w:val="center"/>
            <w:hideMark/>
          </w:tcPr>
          <w:p w14:paraId="6A2C9B09"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 xml:space="preserve">167.5 </w:t>
            </w:r>
          </w:p>
        </w:tc>
        <w:tc>
          <w:tcPr>
            <w:tcW w:w="1885" w:type="dxa"/>
            <w:shd w:val="clear" w:color="auto" w:fill="auto"/>
            <w:noWrap/>
            <w:vAlign w:val="center"/>
            <w:hideMark/>
          </w:tcPr>
          <w:p w14:paraId="4C44A999"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 xml:space="preserve">197.9 </w:t>
            </w:r>
          </w:p>
        </w:tc>
        <w:tc>
          <w:tcPr>
            <w:tcW w:w="1885" w:type="dxa"/>
            <w:shd w:val="clear" w:color="auto" w:fill="auto"/>
            <w:noWrap/>
            <w:vAlign w:val="center"/>
            <w:hideMark/>
          </w:tcPr>
          <w:p w14:paraId="012B30B2"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212.9</w:t>
            </w:r>
          </w:p>
        </w:tc>
        <w:tc>
          <w:tcPr>
            <w:tcW w:w="1782" w:type="dxa"/>
            <w:shd w:val="clear" w:color="auto" w:fill="auto"/>
            <w:noWrap/>
            <w:vAlign w:val="center"/>
            <w:hideMark/>
          </w:tcPr>
          <w:p w14:paraId="70F7D588"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 xml:space="preserve">578.3 </w:t>
            </w:r>
          </w:p>
        </w:tc>
      </w:tr>
      <w:tr w:rsidR="00B052FA" w:rsidRPr="0046672D" w14:paraId="215965FD" w14:textId="77777777" w:rsidTr="00673716">
        <w:trPr>
          <w:trHeight w:val="305"/>
        </w:trPr>
        <w:tc>
          <w:tcPr>
            <w:tcW w:w="2258" w:type="dxa"/>
            <w:shd w:val="clear" w:color="auto" w:fill="auto"/>
            <w:noWrap/>
            <w:vAlign w:val="center"/>
            <w:hideMark/>
          </w:tcPr>
          <w:p w14:paraId="7FBB60CD" w14:textId="77777777" w:rsidR="00B052FA" w:rsidRPr="0046672D" w:rsidRDefault="00B052FA" w:rsidP="00673716">
            <w:pPr>
              <w:spacing w:after="0" w:line="240" w:lineRule="auto"/>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НИЙТ /тухайн оны/</w:t>
            </w:r>
          </w:p>
        </w:tc>
        <w:tc>
          <w:tcPr>
            <w:tcW w:w="1546" w:type="dxa"/>
            <w:shd w:val="clear" w:color="auto" w:fill="auto"/>
            <w:noWrap/>
            <w:vAlign w:val="center"/>
            <w:hideMark/>
          </w:tcPr>
          <w:p w14:paraId="527DA70F"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605.8</w:t>
            </w:r>
          </w:p>
        </w:tc>
        <w:tc>
          <w:tcPr>
            <w:tcW w:w="1885" w:type="dxa"/>
            <w:shd w:val="clear" w:color="auto" w:fill="auto"/>
            <w:noWrap/>
            <w:vAlign w:val="center"/>
            <w:hideMark/>
          </w:tcPr>
          <w:p w14:paraId="397EDDC4"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889.0</w:t>
            </w:r>
          </w:p>
        </w:tc>
        <w:tc>
          <w:tcPr>
            <w:tcW w:w="1885" w:type="dxa"/>
            <w:shd w:val="clear" w:color="auto" w:fill="auto"/>
            <w:noWrap/>
            <w:vAlign w:val="center"/>
            <w:hideMark/>
          </w:tcPr>
          <w:p w14:paraId="530E7095"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bCs/>
                <w:color w:val="000000"/>
                <w:sz w:val="24"/>
                <w:szCs w:val="24"/>
                <w:lang w:val="mn-MN"/>
              </w:rPr>
              <w:t>945.7</w:t>
            </w:r>
          </w:p>
        </w:tc>
        <w:tc>
          <w:tcPr>
            <w:tcW w:w="1782" w:type="dxa"/>
            <w:shd w:val="clear" w:color="auto" w:fill="auto"/>
            <w:noWrap/>
            <w:vAlign w:val="center"/>
            <w:hideMark/>
          </w:tcPr>
          <w:p w14:paraId="6C01EFCC"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2,440</w:t>
            </w:r>
            <w:r w:rsidRPr="0046672D">
              <w:rPr>
                <w:rFonts w:ascii="Arial" w:eastAsia="Times New Roman" w:hAnsi="Arial" w:cs="Arial"/>
                <w:b/>
                <w:bCs/>
                <w:color w:val="000000"/>
                <w:sz w:val="24"/>
                <w:szCs w:val="24"/>
                <w:lang w:val="mn-MN"/>
              </w:rPr>
              <w:t>.4</w:t>
            </w:r>
            <w:r w:rsidRPr="0046672D">
              <w:rPr>
                <w:rFonts w:ascii="Arial" w:eastAsia="Times New Roman" w:hAnsi="Arial" w:cs="Arial"/>
                <w:b/>
                <w:color w:val="000000"/>
                <w:sz w:val="24"/>
                <w:szCs w:val="24"/>
                <w:lang w:val="mn-MN"/>
              </w:rPr>
              <w:t xml:space="preserve"> </w:t>
            </w:r>
          </w:p>
        </w:tc>
      </w:tr>
    </w:tbl>
    <w:p w14:paraId="7DAA5E91" w14:textId="77777777" w:rsidR="00B052FA" w:rsidRPr="0046672D" w:rsidRDefault="00B052FA" w:rsidP="00B052FA">
      <w:pPr>
        <w:spacing w:before="240" w:after="0" w:line="240" w:lineRule="auto"/>
        <w:ind w:firstLine="709"/>
        <w:jc w:val="center"/>
        <w:textAlignment w:val="baseline"/>
        <w:rPr>
          <w:rFonts w:ascii="Arial" w:eastAsia="Times New Roman" w:hAnsi="Arial" w:cs="Arial"/>
          <w:sz w:val="24"/>
          <w:szCs w:val="24"/>
          <w:lang w:val="mn-MN"/>
        </w:rPr>
      </w:pPr>
      <w:r w:rsidRPr="0046672D">
        <w:rPr>
          <w:rFonts w:ascii="Arial" w:hAnsi="Arial" w:cs="Arial"/>
          <w:i/>
          <w:sz w:val="20"/>
          <w:szCs w:val="24"/>
          <w:lang w:val="mn-MN"/>
        </w:rPr>
        <w:t>Эх сурвалж: Сангийн яам</w:t>
      </w:r>
    </w:p>
    <w:p w14:paraId="0BFAE1B5" w14:textId="77777777" w:rsidR="00B052FA" w:rsidRPr="0046672D" w:rsidRDefault="00B052FA" w:rsidP="00B052FA">
      <w:pPr>
        <w:spacing w:before="240" w:after="0" w:line="240" w:lineRule="auto"/>
        <w:ind w:firstLine="709"/>
        <w:jc w:val="both"/>
        <w:textAlignment w:val="baseline"/>
        <w:rPr>
          <w:rFonts w:ascii="Arial" w:eastAsia="Times New Roman" w:hAnsi="Arial" w:cs="Arial"/>
          <w:sz w:val="24"/>
          <w:szCs w:val="24"/>
          <w:lang w:val="mn-MN"/>
        </w:rPr>
      </w:pPr>
      <w:r w:rsidRPr="0046672D">
        <w:rPr>
          <w:rFonts w:ascii="Arial" w:eastAsia="Times New Roman" w:hAnsi="Arial" w:cs="Arial"/>
          <w:sz w:val="24"/>
          <w:szCs w:val="24"/>
          <w:lang w:val="mn-MN"/>
        </w:rPr>
        <w:t xml:space="preserve">Монгол Улсын Засгийн газар олон улсын гэрээгээр хүлээсэн үүргээ бүрэн биелүүлж 2019-2021 онд буюу Стратегийн баримт бичгийн хэрэгжих хугацаанд гадаад зээлийн үйлчилгээний төлбөрт  нийт </w:t>
      </w:r>
      <w:r w:rsidRPr="0046672D">
        <w:rPr>
          <w:rFonts w:ascii="Arial" w:eastAsia="Times New Roman" w:hAnsi="Arial" w:cs="Arial"/>
          <w:b/>
          <w:bCs/>
          <w:sz w:val="24"/>
          <w:szCs w:val="24"/>
          <w:lang w:val="mn-MN"/>
        </w:rPr>
        <w:t>2,440.4</w:t>
      </w:r>
      <w:r w:rsidRPr="0046672D">
        <w:rPr>
          <w:rFonts w:ascii="Arial" w:eastAsia="Times New Roman" w:hAnsi="Arial" w:cs="Arial"/>
          <w:sz w:val="24"/>
          <w:szCs w:val="24"/>
          <w:lang w:val="mn-MN"/>
        </w:rPr>
        <w:t xml:space="preserve"> тэрбум төгрөгийг төлж, үүнээс үндсэн төлбөрт </w:t>
      </w:r>
      <w:r w:rsidRPr="0046672D">
        <w:rPr>
          <w:rFonts w:ascii="Arial" w:eastAsia="Times New Roman" w:hAnsi="Arial" w:cs="Arial"/>
          <w:b/>
          <w:bCs/>
          <w:sz w:val="24"/>
          <w:szCs w:val="24"/>
          <w:lang w:val="mn-MN"/>
        </w:rPr>
        <w:t xml:space="preserve">1,862.1 </w:t>
      </w:r>
      <w:r w:rsidRPr="0046672D">
        <w:rPr>
          <w:rFonts w:ascii="Arial" w:eastAsia="Times New Roman" w:hAnsi="Arial" w:cs="Arial"/>
          <w:sz w:val="24"/>
          <w:szCs w:val="24"/>
          <w:lang w:val="mn-MN"/>
        </w:rPr>
        <w:t xml:space="preserve">тэрбум төгрөг, хүүгийн төлбөрт  </w:t>
      </w:r>
      <w:r w:rsidRPr="0046672D">
        <w:rPr>
          <w:rFonts w:ascii="Arial" w:eastAsia="Times New Roman" w:hAnsi="Arial" w:cs="Arial"/>
          <w:b/>
          <w:bCs/>
          <w:sz w:val="24"/>
          <w:szCs w:val="24"/>
          <w:lang w:val="mn-MN"/>
        </w:rPr>
        <w:t>578.3</w:t>
      </w:r>
      <w:r w:rsidRPr="0046672D">
        <w:rPr>
          <w:rFonts w:ascii="Arial" w:eastAsia="Times New Roman" w:hAnsi="Arial" w:cs="Arial"/>
          <w:sz w:val="24"/>
          <w:szCs w:val="24"/>
          <w:lang w:val="mn-MN"/>
        </w:rPr>
        <w:t xml:space="preserve"> тэрбум төгрөгийг тус тус төлсөн. </w:t>
      </w:r>
    </w:p>
    <w:p w14:paraId="32B18823" w14:textId="77777777" w:rsidR="00B052FA" w:rsidRPr="0046672D" w:rsidRDefault="00B052FA" w:rsidP="00B052FA">
      <w:pPr>
        <w:spacing w:before="240"/>
        <w:rPr>
          <w:rFonts w:ascii="Arial" w:hAnsi="Arial" w:cs="Arial"/>
          <w:b/>
          <w:sz w:val="24"/>
          <w:szCs w:val="24"/>
          <w:lang w:val="mn-MN"/>
        </w:rPr>
      </w:pPr>
    </w:p>
    <w:p w14:paraId="5FC08712" w14:textId="77777777" w:rsidR="00B052FA" w:rsidRPr="0046672D" w:rsidRDefault="00B052FA" w:rsidP="00B052FA">
      <w:pPr>
        <w:spacing w:before="240"/>
        <w:rPr>
          <w:rFonts w:ascii="Arial" w:hAnsi="Arial" w:cs="Arial"/>
          <w:b/>
          <w:sz w:val="24"/>
          <w:szCs w:val="24"/>
          <w:lang w:val="mn-MN"/>
        </w:rPr>
      </w:pPr>
    </w:p>
    <w:p w14:paraId="780AAE01" w14:textId="77777777" w:rsidR="00B052FA" w:rsidRPr="0046672D" w:rsidRDefault="00B052FA" w:rsidP="00B052FA">
      <w:pPr>
        <w:spacing w:before="240"/>
        <w:rPr>
          <w:rFonts w:ascii="Arial" w:hAnsi="Arial" w:cs="Arial"/>
          <w:b/>
          <w:sz w:val="24"/>
          <w:szCs w:val="24"/>
          <w:lang w:val="mn-MN"/>
        </w:rPr>
      </w:pPr>
      <w:r w:rsidRPr="0046672D">
        <w:rPr>
          <w:rFonts w:ascii="Arial" w:hAnsi="Arial" w:cs="Arial"/>
          <w:b/>
          <w:sz w:val="24"/>
          <w:szCs w:val="24"/>
          <w:lang w:val="mn-MN"/>
        </w:rPr>
        <w:t>2.2.4</w:t>
      </w:r>
      <w:r w:rsidRPr="0046672D">
        <w:rPr>
          <w:rFonts w:ascii="Arial" w:hAnsi="Arial" w:cs="Arial"/>
          <w:sz w:val="24"/>
          <w:szCs w:val="24"/>
          <w:lang w:val="mn-MN"/>
        </w:rPr>
        <w:tab/>
      </w:r>
      <w:r w:rsidRPr="0046672D">
        <w:rPr>
          <w:rFonts w:ascii="Arial" w:hAnsi="Arial" w:cs="Arial"/>
          <w:b/>
          <w:iCs/>
          <w:sz w:val="24"/>
          <w:szCs w:val="24"/>
          <w:lang w:val="mn-MN"/>
        </w:rPr>
        <w:t>Засгийн газрын өрийн баталгаа</w:t>
      </w:r>
    </w:p>
    <w:p w14:paraId="4CC24EDA"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Засгийн газрын өрийн баталгааны үлдэгдэл 2020 оны жилийн эцсийн байдлаар 1,060.4 тэрбум төгрөг байсан бол 2021 оны жилийн эцсийн урьдчилсан гүйцэтгэлээр 876.4 тэрбум төгрөг болж, 183.8 тэрбум төгрөгөөр буурсан. Үүнээс Монгол Улсын Хөгжлийн банкны баталгааны үлдэгдэл 820.9 тэрбум төгрөг, “Монголын иргэний агаарын тээвэр” ТӨХК-ийн баталгааны үлдэгдэл 29.0 тэрбум төгрөг, “Эрдэнэс Монгол” ХК-ний баталгааны үлдэгдэл 26.5 тэрбум төгрөг байна. </w:t>
      </w:r>
    </w:p>
    <w:p w14:paraId="5557F003"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r>
      <w:bookmarkStart w:id="3" w:name="_Hlk98487287"/>
      <w:r w:rsidRPr="0046672D">
        <w:rPr>
          <w:rFonts w:ascii="Arial" w:hAnsi="Arial" w:cs="Arial"/>
          <w:i/>
          <w:sz w:val="24"/>
          <w:szCs w:val="24"/>
          <w:lang w:val="mn-MN"/>
        </w:rPr>
        <w:t xml:space="preserve">Хүснэгт № 6. Засгийн газрын баталгаа /2021.12.31/ </w:t>
      </w:r>
    </w:p>
    <w:tbl>
      <w:tblPr>
        <w:tblStyle w:val="TableGrid"/>
        <w:tblW w:w="9351" w:type="dxa"/>
        <w:tblLayout w:type="fixed"/>
        <w:tblLook w:val="04A0" w:firstRow="1" w:lastRow="0" w:firstColumn="1" w:lastColumn="0" w:noHBand="0" w:noVBand="1"/>
      </w:tblPr>
      <w:tblGrid>
        <w:gridCol w:w="555"/>
        <w:gridCol w:w="2183"/>
        <w:gridCol w:w="1900"/>
        <w:gridCol w:w="1584"/>
        <w:gridCol w:w="1711"/>
        <w:gridCol w:w="1418"/>
      </w:tblGrid>
      <w:tr w:rsidR="00B052FA" w:rsidRPr="0046672D" w14:paraId="79BDE75F" w14:textId="77777777" w:rsidTr="00673716">
        <w:trPr>
          <w:trHeight w:val="315"/>
        </w:trPr>
        <w:tc>
          <w:tcPr>
            <w:tcW w:w="555" w:type="dxa"/>
            <w:vMerge w:val="restart"/>
            <w:shd w:val="clear" w:color="auto" w:fill="E7E6E6" w:themeFill="background2"/>
          </w:tcPr>
          <w:p w14:paraId="299F95BB" w14:textId="77777777" w:rsidR="00B052FA" w:rsidRPr="0046672D" w:rsidRDefault="00B052FA" w:rsidP="00673716">
            <w:pPr>
              <w:jc w:val="both"/>
              <w:rPr>
                <w:rFonts w:ascii="Arial" w:hAnsi="Arial" w:cs="Arial"/>
                <w:b/>
                <w:bCs/>
                <w:lang w:val="mn-MN"/>
              </w:rPr>
            </w:pPr>
            <w:r w:rsidRPr="0046672D">
              <w:rPr>
                <w:rFonts w:ascii="Arial" w:hAnsi="Arial" w:cs="Arial"/>
                <w:b/>
                <w:bCs/>
                <w:lang w:val="mn-MN"/>
              </w:rPr>
              <w:t>№</w:t>
            </w:r>
          </w:p>
        </w:tc>
        <w:tc>
          <w:tcPr>
            <w:tcW w:w="2183" w:type="dxa"/>
            <w:vMerge w:val="restart"/>
            <w:shd w:val="clear" w:color="auto" w:fill="E7E6E6" w:themeFill="background2"/>
            <w:vAlign w:val="center"/>
          </w:tcPr>
          <w:p w14:paraId="6A3FFD53" w14:textId="77777777" w:rsidR="00B052FA" w:rsidRPr="0046672D" w:rsidRDefault="00B052FA" w:rsidP="00673716">
            <w:pPr>
              <w:jc w:val="center"/>
              <w:rPr>
                <w:rFonts w:ascii="Arial" w:hAnsi="Arial" w:cs="Arial"/>
                <w:b/>
                <w:bCs/>
                <w:lang w:val="mn-MN"/>
              </w:rPr>
            </w:pPr>
            <w:r w:rsidRPr="0046672D">
              <w:rPr>
                <w:rFonts w:ascii="Arial" w:hAnsi="Arial" w:cs="Arial"/>
                <w:b/>
                <w:bCs/>
                <w:lang w:val="mn-MN"/>
              </w:rPr>
              <w:t>Баталгаа гаргуулагч</w:t>
            </w:r>
          </w:p>
        </w:tc>
        <w:tc>
          <w:tcPr>
            <w:tcW w:w="1900" w:type="dxa"/>
            <w:vMerge w:val="restart"/>
            <w:shd w:val="clear" w:color="auto" w:fill="E7E6E6" w:themeFill="background2"/>
            <w:vAlign w:val="center"/>
          </w:tcPr>
          <w:p w14:paraId="33E6438D" w14:textId="77777777" w:rsidR="00B052FA" w:rsidRPr="0046672D" w:rsidRDefault="00B052FA" w:rsidP="00673716">
            <w:pPr>
              <w:jc w:val="center"/>
              <w:rPr>
                <w:rFonts w:ascii="Arial" w:hAnsi="Arial" w:cs="Arial"/>
                <w:b/>
                <w:bCs/>
                <w:lang w:val="mn-MN"/>
              </w:rPr>
            </w:pPr>
            <w:r w:rsidRPr="0046672D">
              <w:rPr>
                <w:rFonts w:ascii="Arial" w:hAnsi="Arial" w:cs="Arial"/>
                <w:b/>
                <w:bCs/>
                <w:lang w:val="mn-MN"/>
              </w:rPr>
              <w:t>Зээлдүүлэгч</w:t>
            </w:r>
          </w:p>
        </w:tc>
        <w:tc>
          <w:tcPr>
            <w:tcW w:w="1584" w:type="dxa"/>
            <w:vMerge w:val="restart"/>
            <w:shd w:val="clear" w:color="auto" w:fill="E7E6E6" w:themeFill="background2"/>
            <w:vAlign w:val="center"/>
          </w:tcPr>
          <w:p w14:paraId="23BA4F5E" w14:textId="77777777" w:rsidR="00B052FA" w:rsidRPr="0046672D" w:rsidRDefault="00B052FA" w:rsidP="00673716">
            <w:pPr>
              <w:jc w:val="center"/>
              <w:rPr>
                <w:rFonts w:ascii="Arial" w:hAnsi="Arial" w:cs="Arial"/>
                <w:b/>
                <w:bCs/>
                <w:lang w:val="mn-MN"/>
              </w:rPr>
            </w:pPr>
            <w:r w:rsidRPr="0046672D">
              <w:rPr>
                <w:rFonts w:ascii="Arial" w:hAnsi="Arial" w:cs="Arial"/>
                <w:b/>
                <w:bCs/>
                <w:lang w:val="mn-MN"/>
              </w:rPr>
              <w:t>Валют</w:t>
            </w:r>
          </w:p>
        </w:tc>
        <w:tc>
          <w:tcPr>
            <w:tcW w:w="3129" w:type="dxa"/>
            <w:gridSpan w:val="2"/>
            <w:shd w:val="clear" w:color="auto" w:fill="E7E6E6" w:themeFill="background2"/>
          </w:tcPr>
          <w:p w14:paraId="3D838624" w14:textId="77777777" w:rsidR="00B052FA" w:rsidRPr="0046672D" w:rsidRDefault="00B052FA" w:rsidP="00673716">
            <w:pPr>
              <w:jc w:val="center"/>
              <w:rPr>
                <w:rFonts w:ascii="Arial" w:hAnsi="Arial" w:cs="Arial"/>
                <w:b/>
                <w:bCs/>
                <w:lang w:val="mn-MN"/>
              </w:rPr>
            </w:pPr>
            <w:r w:rsidRPr="0046672D">
              <w:rPr>
                <w:rFonts w:ascii="Arial" w:hAnsi="Arial" w:cs="Arial"/>
                <w:b/>
                <w:bCs/>
                <w:lang w:val="mn-MN"/>
              </w:rPr>
              <w:t>2021 он</w:t>
            </w:r>
          </w:p>
        </w:tc>
      </w:tr>
      <w:tr w:rsidR="00B052FA" w:rsidRPr="0046672D" w14:paraId="46DF8F44" w14:textId="77777777" w:rsidTr="00673716">
        <w:trPr>
          <w:trHeight w:val="71"/>
        </w:trPr>
        <w:tc>
          <w:tcPr>
            <w:tcW w:w="555" w:type="dxa"/>
            <w:vMerge/>
            <w:shd w:val="clear" w:color="auto" w:fill="E7E6E6" w:themeFill="background2"/>
          </w:tcPr>
          <w:p w14:paraId="05620E9E" w14:textId="77777777" w:rsidR="00B052FA" w:rsidRPr="0046672D" w:rsidRDefault="00B052FA" w:rsidP="00673716">
            <w:pPr>
              <w:jc w:val="both"/>
              <w:rPr>
                <w:rFonts w:ascii="Arial" w:hAnsi="Arial" w:cs="Arial"/>
                <w:b/>
                <w:bCs/>
                <w:lang w:val="mn-MN"/>
              </w:rPr>
            </w:pPr>
          </w:p>
        </w:tc>
        <w:tc>
          <w:tcPr>
            <w:tcW w:w="2183" w:type="dxa"/>
            <w:vMerge/>
            <w:shd w:val="clear" w:color="auto" w:fill="E7E6E6" w:themeFill="background2"/>
          </w:tcPr>
          <w:p w14:paraId="1DD7747B" w14:textId="77777777" w:rsidR="00B052FA" w:rsidRPr="0046672D" w:rsidRDefault="00B052FA" w:rsidP="00673716">
            <w:pPr>
              <w:jc w:val="both"/>
              <w:rPr>
                <w:rFonts w:ascii="Arial" w:hAnsi="Arial" w:cs="Arial"/>
                <w:b/>
                <w:bCs/>
                <w:lang w:val="mn-MN"/>
              </w:rPr>
            </w:pPr>
          </w:p>
        </w:tc>
        <w:tc>
          <w:tcPr>
            <w:tcW w:w="1900" w:type="dxa"/>
            <w:vMerge/>
            <w:shd w:val="clear" w:color="auto" w:fill="E7E6E6" w:themeFill="background2"/>
          </w:tcPr>
          <w:p w14:paraId="6D9C452F" w14:textId="77777777" w:rsidR="00B052FA" w:rsidRPr="0046672D" w:rsidRDefault="00B052FA" w:rsidP="00673716">
            <w:pPr>
              <w:jc w:val="both"/>
              <w:rPr>
                <w:rFonts w:ascii="Arial" w:hAnsi="Arial" w:cs="Arial"/>
                <w:b/>
                <w:bCs/>
                <w:lang w:val="mn-MN"/>
              </w:rPr>
            </w:pPr>
          </w:p>
        </w:tc>
        <w:tc>
          <w:tcPr>
            <w:tcW w:w="1584" w:type="dxa"/>
            <w:vMerge/>
            <w:shd w:val="clear" w:color="auto" w:fill="E7E6E6" w:themeFill="background2"/>
          </w:tcPr>
          <w:p w14:paraId="1F170640" w14:textId="77777777" w:rsidR="00B052FA" w:rsidRPr="0046672D" w:rsidRDefault="00B052FA" w:rsidP="00673716">
            <w:pPr>
              <w:jc w:val="both"/>
              <w:rPr>
                <w:rFonts w:ascii="Arial" w:hAnsi="Arial" w:cs="Arial"/>
                <w:b/>
                <w:bCs/>
                <w:lang w:val="mn-MN"/>
              </w:rPr>
            </w:pPr>
          </w:p>
        </w:tc>
        <w:tc>
          <w:tcPr>
            <w:tcW w:w="1711" w:type="dxa"/>
            <w:shd w:val="clear" w:color="auto" w:fill="E7E6E6" w:themeFill="background2"/>
          </w:tcPr>
          <w:p w14:paraId="51578790" w14:textId="77777777" w:rsidR="00B052FA" w:rsidRPr="0046672D" w:rsidRDefault="00B052FA" w:rsidP="00673716">
            <w:pPr>
              <w:jc w:val="center"/>
              <w:rPr>
                <w:rFonts w:ascii="Arial" w:hAnsi="Arial" w:cs="Arial"/>
                <w:b/>
                <w:lang w:val="mn-MN"/>
              </w:rPr>
            </w:pPr>
            <w:r w:rsidRPr="0046672D">
              <w:rPr>
                <w:rFonts w:ascii="Arial" w:hAnsi="Arial" w:cs="Arial"/>
                <w:b/>
                <w:bCs/>
                <w:lang w:val="mn-MN"/>
              </w:rPr>
              <w:t xml:space="preserve">Үндсэн валют </w:t>
            </w:r>
            <w:r w:rsidRPr="0046672D">
              <w:rPr>
                <w:rFonts w:ascii="Arial" w:hAnsi="Arial" w:cs="Arial"/>
                <w:b/>
                <w:lang w:val="mn-MN"/>
              </w:rPr>
              <w:t>/</w:t>
            </w:r>
            <w:r w:rsidRPr="0046672D">
              <w:rPr>
                <w:rFonts w:ascii="Arial" w:hAnsi="Arial" w:cs="Arial"/>
                <w:b/>
                <w:bCs/>
                <w:lang w:val="mn-MN"/>
              </w:rPr>
              <w:t>сая</w:t>
            </w:r>
            <w:r w:rsidRPr="0046672D">
              <w:rPr>
                <w:rFonts w:ascii="Arial" w:hAnsi="Arial" w:cs="Arial"/>
                <w:b/>
                <w:lang w:val="mn-MN"/>
              </w:rPr>
              <w:t>/</w:t>
            </w:r>
          </w:p>
        </w:tc>
        <w:tc>
          <w:tcPr>
            <w:tcW w:w="1418" w:type="dxa"/>
            <w:shd w:val="clear" w:color="auto" w:fill="E7E6E6" w:themeFill="background2"/>
          </w:tcPr>
          <w:p w14:paraId="25F86FA3" w14:textId="77777777" w:rsidR="00B052FA" w:rsidRPr="0046672D" w:rsidRDefault="00B052FA" w:rsidP="00673716">
            <w:pPr>
              <w:jc w:val="center"/>
              <w:rPr>
                <w:rFonts w:ascii="Arial" w:hAnsi="Arial" w:cs="Arial"/>
                <w:b/>
                <w:bCs/>
                <w:lang w:val="mn-MN"/>
              </w:rPr>
            </w:pPr>
            <w:r w:rsidRPr="0046672D">
              <w:rPr>
                <w:rFonts w:ascii="Arial" w:hAnsi="Arial" w:cs="Arial"/>
                <w:b/>
                <w:bCs/>
                <w:lang w:val="mn-MN"/>
              </w:rPr>
              <w:t>Тэрбум төгрөг</w:t>
            </w:r>
          </w:p>
        </w:tc>
      </w:tr>
      <w:tr w:rsidR="00B052FA" w:rsidRPr="0046672D" w14:paraId="37433458" w14:textId="77777777" w:rsidTr="00673716">
        <w:trPr>
          <w:trHeight w:val="287"/>
        </w:trPr>
        <w:tc>
          <w:tcPr>
            <w:tcW w:w="555" w:type="dxa"/>
          </w:tcPr>
          <w:p w14:paraId="0987EF62" w14:textId="77777777" w:rsidR="00B052FA" w:rsidRPr="0046672D" w:rsidRDefault="00B052FA" w:rsidP="00673716">
            <w:pPr>
              <w:jc w:val="both"/>
              <w:rPr>
                <w:rFonts w:ascii="Arial" w:hAnsi="Arial" w:cs="Arial"/>
                <w:lang w:val="mn-MN"/>
              </w:rPr>
            </w:pPr>
            <w:r w:rsidRPr="0046672D">
              <w:rPr>
                <w:rFonts w:ascii="Arial" w:hAnsi="Arial" w:cs="Arial"/>
                <w:bCs/>
                <w:lang w:val="mn-MN"/>
              </w:rPr>
              <w:t>1</w:t>
            </w:r>
          </w:p>
        </w:tc>
        <w:tc>
          <w:tcPr>
            <w:tcW w:w="2183" w:type="dxa"/>
          </w:tcPr>
          <w:p w14:paraId="3EF7479C" w14:textId="77777777" w:rsidR="00B052FA" w:rsidRPr="0046672D" w:rsidRDefault="00B052FA" w:rsidP="00673716">
            <w:pPr>
              <w:jc w:val="both"/>
              <w:rPr>
                <w:rFonts w:ascii="Arial" w:hAnsi="Arial" w:cs="Arial"/>
                <w:lang w:val="mn-MN"/>
              </w:rPr>
            </w:pPr>
            <w:r w:rsidRPr="0046672D">
              <w:rPr>
                <w:rFonts w:ascii="Arial" w:hAnsi="Arial" w:cs="Arial"/>
                <w:bCs/>
                <w:lang w:val="mn-MN"/>
              </w:rPr>
              <w:t>МИАТ ХК</w:t>
            </w:r>
          </w:p>
        </w:tc>
        <w:tc>
          <w:tcPr>
            <w:tcW w:w="1900" w:type="dxa"/>
          </w:tcPr>
          <w:p w14:paraId="2F8310AD" w14:textId="38E8C34D" w:rsidR="00B052FA" w:rsidRPr="0046672D" w:rsidRDefault="00B052FA" w:rsidP="00673716">
            <w:pPr>
              <w:jc w:val="both"/>
              <w:rPr>
                <w:rFonts w:ascii="Arial" w:hAnsi="Arial" w:cs="Arial"/>
                <w:lang w:val="mn-MN"/>
              </w:rPr>
            </w:pPr>
            <w:r w:rsidRPr="0046672D">
              <w:rPr>
                <w:rFonts w:ascii="Arial" w:hAnsi="Arial" w:cs="Arial"/>
                <w:lang w:val="mn-MN"/>
              </w:rPr>
              <w:t xml:space="preserve">АНУ-ын Хувийн экспортын санхүүжилтийн </w:t>
            </w:r>
            <w:r w:rsidR="00223B77" w:rsidRPr="0046672D">
              <w:rPr>
                <w:rFonts w:ascii="Arial" w:hAnsi="Arial" w:cs="Arial"/>
                <w:lang w:val="mn-MN"/>
              </w:rPr>
              <w:t>корпорац</w:t>
            </w:r>
            <w:r w:rsidRPr="0046672D">
              <w:rPr>
                <w:rFonts w:ascii="Arial" w:hAnsi="Arial" w:cs="Arial"/>
                <w:lang w:val="mn-MN"/>
              </w:rPr>
              <w:t xml:space="preserve">  /Private Export </w:t>
            </w:r>
            <w:r w:rsidRPr="0046672D">
              <w:rPr>
                <w:rFonts w:ascii="Arial" w:hAnsi="Arial" w:cs="Arial"/>
                <w:lang w:val="mn-MN"/>
              </w:rPr>
              <w:lastRenderedPageBreak/>
              <w:t>Funding Corporation/</w:t>
            </w:r>
          </w:p>
          <w:p w14:paraId="522390FE" w14:textId="77777777" w:rsidR="00B052FA" w:rsidRPr="0046672D" w:rsidRDefault="00B052FA" w:rsidP="00673716">
            <w:pPr>
              <w:jc w:val="both"/>
              <w:rPr>
                <w:rFonts w:ascii="Arial" w:hAnsi="Arial" w:cs="Arial"/>
                <w:lang w:val="mn-MN"/>
              </w:rPr>
            </w:pPr>
          </w:p>
        </w:tc>
        <w:tc>
          <w:tcPr>
            <w:tcW w:w="1584" w:type="dxa"/>
          </w:tcPr>
          <w:p w14:paraId="397E3970" w14:textId="77777777" w:rsidR="00B052FA" w:rsidRPr="0046672D" w:rsidRDefault="00B052FA" w:rsidP="00673716">
            <w:pPr>
              <w:jc w:val="center"/>
              <w:rPr>
                <w:rFonts w:ascii="Arial" w:hAnsi="Arial" w:cs="Arial"/>
                <w:lang w:val="mn-MN"/>
              </w:rPr>
            </w:pPr>
            <w:r w:rsidRPr="0046672D">
              <w:rPr>
                <w:rFonts w:ascii="Arial" w:hAnsi="Arial" w:cs="Arial"/>
                <w:lang w:val="mn-MN"/>
              </w:rPr>
              <w:lastRenderedPageBreak/>
              <w:t>Ам.доллар</w:t>
            </w:r>
          </w:p>
        </w:tc>
        <w:tc>
          <w:tcPr>
            <w:tcW w:w="1711" w:type="dxa"/>
          </w:tcPr>
          <w:p w14:paraId="3A6E5D5F" w14:textId="77777777" w:rsidR="00B052FA" w:rsidRPr="0046672D" w:rsidRDefault="00B052FA" w:rsidP="00673716">
            <w:pPr>
              <w:jc w:val="right"/>
              <w:rPr>
                <w:rFonts w:ascii="Arial" w:hAnsi="Arial" w:cs="Arial"/>
                <w:lang w:val="mn-MN"/>
              </w:rPr>
            </w:pPr>
            <w:r w:rsidRPr="0046672D">
              <w:rPr>
                <w:rFonts w:ascii="Arial" w:hAnsi="Arial" w:cs="Arial"/>
                <w:lang w:val="mn-MN"/>
              </w:rPr>
              <w:t>10.2</w:t>
            </w:r>
          </w:p>
        </w:tc>
        <w:tc>
          <w:tcPr>
            <w:tcW w:w="1418" w:type="dxa"/>
          </w:tcPr>
          <w:p w14:paraId="3700DDA1" w14:textId="77777777" w:rsidR="00B052FA" w:rsidRPr="0046672D" w:rsidRDefault="00B052FA" w:rsidP="00673716">
            <w:pPr>
              <w:jc w:val="right"/>
              <w:rPr>
                <w:rFonts w:ascii="Arial" w:hAnsi="Arial" w:cs="Arial"/>
                <w:lang w:val="mn-MN"/>
              </w:rPr>
            </w:pPr>
            <w:r w:rsidRPr="0046672D">
              <w:rPr>
                <w:rFonts w:ascii="Arial" w:hAnsi="Arial" w:cs="Arial"/>
                <w:lang w:val="mn-MN"/>
              </w:rPr>
              <w:t>29.0</w:t>
            </w:r>
          </w:p>
        </w:tc>
      </w:tr>
      <w:tr w:rsidR="00B052FA" w:rsidRPr="0046672D" w14:paraId="1DFC86C1" w14:textId="77777777" w:rsidTr="00673716">
        <w:trPr>
          <w:trHeight w:val="563"/>
        </w:trPr>
        <w:tc>
          <w:tcPr>
            <w:tcW w:w="555" w:type="dxa"/>
          </w:tcPr>
          <w:p w14:paraId="283BD90E" w14:textId="77777777" w:rsidR="00B052FA" w:rsidRPr="0046672D" w:rsidRDefault="00B052FA" w:rsidP="00673716">
            <w:pPr>
              <w:jc w:val="both"/>
              <w:rPr>
                <w:rFonts w:ascii="Arial" w:hAnsi="Arial" w:cs="Arial"/>
                <w:lang w:val="mn-MN"/>
              </w:rPr>
            </w:pPr>
            <w:r w:rsidRPr="0046672D">
              <w:rPr>
                <w:rFonts w:ascii="Arial" w:hAnsi="Arial" w:cs="Arial"/>
                <w:bCs/>
                <w:lang w:val="mn-MN"/>
              </w:rPr>
              <w:lastRenderedPageBreak/>
              <w:t>2</w:t>
            </w:r>
          </w:p>
        </w:tc>
        <w:tc>
          <w:tcPr>
            <w:tcW w:w="2183" w:type="dxa"/>
          </w:tcPr>
          <w:p w14:paraId="1B02B3B2" w14:textId="77777777" w:rsidR="00B052FA" w:rsidRPr="0046672D" w:rsidRDefault="00B052FA" w:rsidP="00673716">
            <w:pPr>
              <w:jc w:val="both"/>
              <w:rPr>
                <w:rFonts w:ascii="Arial" w:hAnsi="Arial" w:cs="Arial"/>
                <w:lang w:val="mn-MN"/>
              </w:rPr>
            </w:pPr>
            <w:r w:rsidRPr="0046672D">
              <w:rPr>
                <w:rFonts w:ascii="Arial" w:hAnsi="Arial" w:cs="Arial"/>
                <w:bCs/>
                <w:lang w:val="mn-MN"/>
              </w:rPr>
              <w:t>Монгол Улсын Хөгжлийн банк</w:t>
            </w:r>
          </w:p>
        </w:tc>
        <w:tc>
          <w:tcPr>
            <w:tcW w:w="1900" w:type="dxa"/>
          </w:tcPr>
          <w:p w14:paraId="51B483B0" w14:textId="77777777" w:rsidR="00B052FA" w:rsidRPr="0046672D" w:rsidRDefault="00B052FA" w:rsidP="00673716">
            <w:pPr>
              <w:jc w:val="both"/>
              <w:rPr>
                <w:rFonts w:ascii="Arial" w:hAnsi="Arial" w:cs="Arial"/>
                <w:lang w:val="mn-MN"/>
              </w:rPr>
            </w:pPr>
            <w:r w:rsidRPr="0046672D">
              <w:rPr>
                <w:rFonts w:ascii="Arial" w:hAnsi="Arial" w:cs="Arial"/>
                <w:lang w:val="mn-MN"/>
              </w:rPr>
              <w:t>Японы хөрөнгө оруулагчид</w:t>
            </w:r>
          </w:p>
        </w:tc>
        <w:tc>
          <w:tcPr>
            <w:tcW w:w="1584" w:type="dxa"/>
          </w:tcPr>
          <w:p w14:paraId="152CD07B" w14:textId="77777777" w:rsidR="00B052FA" w:rsidRPr="0046672D" w:rsidRDefault="00B052FA" w:rsidP="00673716">
            <w:pPr>
              <w:jc w:val="center"/>
              <w:rPr>
                <w:rFonts w:ascii="Arial" w:hAnsi="Arial" w:cs="Arial"/>
                <w:lang w:val="mn-MN"/>
              </w:rPr>
            </w:pPr>
            <w:r w:rsidRPr="0046672D">
              <w:rPr>
                <w:rFonts w:ascii="Arial" w:hAnsi="Arial" w:cs="Arial"/>
                <w:lang w:val="mn-MN"/>
              </w:rPr>
              <w:t>Иен</w:t>
            </w:r>
          </w:p>
        </w:tc>
        <w:tc>
          <w:tcPr>
            <w:tcW w:w="1711" w:type="dxa"/>
          </w:tcPr>
          <w:p w14:paraId="7346B47B" w14:textId="77777777" w:rsidR="00B052FA" w:rsidRPr="0046672D" w:rsidRDefault="00B052FA" w:rsidP="00673716">
            <w:pPr>
              <w:jc w:val="right"/>
              <w:rPr>
                <w:rFonts w:ascii="Arial" w:hAnsi="Arial" w:cs="Arial"/>
                <w:lang w:val="mn-MN"/>
              </w:rPr>
            </w:pPr>
            <w:r w:rsidRPr="0046672D">
              <w:rPr>
                <w:rFonts w:ascii="Arial" w:hAnsi="Arial" w:cs="Arial"/>
                <w:lang w:val="mn-MN"/>
              </w:rPr>
              <w:t>30,000.0</w:t>
            </w:r>
          </w:p>
        </w:tc>
        <w:tc>
          <w:tcPr>
            <w:tcW w:w="1418" w:type="dxa"/>
          </w:tcPr>
          <w:p w14:paraId="7A86BC8E" w14:textId="77777777" w:rsidR="00B052FA" w:rsidRPr="0046672D" w:rsidRDefault="00B052FA" w:rsidP="00673716">
            <w:pPr>
              <w:jc w:val="right"/>
              <w:rPr>
                <w:rFonts w:ascii="Arial" w:hAnsi="Arial" w:cs="Arial"/>
                <w:lang w:val="mn-MN"/>
              </w:rPr>
            </w:pPr>
            <w:r w:rsidRPr="0046672D">
              <w:rPr>
                <w:rFonts w:ascii="Arial" w:hAnsi="Arial" w:cs="Arial"/>
                <w:lang w:val="mn-MN"/>
              </w:rPr>
              <w:t>744.0</w:t>
            </w:r>
          </w:p>
        </w:tc>
      </w:tr>
      <w:tr w:rsidR="00B052FA" w:rsidRPr="0046672D" w14:paraId="79BBA290" w14:textId="77777777" w:rsidTr="00673716">
        <w:trPr>
          <w:trHeight w:val="563"/>
        </w:trPr>
        <w:tc>
          <w:tcPr>
            <w:tcW w:w="555" w:type="dxa"/>
          </w:tcPr>
          <w:p w14:paraId="7BCA54A1" w14:textId="77777777" w:rsidR="00B052FA" w:rsidRPr="0046672D" w:rsidRDefault="00B052FA" w:rsidP="00673716">
            <w:pPr>
              <w:jc w:val="both"/>
              <w:rPr>
                <w:rFonts w:ascii="Arial" w:hAnsi="Arial" w:cs="Arial"/>
                <w:lang w:val="mn-MN"/>
              </w:rPr>
            </w:pPr>
            <w:r w:rsidRPr="0046672D">
              <w:rPr>
                <w:rFonts w:ascii="Arial" w:hAnsi="Arial" w:cs="Arial"/>
                <w:bCs/>
                <w:lang w:val="mn-MN"/>
              </w:rPr>
              <w:t>3</w:t>
            </w:r>
          </w:p>
        </w:tc>
        <w:tc>
          <w:tcPr>
            <w:tcW w:w="2183" w:type="dxa"/>
          </w:tcPr>
          <w:p w14:paraId="1C1D9F60" w14:textId="77777777" w:rsidR="00B052FA" w:rsidRPr="0046672D" w:rsidRDefault="00B052FA" w:rsidP="00673716">
            <w:pPr>
              <w:jc w:val="both"/>
              <w:rPr>
                <w:rFonts w:ascii="Arial" w:hAnsi="Arial" w:cs="Arial"/>
                <w:lang w:val="mn-MN"/>
              </w:rPr>
            </w:pPr>
            <w:r w:rsidRPr="0046672D">
              <w:rPr>
                <w:rFonts w:ascii="Arial" w:hAnsi="Arial" w:cs="Arial"/>
                <w:bCs/>
                <w:lang w:val="mn-MN"/>
              </w:rPr>
              <w:t>Монгол Улсын Хөгжлийн банк</w:t>
            </w:r>
          </w:p>
        </w:tc>
        <w:tc>
          <w:tcPr>
            <w:tcW w:w="1900" w:type="dxa"/>
          </w:tcPr>
          <w:p w14:paraId="3777D528" w14:textId="77777777" w:rsidR="00B052FA" w:rsidRPr="0046672D" w:rsidRDefault="00B052FA" w:rsidP="00673716">
            <w:pPr>
              <w:jc w:val="both"/>
              <w:rPr>
                <w:rFonts w:ascii="Arial" w:hAnsi="Arial" w:cs="Arial"/>
                <w:lang w:val="mn-MN"/>
              </w:rPr>
            </w:pPr>
            <w:r w:rsidRPr="0046672D">
              <w:rPr>
                <w:rFonts w:ascii="Arial" w:hAnsi="Arial" w:cs="Arial"/>
                <w:lang w:val="mn-MN"/>
              </w:rPr>
              <w:t>Хятадын хөгжлийн банк</w:t>
            </w:r>
          </w:p>
          <w:p w14:paraId="0B392A9D" w14:textId="77777777" w:rsidR="00B052FA" w:rsidRPr="0046672D" w:rsidRDefault="00B052FA" w:rsidP="00673716">
            <w:pPr>
              <w:jc w:val="both"/>
              <w:rPr>
                <w:rFonts w:ascii="Arial" w:hAnsi="Arial" w:cs="Arial"/>
                <w:lang w:val="mn-MN"/>
              </w:rPr>
            </w:pPr>
            <w:r w:rsidRPr="0046672D">
              <w:rPr>
                <w:rFonts w:ascii="Arial" w:hAnsi="Arial" w:cs="Arial"/>
                <w:lang w:val="mn-MN"/>
              </w:rPr>
              <w:t>/China Development. Bank/</w:t>
            </w:r>
          </w:p>
        </w:tc>
        <w:tc>
          <w:tcPr>
            <w:tcW w:w="1584" w:type="dxa"/>
          </w:tcPr>
          <w:p w14:paraId="2B247CAA" w14:textId="77777777" w:rsidR="00B052FA" w:rsidRPr="0046672D" w:rsidRDefault="00B052FA" w:rsidP="00673716">
            <w:pPr>
              <w:jc w:val="center"/>
              <w:rPr>
                <w:rFonts w:ascii="Arial" w:hAnsi="Arial" w:cs="Arial"/>
                <w:lang w:val="mn-MN"/>
              </w:rPr>
            </w:pPr>
            <w:r w:rsidRPr="0046672D">
              <w:rPr>
                <w:rFonts w:ascii="Arial" w:hAnsi="Arial" w:cs="Arial"/>
                <w:lang w:val="mn-MN"/>
              </w:rPr>
              <w:t>Ам.доллар</w:t>
            </w:r>
          </w:p>
        </w:tc>
        <w:tc>
          <w:tcPr>
            <w:tcW w:w="1711" w:type="dxa"/>
          </w:tcPr>
          <w:p w14:paraId="31CF3F01" w14:textId="77777777" w:rsidR="00B052FA" w:rsidRPr="0046672D" w:rsidRDefault="00B052FA" w:rsidP="00673716">
            <w:pPr>
              <w:jc w:val="right"/>
              <w:rPr>
                <w:rFonts w:ascii="Arial" w:hAnsi="Arial" w:cs="Arial"/>
                <w:lang w:val="mn-MN"/>
              </w:rPr>
            </w:pPr>
            <w:r w:rsidRPr="0046672D">
              <w:rPr>
                <w:rFonts w:ascii="Arial" w:hAnsi="Arial" w:cs="Arial"/>
                <w:lang w:val="mn-MN"/>
              </w:rPr>
              <w:t>27.0</w:t>
            </w:r>
          </w:p>
        </w:tc>
        <w:tc>
          <w:tcPr>
            <w:tcW w:w="1418" w:type="dxa"/>
          </w:tcPr>
          <w:p w14:paraId="76B0DA82" w14:textId="77777777" w:rsidR="00B052FA" w:rsidRPr="0046672D" w:rsidRDefault="00B052FA" w:rsidP="00673716">
            <w:pPr>
              <w:jc w:val="right"/>
              <w:rPr>
                <w:rFonts w:ascii="Arial" w:hAnsi="Arial" w:cs="Arial"/>
                <w:lang w:val="mn-MN"/>
              </w:rPr>
            </w:pPr>
            <w:r w:rsidRPr="0046672D">
              <w:rPr>
                <w:rFonts w:ascii="Arial" w:hAnsi="Arial" w:cs="Arial"/>
                <w:lang w:val="mn-MN"/>
              </w:rPr>
              <w:t>76.9</w:t>
            </w:r>
          </w:p>
        </w:tc>
      </w:tr>
      <w:tr w:rsidR="00B052FA" w:rsidRPr="0046672D" w14:paraId="3ED2748E" w14:textId="77777777" w:rsidTr="00673716">
        <w:trPr>
          <w:trHeight w:val="563"/>
        </w:trPr>
        <w:tc>
          <w:tcPr>
            <w:tcW w:w="555" w:type="dxa"/>
          </w:tcPr>
          <w:p w14:paraId="2E585989" w14:textId="77777777" w:rsidR="00B052FA" w:rsidRPr="0046672D" w:rsidRDefault="00B052FA" w:rsidP="00673716">
            <w:pPr>
              <w:jc w:val="both"/>
              <w:rPr>
                <w:rFonts w:ascii="Arial" w:hAnsi="Arial" w:cs="Arial"/>
                <w:lang w:val="mn-MN"/>
              </w:rPr>
            </w:pPr>
            <w:r w:rsidRPr="0046672D">
              <w:rPr>
                <w:rFonts w:ascii="Arial" w:hAnsi="Arial" w:cs="Arial"/>
                <w:bCs/>
                <w:lang w:val="mn-MN"/>
              </w:rPr>
              <w:t>4</w:t>
            </w:r>
          </w:p>
        </w:tc>
        <w:tc>
          <w:tcPr>
            <w:tcW w:w="2183" w:type="dxa"/>
          </w:tcPr>
          <w:p w14:paraId="0E6FB3EA" w14:textId="77777777" w:rsidR="00B052FA" w:rsidRPr="0046672D" w:rsidRDefault="00B052FA" w:rsidP="00673716">
            <w:pPr>
              <w:jc w:val="both"/>
              <w:rPr>
                <w:rFonts w:ascii="Arial" w:hAnsi="Arial" w:cs="Arial"/>
                <w:lang w:val="mn-MN"/>
              </w:rPr>
            </w:pPr>
            <w:r w:rsidRPr="0046672D">
              <w:rPr>
                <w:rFonts w:ascii="Arial" w:hAnsi="Arial" w:cs="Arial"/>
                <w:bCs/>
                <w:lang w:val="mn-MN"/>
              </w:rPr>
              <w:t>Эрдэнэс Монгол ХХК</w:t>
            </w:r>
          </w:p>
        </w:tc>
        <w:tc>
          <w:tcPr>
            <w:tcW w:w="1900" w:type="dxa"/>
          </w:tcPr>
          <w:p w14:paraId="6E55D4FF" w14:textId="77777777" w:rsidR="00B052FA" w:rsidRPr="0046672D" w:rsidRDefault="00B052FA" w:rsidP="00673716">
            <w:pPr>
              <w:jc w:val="both"/>
              <w:rPr>
                <w:rFonts w:ascii="Arial" w:hAnsi="Arial" w:cs="Arial"/>
                <w:lang w:val="mn-MN"/>
              </w:rPr>
            </w:pPr>
            <w:r w:rsidRPr="0046672D">
              <w:rPr>
                <w:rFonts w:ascii="Arial" w:hAnsi="Arial" w:cs="Arial"/>
                <w:lang w:val="mn-MN"/>
              </w:rPr>
              <w:t>Азийн хөгжлийн банк</w:t>
            </w:r>
          </w:p>
        </w:tc>
        <w:tc>
          <w:tcPr>
            <w:tcW w:w="1584" w:type="dxa"/>
          </w:tcPr>
          <w:p w14:paraId="6DD9354B" w14:textId="77777777" w:rsidR="00B052FA" w:rsidRPr="0046672D" w:rsidRDefault="00B052FA" w:rsidP="00673716">
            <w:pPr>
              <w:jc w:val="center"/>
              <w:rPr>
                <w:rFonts w:ascii="Arial" w:hAnsi="Arial" w:cs="Arial"/>
                <w:lang w:val="mn-MN"/>
              </w:rPr>
            </w:pPr>
            <w:r w:rsidRPr="0046672D">
              <w:rPr>
                <w:rFonts w:ascii="Arial" w:hAnsi="Arial" w:cs="Arial"/>
                <w:lang w:val="mn-MN"/>
              </w:rPr>
              <w:t>Ам.доллар</w:t>
            </w:r>
          </w:p>
        </w:tc>
        <w:tc>
          <w:tcPr>
            <w:tcW w:w="1711" w:type="dxa"/>
          </w:tcPr>
          <w:p w14:paraId="40DE656C" w14:textId="77777777" w:rsidR="00B052FA" w:rsidRPr="0046672D" w:rsidRDefault="00B052FA" w:rsidP="00673716">
            <w:pPr>
              <w:jc w:val="right"/>
              <w:rPr>
                <w:rFonts w:ascii="Arial" w:hAnsi="Arial" w:cs="Arial"/>
                <w:lang w:val="mn-MN"/>
              </w:rPr>
            </w:pPr>
            <w:r w:rsidRPr="0046672D">
              <w:rPr>
                <w:rFonts w:ascii="Arial" w:hAnsi="Arial" w:cs="Arial"/>
                <w:lang w:val="mn-MN"/>
              </w:rPr>
              <w:t>9.3</w:t>
            </w:r>
          </w:p>
        </w:tc>
        <w:tc>
          <w:tcPr>
            <w:tcW w:w="1418" w:type="dxa"/>
          </w:tcPr>
          <w:p w14:paraId="2EE5BEB8" w14:textId="77777777" w:rsidR="00B052FA" w:rsidRPr="0046672D" w:rsidRDefault="00B052FA" w:rsidP="00673716">
            <w:pPr>
              <w:jc w:val="right"/>
              <w:rPr>
                <w:rFonts w:ascii="Arial" w:hAnsi="Arial" w:cs="Arial"/>
                <w:lang w:val="mn-MN"/>
              </w:rPr>
            </w:pPr>
            <w:r w:rsidRPr="0046672D">
              <w:rPr>
                <w:rFonts w:ascii="Arial" w:hAnsi="Arial" w:cs="Arial"/>
                <w:lang w:val="mn-MN"/>
              </w:rPr>
              <w:t>26.5</w:t>
            </w:r>
          </w:p>
        </w:tc>
      </w:tr>
      <w:tr w:rsidR="00B052FA" w:rsidRPr="0046672D" w14:paraId="06930617" w14:textId="77777777" w:rsidTr="00673716">
        <w:trPr>
          <w:trHeight w:val="275"/>
        </w:trPr>
        <w:tc>
          <w:tcPr>
            <w:tcW w:w="7933" w:type="dxa"/>
            <w:gridSpan w:val="5"/>
          </w:tcPr>
          <w:p w14:paraId="2ACE5204" w14:textId="77777777" w:rsidR="00B052FA" w:rsidRPr="0046672D" w:rsidRDefault="00B052FA" w:rsidP="00673716">
            <w:pPr>
              <w:rPr>
                <w:rFonts w:ascii="Arial" w:hAnsi="Arial" w:cs="Arial"/>
                <w:b/>
                <w:lang w:val="mn-MN"/>
              </w:rPr>
            </w:pPr>
            <w:r w:rsidRPr="0046672D">
              <w:rPr>
                <w:rFonts w:ascii="Arial" w:hAnsi="Arial" w:cs="Arial"/>
                <w:b/>
                <w:lang w:val="mn-MN"/>
              </w:rPr>
              <w:t>НИЙТ</w:t>
            </w:r>
          </w:p>
        </w:tc>
        <w:tc>
          <w:tcPr>
            <w:tcW w:w="1418" w:type="dxa"/>
          </w:tcPr>
          <w:p w14:paraId="482D228B" w14:textId="77777777" w:rsidR="00B052FA" w:rsidRPr="0046672D" w:rsidRDefault="00B052FA" w:rsidP="00673716">
            <w:pPr>
              <w:jc w:val="right"/>
              <w:rPr>
                <w:rFonts w:ascii="Arial" w:hAnsi="Arial" w:cs="Arial"/>
                <w:b/>
                <w:lang w:val="mn-MN"/>
              </w:rPr>
            </w:pPr>
            <w:r w:rsidRPr="0046672D">
              <w:rPr>
                <w:rFonts w:ascii="Arial" w:hAnsi="Arial" w:cs="Arial"/>
                <w:b/>
                <w:lang w:val="mn-MN"/>
              </w:rPr>
              <w:t>876.5</w:t>
            </w:r>
          </w:p>
        </w:tc>
      </w:tr>
    </w:tbl>
    <w:p w14:paraId="515D60CB" w14:textId="77777777" w:rsidR="00B052FA" w:rsidRPr="0046672D" w:rsidRDefault="00B052FA" w:rsidP="00B052FA">
      <w:pPr>
        <w:ind w:firstLine="360"/>
        <w:jc w:val="center"/>
        <w:rPr>
          <w:rFonts w:ascii="Arial" w:hAnsi="Arial" w:cs="Arial"/>
          <w:sz w:val="24"/>
          <w:szCs w:val="24"/>
          <w:lang w:val="mn-MN"/>
        </w:rPr>
      </w:pPr>
      <w:r w:rsidRPr="0046672D">
        <w:rPr>
          <w:rFonts w:ascii="Arial" w:hAnsi="Arial" w:cs="Arial"/>
          <w:i/>
          <w:sz w:val="20"/>
          <w:szCs w:val="24"/>
          <w:lang w:val="mn-MN"/>
        </w:rPr>
        <w:t>Эх сурвалж: Сангийн яам</w:t>
      </w:r>
    </w:p>
    <w:bookmarkEnd w:id="3"/>
    <w:p w14:paraId="06572DAE"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Засгийн газрын өрийн баталгааны үлдэгдлийн 78.0 хувийг эзэлж байгаа Монгол Улсын хөгжлийн банкны 30.0 тэрбум иений “Самурай” бондын төлбөрийг 2023 онд төлөх хуваарьтай бол “МИАТ” ТӨХК-ийн зээл 2023 онд, Монгол Улсын хөгжлийн банкны Хятадын хөгжлийн банкнаас авч ашигласан зээл 2022 онд, Эрдэнэс Монгол ХК-ийн техникийн туслалцааны зээлийг 2031 онд тус тус төлөх хуваарьтай.</w:t>
      </w:r>
    </w:p>
    <w:p w14:paraId="59802F32" w14:textId="77777777" w:rsidR="00B052FA" w:rsidRPr="0046672D" w:rsidRDefault="00B052FA" w:rsidP="00B052FA">
      <w:pPr>
        <w:jc w:val="both"/>
        <w:rPr>
          <w:rStyle w:val="Strong"/>
          <w:rFonts w:ascii="Arial" w:hAnsi="Arial" w:cs="Arial"/>
          <w:b w:val="0"/>
          <w:iCs/>
          <w:sz w:val="24"/>
          <w:szCs w:val="24"/>
          <w:lang w:val="mn-MN"/>
        </w:rPr>
      </w:pPr>
      <w:r w:rsidRPr="0046672D">
        <w:rPr>
          <w:rFonts w:ascii="Arial" w:hAnsi="Arial" w:cs="Arial"/>
          <w:b/>
          <w:sz w:val="24"/>
          <w:szCs w:val="24"/>
          <w:lang w:val="mn-MN"/>
        </w:rPr>
        <w:t>2.2.5</w:t>
      </w:r>
      <w:r w:rsidRPr="0046672D">
        <w:rPr>
          <w:rFonts w:ascii="Arial" w:hAnsi="Arial" w:cs="Arial"/>
          <w:b/>
          <w:sz w:val="24"/>
          <w:szCs w:val="24"/>
          <w:lang w:val="mn-MN"/>
        </w:rPr>
        <w:tab/>
        <w:t>“</w:t>
      </w:r>
      <w:r w:rsidRPr="0046672D">
        <w:rPr>
          <w:rFonts w:ascii="Arial" w:hAnsi="Arial" w:cs="Arial"/>
          <w:b/>
          <w:iCs/>
          <w:sz w:val="24"/>
          <w:szCs w:val="24"/>
          <w:lang w:val="mn-MN"/>
        </w:rPr>
        <w:t>Барих-шилжүүлэх” төрлийн концесс</w:t>
      </w:r>
      <w:r w:rsidRPr="0046672D">
        <w:rPr>
          <w:rStyle w:val="Strong"/>
          <w:rFonts w:ascii="Arial" w:hAnsi="Arial" w:cs="Arial"/>
          <w:iCs/>
          <w:sz w:val="24"/>
          <w:szCs w:val="24"/>
          <w:shd w:val="clear" w:color="auto" w:fill="FFFFFF"/>
          <w:lang w:val="mn-MN"/>
        </w:rPr>
        <w:t xml:space="preserve"> </w:t>
      </w:r>
    </w:p>
    <w:p w14:paraId="259F79D7"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Өрийн удирдлагын тухай хуулийн 40.7-д“Улсын болон орон нутгийн төсвөөс эргэн төлөгдөх нөхцөлтэй концессын гэрээг хүчин төгөлдөр болсон өдрөөр өрийн мэдээллийн нэгдсэн санд оруулж, концессын гэрээний дагуу улирал бүр гарсан ашиглалтыг үндэслэж Засгийн газрын өрд бүртгэнэ” гэж заасны дагуу Сангийн яам, концессын асуудал хариуцсан төрийн захиргааны байгууллага болон орон нутгийн засаг захиргааны байгууллагаас улирал бүр ашиглалт, гүйцэтгэлийн мэдээллийг авч, нэгтгэн Засгийн газрын өрд бүртгэж байна.</w:t>
      </w:r>
    </w:p>
    <w:p w14:paraId="7211FD6D" w14:textId="77777777" w:rsidR="00B052FA" w:rsidRPr="0046672D" w:rsidRDefault="00B052FA" w:rsidP="00B052FA">
      <w:pPr>
        <w:ind w:firstLine="360"/>
        <w:jc w:val="both"/>
        <w:rPr>
          <w:rFonts w:ascii="Arial" w:hAnsi="Arial" w:cs="Arial"/>
          <w:i/>
          <w:sz w:val="24"/>
          <w:szCs w:val="24"/>
          <w:lang w:val="mn-MN"/>
        </w:rPr>
      </w:pPr>
      <w:bookmarkStart w:id="4" w:name="_Hlk98487315"/>
      <w:r w:rsidRPr="0046672D">
        <w:rPr>
          <w:rFonts w:ascii="Arial" w:hAnsi="Arial" w:cs="Arial"/>
          <w:noProof/>
          <w:sz w:val="24"/>
          <w:szCs w:val="24"/>
        </w:rPr>
        <w:drawing>
          <wp:anchor distT="0" distB="0" distL="114300" distR="114300" simplePos="0" relativeHeight="251658248" behindDoc="0" locked="0" layoutInCell="1" allowOverlap="1" wp14:anchorId="36D2FCB6" wp14:editId="5735A0F1">
            <wp:simplePos x="0" y="0"/>
            <wp:positionH relativeFrom="margin">
              <wp:align>left</wp:align>
            </wp:positionH>
            <wp:positionV relativeFrom="paragraph">
              <wp:posOffset>180975</wp:posOffset>
            </wp:positionV>
            <wp:extent cx="5933440" cy="2314575"/>
            <wp:effectExtent l="0" t="0" r="10160"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46672D">
        <w:rPr>
          <w:rFonts w:ascii="Arial" w:hAnsi="Arial" w:cs="Arial"/>
          <w:i/>
          <w:iCs/>
          <w:sz w:val="24"/>
          <w:szCs w:val="24"/>
          <w:lang w:val="mn-MN"/>
        </w:rPr>
        <w:t xml:space="preserve">График № 3 Барих-шилжүүлэх төрлийн концесс, тэрбум төгрөг </w:t>
      </w:r>
      <w:r w:rsidRPr="0046672D">
        <w:rPr>
          <w:rFonts w:ascii="Arial" w:hAnsi="Arial" w:cs="Arial"/>
          <w:i/>
          <w:sz w:val="24"/>
          <w:szCs w:val="24"/>
          <w:lang w:val="mn-MN"/>
        </w:rPr>
        <w:t>/</w:t>
      </w:r>
      <w:r w:rsidRPr="0046672D">
        <w:rPr>
          <w:rFonts w:ascii="Arial" w:hAnsi="Arial" w:cs="Arial"/>
          <w:i/>
          <w:iCs/>
          <w:sz w:val="24"/>
          <w:szCs w:val="24"/>
          <w:lang w:val="mn-MN"/>
        </w:rPr>
        <w:t>2021.12.31</w:t>
      </w:r>
      <w:r w:rsidRPr="0046672D">
        <w:rPr>
          <w:rFonts w:ascii="Arial" w:hAnsi="Arial" w:cs="Arial"/>
          <w:i/>
          <w:sz w:val="24"/>
          <w:szCs w:val="24"/>
          <w:lang w:val="mn-MN"/>
        </w:rPr>
        <w:t>/</w:t>
      </w:r>
    </w:p>
    <w:p w14:paraId="37343403" w14:textId="77777777" w:rsidR="00B052FA" w:rsidRPr="0046672D" w:rsidRDefault="00B052FA" w:rsidP="00B052FA">
      <w:pPr>
        <w:ind w:firstLine="720"/>
        <w:jc w:val="center"/>
        <w:rPr>
          <w:rFonts w:ascii="Arial" w:hAnsi="Arial" w:cs="Arial"/>
          <w:sz w:val="24"/>
          <w:szCs w:val="24"/>
          <w:lang w:val="mn-MN"/>
        </w:rPr>
      </w:pPr>
      <w:r w:rsidRPr="0046672D">
        <w:rPr>
          <w:rFonts w:ascii="Arial" w:hAnsi="Arial" w:cs="Arial"/>
          <w:i/>
          <w:sz w:val="20"/>
          <w:szCs w:val="24"/>
          <w:lang w:val="mn-MN"/>
        </w:rPr>
        <w:t>Эх сурвалж: Сангийн яам</w:t>
      </w:r>
    </w:p>
    <w:bookmarkEnd w:id="4"/>
    <w:p w14:paraId="68BC22D7" w14:textId="4C4BC12F" w:rsidR="00B052FA" w:rsidRPr="0046672D" w:rsidRDefault="00B052FA" w:rsidP="00B052FA">
      <w:pPr>
        <w:pStyle w:val="ListParagraph"/>
        <w:ind w:left="0"/>
        <w:jc w:val="both"/>
        <w:rPr>
          <w:rFonts w:ascii="Arial" w:hAnsi="Arial" w:cs="Arial"/>
          <w:iCs/>
          <w:lang w:val="mn-MN"/>
        </w:rPr>
      </w:pPr>
      <w:r w:rsidRPr="0046672D">
        <w:rPr>
          <w:rFonts w:ascii="Arial" w:hAnsi="Arial" w:cs="Arial"/>
          <w:sz w:val="24"/>
          <w:szCs w:val="24"/>
          <w:lang w:val="mn-MN"/>
        </w:rPr>
        <w:tab/>
        <w:t xml:space="preserve"> Улсын болон орон нутгийн төсвөөс эргэн төлөх концессын үлдэгдэл 2021 оны оны жилийн эцсийн урьдчилсан гүйцэтгэлээр 673.9 тэрбум төгрөгт хүрч өмнөх оны мөн үеэс 21</w:t>
      </w:r>
      <w:r w:rsidR="00223B77" w:rsidRPr="0046672D">
        <w:rPr>
          <w:rFonts w:ascii="Arial" w:hAnsi="Arial" w:cs="Arial"/>
          <w:sz w:val="24"/>
          <w:szCs w:val="24"/>
          <w:lang w:val="mn-MN"/>
        </w:rPr>
        <w:t xml:space="preserve"> хув</w:t>
      </w:r>
      <w:r w:rsidRPr="0046672D">
        <w:rPr>
          <w:rFonts w:ascii="Arial" w:hAnsi="Arial" w:cs="Arial"/>
          <w:sz w:val="24"/>
          <w:szCs w:val="24"/>
          <w:lang w:val="mn-MN"/>
        </w:rPr>
        <w:t>иар буюу 176.3 тэрбум төгрөгөөр буурсан байна. Үүнээс улсын төсвөөс эргэн төлөх нийт 10 гэрээний үлдэгдэл 673.5 тэрбум төгрөг, орон нутгийн төсвөөс эргэн төлөх нийт 3 гэрээний үлдэгдэл 0.4 тэрбум төгрөгтэй тэнцэж байна.</w:t>
      </w:r>
    </w:p>
    <w:p w14:paraId="14918473" w14:textId="77777777" w:rsidR="00B052FA" w:rsidRPr="0046672D" w:rsidRDefault="00B052FA" w:rsidP="00B052FA">
      <w:pPr>
        <w:pStyle w:val="ListParagraph"/>
        <w:ind w:left="0"/>
        <w:rPr>
          <w:rFonts w:ascii="Arial" w:hAnsi="Arial" w:cs="Arial"/>
          <w:lang w:val="mn-MN"/>
        </w:rPr>
      </w:pPr>
    </w:p>
    <w:p w14:paraId="2D92EA4C" w14:textId="77777777" w:rsidR="00B052FA" w:rsidRPr="0046672D" w:rsidRDefault="00B052FA" w:rsidP="00FE3633">
      <w:pPr>
        <w:pStyle w:val="ListParagraph"/>
        <w:numPr>
          <w:ilvl w:val="0"/>
          <w:numId w:val="15"/>
        </w:numPr>
        <w:jc w:val="both"/>
        <w:rPr>
          <w:rFonts w:ascii="Arial" w:hAnsi="Arial" w:cs="Arial"/>
          <w:b/>
          <w:bCs/>
          <w:sz w:val="24"/>
          <w:szCs w:val="24"/>
          <w:lang w:val="mn-MN"/>
        </w:rPr>
      </w:pPr>
      <w:r w:rsidRPr="0046672D">
        <w:rPr>
          <w:rFonts w:ascii="Arial" w:hAnsi="Arial" w:cs="Arial"/>
          <w:b/>
          <w:sz w:val="24"/>
          <w:szCs w:val="24"/>
          <w:lang w:val="mn-MN"/>
        </w:rPr>
        <w:lastRenderedPageBreak/>
        <w:t>ЗАСГИЙН ГАЗРЫН ӨРИЙН БАГЦЫН ДУНД ХУГАЦААНЫ ЗОРИЛТОТ БҮТЭЦ, ТҮҮНИЙ ХЭРЭГЖИЛТ</w:t>
      </w:r>
    </w:p>
    <w:p w14:paraId="78333A20" w14:textId="77777777" w:rsidR="00B052FA" w:rsidRPr="0046672D" w:rsidRDefault="00B052FA" w:rsidP="00B052FA">
      <w:pPr>
        <w:pStyle w:val="ListParagraph"/>
        <w:ind w:left="360"/>
        <w:jc w:val="both"/>
        <w:rPr>
          <w:rFonts w:ascii="Arial" w:hAnsi="Arial" w:cs="Arial"/>
          <w:b/>
          <w:sz w:val="24"/>
          <w:szCs w:val="24"/>
          <w:lang w:val="mn-MN"/>
        </w:rPr>
      </w:pPr>
    </w:p>
    <w:p w14:paraId="6049D9A1" w14:textId="77777777" w:rsidR="00B052FA" w:rsidRPr="0046672D" w:rsidRDefault="00B052FA" w:rsidP="00FE3633">
      <w:pPr>
        <w:pStyle w:val="ListParagraph"/>
        <w:numPr>
          <w:ilvl w:val="1"/>
          <w:numId w:val="14"/>
        </w:numPr>
        <w:rPr>
          <w:rFonts w:ascii="Arial" w:hAnsi="Arial" w:cs="Arial"/>
          <w:b/>
          <w:sz w:val="24"/>
          <w:szCs w:val="24"/>
          <w:lang w:val="mn-MN"/>
        </w:rPr>
      </w:pPr>
      <w:r w:rsidRPr="0046672D">
        <w:rPr>
          <w:rFonts w:ascii="Arial" w:hAnsi="Arial" w:cs="Arial"/>
          <w:b/>
          <w:sz w:val="24"/>
          <w:szCs w:val="24"/>
          <w:lang w:val="mn-MN"/>
        </w:rPr>
        <w:t>Дунд хугацаанд дэвшүүлсэн зорилтын хэрэгжилт</w:t>
      </w:r>
    </w:p>
    <w:p w14:paraId="0C2EE702" w14:textId="77777777" w:rsidR="00B052FA" w:rsidRPr="0046672D" w:rsidRDefault="00B052FA" w:rsidP="00B052FA">
      <w:pPr>
        <w:pStyle w:val="ListParagraph"/>
        <w:ind w:left="0"/>
        <w:jc w:val="both"/>
        <w:rPr>
          <w:rFonts w:ascii="Arial" w:hAnsi="Arial" w:cs="Arial"/>
          <w:b/>
          <w:color w:val="002060"/>
          <w:sz w:val="24"/>
          <w:szCs w:val="24"/>
          <w:lang w:val="mn-MN"/>
        </w:rPr>
      </w:pPr>
    </w:p>
    <w:p w14:paraId="7E60F251" w14:textId="77777777" w:rsidR="00B052FA" w:rsidRPr="0046672D" w:rsidRDefault="00B052FA" w:rsidP="00B052FA">
      <w:pPr>
        <w:pStyle w:val="ListParagraph"/>
        <w:ind w:left="0"/>
        <w:jc w:val="both"/>
        <w:rPr>
          <w:rFonts w:ascii="Arial" w:hAnsi="Arial" w:cs="Arial"/>
          <w:b/>
          <w:bCs/>
          <w:color w:val="002060"/>
          <w:sz w:val="24"/>
          <w:szCs w:val="24"/>
          <w:lang w:val="mn-MN"/>
        </w:rPr>
      </w:pPr>
      <w:r w:rsidRPr="0046672D">
        <w:rPr>
          <w:rFonts w:ascii="Arial" w:hAnsi="Arial" w:cs="Arial"/>
          <w:b/>
          <w:color w:val="002060"/>
          <w:sz w:val="24"/>
          <w:szCs w:val="24"/>
          <w:lang w:val="mn-MN"/>
        </w:rPr>
        <w:t xml:space="preserve">Зорилт 1. </w:t>
      </w:r>
      <w:r w:rsidRPr="0046672D">
        <w:rPr>
          <w:rFonts w:ascii="Arial" w:hAnsi="Arial" w:cs="Arial"/>
          <w:b/>
          <w:bCs/>
          <w:color w:val="002060"/>
          <w:sz w:val="24"/>
          <w:szCs w:val="24"/>
          <w:lang w:val="mn-MN"/>
        </w:rPr>
        <w:t>Засгийн газрын гадаад, дотоод үнэт цаас, зээлийн төлбөрүүдийг эдийн засаг, төсөвт дарамт учруулахгүйгээр төлж дахин санхүүжилтийн эрсдэлийг бууруулна.</w:t>
      </w:r>
    </w:p>
    <w:p w14:paraId="683D0F46" w14:textId="77777777" w:rsidR="00B052FA" w:rsidRPr="0046672D" w:rsidRDefault="00B052FA" w:rsidP="00B052FA">
      <w:pPr>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t>1.1  дэх арга хэмжээ: Монгол Улсын зээлжих зэрэглэлийг хэвээр хадгалах, сайжруулах үүднээс олон улсын зэрэглэл тогтоогч байгууллага, хөрөнгө оруулагчидтай хамтран ажилласан.</w:t>
      </w:r>
    </w:p>
    <w:p w14:paraId="097FE865" w14:textId="77777777" w:rsidR="00B052FA" w:rsidRPr="0046672D" w:rsidRDefault="00B052FA" w:rsidP="00B052FA">
      <w:pPr>
        <w:ind w:firstLine="360"/>
        <w:jc w:val="both"/>
        <w:rPr>
          <w:rFonts w:ascii="Arial" w:hAnsi="Arial" w:cs="Arial"/>
          <w:b/>
          <w:sz w:val="24"/>
          <w:szCs w:val="24"/>
          <w:lang w:val="mn-MN"/>
        </w:rPr>
      </w:pPr>
      <w:r w:rsidRPr="0046672D">
        <w:rPr>
          <w:rFonts w:ascii="Arial" w:hAnsi="Arial" w:cs="Arial"/>
          <w:sz w:val="24"/>
          <w:szCs w:val="24"/>
          <w:lang w:val="mn-MN"/>
        </w:rPr>
        <w:tab/>
        <w:t xml:space="preserve">Сангийн яам олон улсын зээлжих зэрэглэл тогтоогч Стандарт энд Пүүрс агентлагтай 1999 оноос, Фитч Рэйтингс болон Мүүдис агентлагтай 2005 оноос Монгол Улсын зээлжих зэрэглэлийг тогтоолгох чиглэлээр тус тус хамтран ажиллаж эхэлсэн байдаг. </w:t>
      </w:r>
    </w:p>
    <w:p w14:paraId="0B0316C1"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Улсын зээлжих зэрэглэл нь тухайн улс гадаад, дотоодын хөрөнгө оруулалт, зээлийн төлбөрөө ирээдүйд эргэн төлөх чадвар, эрсдэлийг илтгэдэг үзүүлэлт юм. Эдгээр агентлагууд улсын зээлжих зэрэглэлийг өөрсдийн тогтсон аргачлалын дагуу улсын эдийн засгийн өсөлт, төлөв байдлаас гадна төсвийн сахилга бат, өрийн удирдлага, санхүүгийн болон эдийн засгийн голлох үзүүлэлтүүд, хөрөнгө оруулалт, гадаад секторын нөхцөл байдал, улс төр, нийгэм болон засаглалын орчин зэрэг хүчин зүйлсэд үндэслэн тогтоодог. Мөн улсын зээлжих зэрэглэл нь тухайн улс орны аж ахуйн нэгжүүд, санхүүгийн байгууллагуудын зээлжих зэрэглэлийн жишиг үнэлгээ болж өгдөг. </w:t>
      </w:r>
    </w:p>
    <w:p w14:paraId="108C9619" w14:textId="77777777" w:rsidR="00B052FA" w:rsidRPr="0046672D" w:rsidRDefault="00B052FA" w:rsidP="00B052FA">
      <w:pPr>
        <w:ind w:firstLine="360"/>
        <w:jc w:val="both"/>
        <w:rPr>
          <w:rFonts w:ascii="Arial" w:hAnsi="Arial" w:cs="Arial"/>
          <w:color w:val="4472C4" w:themeColor="accent1"/>
          <w:sz w:val="24"/>
          <w:szCs w:val="24"/>
          <w:lang w:val="mn-MN"/>
        </w:rPr>
      </w:pPr>
      <w:r w:rsidRPr="0046672D">
        <w:rPr>
          <w:rFonts w:ascii="Arial" w:hAnsi="Arial" w:cs="Arial"/>
          <w:bCs/>
          <w:sz w:val="24"/>
          <w:szCs w:val="24"/>
          <w:lang w:val="mn-MN"/>
        </w:rPr>
        <w:tab/>
      </w:r>
      <w:r w:rsidRPr="0046672D">
        <w:rPr>
          <w:rFonts w:ascii="Arial" w:hAnsi="Arial" w:cs="Arial"/>
          <w:sz w:val="24"/>
          <w:szCs w:val="24"/>
          <w:lang w:val="mn-MN"/>
        </w:rPr>
        <w:t>Монгол Улсын хувьд олон улсын санхүүгийн зах зээлд идэвхтэй оролцож хөрөнгө босгох, эдийн засгийн хөгжлийг дэмжихэд зээлжих зэрэглэлийн үнэлгээ чухал үүрэг гүйцэтгэж байна.</w:t>
      </w:r>
    </w:p>
    <w:p w14:paraId="7C670875"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Гадаад валютын албан нөөц нэмэгдэх, төсвийн алдагдал, цаашлаад Засгийн газрын өр буурах, өрийн удирдлагын зохистой бодлогыг хэрэгжүүлэх замаар өрийн дахин санхүүжилтийн эрсдэлийг бууруулах, гадаад өрийн хэмжээг тогтвортой хэмжээнд барих, эдийн засгийн өсөлт болон экспортыг тогтвортой байлгах зэрэг нь Монгол Улсын зээлжих зэрэглэлийг сайжруулахад гол нөлөөг үзүүлдэг. Харин зээлжих зэрэглэл буурахад дээрх хүчин зүйлсээс гадна Монгол Улсын төсвийн сахилга бат алдагдах, стратегийн ач холбогдол бүхий уул уурхайн томоохон төслүүд зогсох, нийгмийн болон улс төрийн тогтворгүй байдал зэрэг нь давхар сөргөөр нөлөөлж байдаг.</w:t>
      </w:r>
    </w:p>
    <w:p w14:paraId="17BC665E"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Монгол Улсын Сангийн яам 2019-2020 онуудад Фитч, Мүүдиз, Стандарт энд Пүүрс агентлагууд болон хөрөнгө оруулагчдад хагас жил тутам Монгол Улсын төсөв, санхүү, өрийн статистик мэдээллийг хүргүүлдэг бөгөөд Засгийн газрын бодлого, улс төр, нийгэм, засаглалын томоохон өөрчлөлтүүдийг тухай бүр мэдээлж ажилладаг. Харин зээлжих зэрэглэлийн үнэлгээг хийхэд Сангийн яам, Монголбанкнаас гадна Уул уурхай, хүнд үйлдвэрийн яам, ОУВС, Дэлхийн банк, Монгол Улсын эдийн засгийн хөгжлийг хөдөлгөгч томоохон аж ахуйн нэгжүүд, хараат бус эдийн засагч зэрэг олон талын байгууллага, хувь хүнтэй уулзалтуудыг зохион байгуулж, шаардлагатай мэдээллийг хүргэж байна. Стандарт энд Пүүрс болон Фитч агентлаг 2018 оноос хойш МУ-ын зээлжих зэрэглэлийг “B, тогтвортой” гэж үнэлснээс хойш жил бүр үнэлгээ хийж тогтвортой хэвээр хадгалж ирсэн. Харин Мүүдиз агентлаг зээлжих зэрэглэлийг 2020 онд </w:t>
      </w:r>
      <w:r w:rsidRPr="0046672D">
        <w:rPr>
          <w:rFonts w:ascii="Arial" w:hAnsi="Arial" w:cs="Arial"/>
          <w:sz w:val="24"/>
          <w:szCs w:val="24"/>
          <w:lang w:val="mn-MN"/>
        </w:rPr>
        <w:lastRenderedPageBreak/>
        <w:t xml:space="preserve">“B3, сөрөг” төлөв рүү оруулаад байсан ч 2021 оны 3 дугаар сарын 16-ны өдөр төлөвийг эргүүлэн “тогтвортой” гэж үнэлсэн байна. </w:t>
      </w:r>
    </w:p>
    <w:p w14:paraId="31AFF359" w14:textId="77777777" w:rsidR="00B052FA" w:rsidRPr="0046672D" w:rsidRDefault="00B052FA" w:rsidP="00B052FA">
      <w:pPr>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t xml:space="preserve">1.2 дахь арга хэмжээ: Гадаад зах зээлийн нөхцөл байдал, судалгаанд үндэслэн 2021, 2022, 2023 онд төлөгдөх гадаад үнэт цаасны тодорхой хэсгийг буцаан худалдан авах өрийн зохицуулалтын арга хэмжээг хэрэгжүүлсэн. </w:t>
      </w:r>
    </w:p>
    <w:p w14:paraId="461776F2"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 xml:space="preserve">Монгол Улсын Засгийн газар нь ирэх жилүүдэд төлөх Засгийн газрын гадаад өрийн үйлчилгээний төсөвт үзүүлэх ачааллыг урт хугацаанд тараан жигдлэх, өрийн багцын эргэн төлөлтийн дундаж хугацааг уртасгах, эдийн засаг, санхүү, төсвийн тогтвортой байдлыг хангах зорилгоор Засгийн газрын 2019-2022 оны өрийн стратегит нийцүүлэн  хугацаа нь тулаад байсан 10 жилийн хугацаатай, 1 тэрбум ам.долларын Чингис бонд, 800 сая ам.долларын Гэрэгэ бонд, 600 сая ам.долларын Мазаалай бондуудын өр төлбөрүүдийг дахин санхүүжилт хийж өрийн зохицуулалтын арга хэмжээг авч хэрэгжүүлсэн.  </w:t>
      </w:r>
    </w:p>
    <w:p w14:paraId="0D3B050C" w14:textId="77777777" w:rsidR="00B052FA" w:rsidRPr="0046672D" w:rsidRDefault="00B052FA" w:rsidP="00B052FA">
      <w:pPr>
        <w:spacing w:line="276" w:lineRule="auto"/>
        <w:ind w:firstLine="720"/>
        <w:jc w:val="both"/>
        <w:rPr>
          <w:rFonts w:ascii="Arial" w:hAnsi="Arial" w:cs="Arial"/>
          <w:sz w:val="24"/>
          <w:szCs w:val="24"/>
          <w:lang w:val="mn-MN"/>
        </w:rPr>
      </w:pPr>
      <w:r w:rsidRPr="0046672D">
        <w:rPr>
          <w:rFonts w:ascii="Arial" w:hAnsi="Arial" w:cs="Arial"/>
          <w:sz w:val="24"/>
          <w:szCs w:val="24"/>
          <w:lang w:val="mn-MN"/>
        </w:rPr>
        <w:t>Чингис, Мазаалай бондыг буцаан худалдан авах саналыг 2020 оны 9 дүгээр сарын 21-ээс 9 дүгээр сарын 25-ны өдрүүдэд хүлээн авч, 600 сая ам.долларын 5.5 жилийн хугацаатай “Номад”бондыг 2020 оны 9 дүгээр сарын 28-ны өдөр, 5.125 хувийн хүүтэйгээр олон улсын зах зээл дээр арилжаалсан. Уг бонд нь өрийн зохицуулалтын хүрээнд арилжаалсан Засгийн газрын гурав дахь гадаад бонд бөгөөд богино хугацаанд зах зээлийн хамгийн тохиромжтой нөхцөлд бага хүүтэйгээр арилжаалснаараа онцлог юм. “Сенчири” төслийн хүрээнд түүхэндээ хамгийн бага түвшний хүүтэйгээр буюу 6 жилийн хугацаатай 3.5 хувийн хүүтэй 500 сая ам.доллар, 10 жилийн хугацаатай 4.45 хувийн хүүтэй, 500 сая ам.доллар, нийт 1.0 тэрбум ам.долларын өрийн зохицуулалтыг амжилттайгаар авч хэрэгжүүлсэн бөгөөд Азийн зах зээл дээр шилдэг арилжаагаар нэрлэгдэж, Finance Asia сэтгүүлийн “Оны шилдэг Засгийн газрын бонд”, “Оны шилдэг хөгжиж буй зах зээлийн арилжаа” шагналуудыг аваад байна.</w:t>
      </w:r>
    </w:p>
    <w:p w14:paraId="2C3D5CC0" w14:textId="77777777" w:rsidR="00B052FA" w:rsidRPr="0046672D" w:rsidRDefault="00B052FA" w:rsidP="00B052FA">
      <w:pPr>
        <w:jc w:val="both"/>
        <w:rPr>
          <w:rFonts w:ascii="Arial" w:hAnsi="Arial" w:cs="Arial"/>
          <w:sz w:val="24"/>
          <w:szCs w:val="24"/>
          <w:lang w:val="mn-MN"/>
        </w:rPr>
      </w:pPr>
      <w:r w:rsidRPr="0046672D">
        <w:rPr>
          <w:rFonts w:ascii="Arial" w:hAnsi="Arial" w:cs="Arial"/>
          <w:sz w:val="24"/>
          <w:szCs w:val="24"/>
          <w:lang w:val="mn-MN"/>
        </w:rPr>
        <w:tab/>
        <w:t xml:space="preserve">Бонд гаргах ажиллагаанд Morgan Stanley, JPMorgan, Nomura, HSBC банкууд ажилласан. Засгийн газар, хөрөнгө оруулагчдыг төлөөлж ажиллах олон улсын хуулийн фирмээр Cleary Gottlieb, Mayer Brown, дотоодын хуулийн фирмээр Melville Erdenedalai, DB&amp;GTS зэрэг хуулийн фирмүүд ажилласан. </w:t>
      </w:r>
    </w:p>
    <w:p w14:paraId="491BFEDA" w14:textId="77777777" w:rsidR="00B052FA" w:rsidRPr="0046672D" w:rsidRDefault="00B052FA" w:rsidP="00B052FA">
      <w:pPr>
        <w:jc w:val="both"/>
        <w:rPr>
          <w:rFonts w:ascii="Arial" w:hAnsi="Arial" w:cs="Arial"/>
          <w:sz w:val="24"/>
          <w:szCs w:val="24"/>
          <w:lang w:val="mn-MN"/>
        </w:rPr>
      </w:pPr>
      <w:r w:rsidRPr="0046672D">
        <w:rPr>
          <w:rFonts w:ascii="Arial" w:hAnsi="Arial" w:cs="Arial"/>
          <w:sz w:val="24"/>
          <w:szCs w:val="24"/>
          <w:lang w:val="mn-MN"/>
        </w:rPr>
        <w:tab/>
      </w:r>
      <w:r w:rsidRPr="0046672D">
        <w:rPr>
          <w:rFonts w:ascii="Arial" w:hAnsi="Arial" w:cs="Arial"/>
          <w:sz w:val="24"/>
          <w:szCs w:val="24"/>
          <w:lang w:val="mn-MN" w:eastAsia="ja-JP"/>
        </w:rPr>
        <w:t xml:space="preserve">  Өрийн удирдлагын тухай хуулийн 26.10-д заасны дагуу өрийн зохицуулалттай холбоотой “Засгийн газрын гадаад үнэт цаасыг гаргах, арилжаалах журам”-ыг Засгийн газрын 2021 оны 03 дугаар сарын 17-ны 65 дугаар тогтоолоор баталсан. Тус журам батлагдсанаар олон улсын зах зээлд Засгийн газрын гадаад үнэт цаас (ЗГГҮЦ) гаргах, арилжаалахтай холбоотой бэлтгэл ажлыг хангах, ЗГГҮЦ гаргахад үйлчилгээ үзүүлэх талуудыг сонгон шалгаруулах үйл ажиллагаа, арилжаа зохион байгуулах, бүртгэх, тайлагнах, хөрөнгө оруулагчидтай харилцахтай холбоотой харилцааг зохицуулах бөгөөд Засгийн газрын гадаад үнэт цаас арилжаалах үйл явц ил тод, боловсронгуй зохион байгуулагдах нөхцөл боломжийг олгосон юм. </w:t>
      </w:r>
    </w:p>
    <w:p w14:paraId="520CC783" w14:textId="77777777" w:rsidR="00B052FA" w:rsidRPr="0046672D" w:rsidRDefault="00B052FA" w:rsidP="00B052FA">
      <w:pPr>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t xml:space="preserve">1.3 дахь арга хэмжээ: Засгийн газрын гадаад, дотоод үнэт цаас, зээлийн нийт 5.9 их наяд төгрөгийн төлбөрийг 2019-2021 онд эдийн засаг, төсөвт дарамт учруулахгүйгээр төлж барагдуулсан. </w:t>
      </w:r>
    </w:p>
    <w:p w14:paraId="4F4ED005"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 xml:space="preserve">Засгийн газрын зүгээс олон улсын байгууллага, нэг болон олон талт түнш, гадаад болон дотоодын хөрөнгө оруулагч хувийн аж ахуйн нэгж зэрэг зээлдүүлэгч талуудтай байгуулсан гэрээний хуваарийн дагуу 2019 онд 1,464.4 тэрбум төгрөг, 2020 онд 1,886.8 </w:t>
      </w:r>
      <w:r w:rsidRPr="0046672D">
        <w:rPr>
          <w:rFonts w:ascii="Arial" w:hAnsi="Arial" w:cs="Arial"/>
          <w:sz w:val="24"/>
          <w:szCs w:val="24"/>
          <w:lang w:val="mn-MN"/>
        </w:rPr>
        <w:lastRenderedPageBreak/>
        <w:t>тэрбум төгрөг, 2021 онд 2,562.1 тэрбум төгрөгийг шинээр арилжааны нөхцөлтэй зээл авахгүйгээр төлж барагдуулсан.</w:t>
      </w:r>
    </w:p>
    <w:p w14:paraId="1D8F2B15" w14:textId="77777777" w:rsidR="00B052FA" w:rsidRPr="0046672D" w:rsidRDefault="00B052FA" w:rsidP="00B052FA">
      <w:pPr>
        <w:pStyle w:val="Caption"/>
        <w:keepNext/>
        <w:spacing w:after="0"/>
        <w:ind w:firstLine="720"/>
        <w:rPr>
          <w:rFonts w:ascii="Arial" w:hAnsi="Arial" w:cs="Arial"/>
          <w:b/>
          <w:bCs/>
          <w:i w:val="0"/>
          <w:iCs w:val="0"/>
          <w:color w:val="auto"/>
          <w:sz w:val="24"/>
          <w:szCs w:val="24"/>
          <w:lang w:val="mn-MN"/>
        </w:rPr>
      </w:pPr>
      <w:bookmarkStart w:id="5" w:name="_Hlk98487385"/>
      <w:r w:rsidRPr="0046672D">
        <w:rPr>
          <w:rFonts w:ascii="Arial" w:hAnsi="Arial" w:cs="Arial"/>
          <w:color w:val="auto"/>
          <w:sz w:val="24"/>
          <w:szCs w:val="24"/>
          <w:lang w:val="mn-MN"/>
        </w:rPr>
        <w:t>Хүснэгт № 7. Засгийн газрын өрийн үйлчилгээ 2019-2021, тэрбум төгрөг</w:t>
      </w:r>
    </w:p>
    <w:tbl>
      <w:tblPr>
        <w:tblW w:w="9325" w:type="dxa"/>
        <w:tblInd w:w="-5" w:type="dxa"/>
        <w:tblLook w:val="04A0" w:firstRow="1" w:lastRow="0" w:firstColumn="1" w:lastColumn="0" w:noHBand="0" w:noVBand="1"/>
      </w:tblPr>
      <w:tblGrid>
        <w:gridCol w:w="3329"/>
        <w:gridCol w:w="1553"/>
        <w:gridCol w:w="1481"/>
        <w:gridCol w:w="1481"/>
        <w:gridCol w:w="1481"/>
      </w:tblGrid>
      <w:tr w:rsidR="00B052FA" w:rsidRPr="0046672D" w14:paraId="0778DC97" w14:textId="77777777" w:rsidTr="00673716">
        <w:trPr>
          <w:trHeight w:val="379"/>
        </w:trPr>
        <w:tc>
          <w:tcPr>
            <w:tcW w:w="33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748140"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Өрийн үйлчилгээ</w:t>
            </w:r>
          </w:p>
        </w:tc>
        <w:tc>
          <w:tcPr>
            <w:tcW w:w="1553" w:type="dxa"/>
            <w:tcBorders>
              <w:top w:val="single" w:sz="4" w:space="0" w:color="auto"/>
              <w:left w:val="nil"/>
              <w:bottom w:val="single" w:sz="4" w:space="0" w:color="auto"/>
              <w:right w:val="single" w:sz="4" w:space="0" w:color="auto"/>
            </w:tcBorders>
            <w:shd w:val="clear" w:color="auto" w:fill="E7E6E6" w:themeFill="background2"/>
            <w:vAlign w:val="center"/>
            <w:hideMark/>
          </w:tcPr>
          <w:p w14:paraId="488F25B4"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2019</w:t>
            </w:r>
          </w:p>
        </w:tc>
        <w:tc>
          <w:tcPr>
            <w:tcW w:w="1481" w:type="dxa"/>
            <w:tcBorders>
              <w:top w:val="single" w:sz="4" w:space="0" w:color="auto"/>
              <w:left w:val="nil"/>
              <w:bottom w:val="single" w:sz="4" w:space="0" w:color="auto"/>
              <w:right w:val="single" w:sz="4" w:space="0" w:color="auto"/>
            </w:tcBorders>
            <w:shd w:val="clear" w:color="auto" w:fill="E7E6E6" w:themeFill="background2"/>
            <w:vAlign w:val="center"/>
            <w:hideMark/>
          </w:tcPr>
          <w:p w14:paraId="36A63FBC"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2020</w:t>
            </w:r>
          </w:p>
        </w:tc>
        <w:tc>
          <w:tcPr>
            <w:tcW w:w="1481" w:type="dxa"/>
            <w:tcBorders>
              <w:top w:val="single" w:sz="4" w:space="0" w:color="auto"/>
              <w:left w:val="nil"/>
              <w:bottom w:val="single" w:sz="4" w:space="0" w:color="auto"/>
              <w:right w:val="single" w:sz="4" w:space="0" w:color="auto"/>
            </w:tcBorders>
            <w:shd w:val="clear" w:color="auto" w:fill="E7E6E6" w:themeFill="background2"/>
            <w:vAlign w:val="center"/>
          </w:tcPr>
          <w:p w14:paraId="22E7E4DE"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2021 УГ.</w:t>
            </w:r>
          </w:p>
        </w:tc>
        <w:tc>
          <w:tcPr>
            <w:tcW w:w="14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43DCC2" w14:textId="77777777" w:rsidR="00B052FA" w:rsidRPr="0046672D" w:rsidRDefault="00B052FA" w:rsidP="00673716">
            <w:pPr>
              <w:spacing w:after="0" w:line="240" w:lineRule="auto"/>
              <w:jc w:val="center"/>
              <w:rPr>
                <w:rFonts w:ascii="Arial" w:eastAsia="Times New Roman" w:hAnsi="Arial" w:cs="Arial"/>
                <w:b/>
                <w:sz w:val="24"/>
                <w:szCs w:val="24"/>
                <w:lang w:val="mn-MN"/>
              </w:rPr>
            </w:pPr>
            <w:r w:rsidRPr="0046672D">
              <w:rPr>
                <w:rFonts w:ascii="Arial" w:eastAsia="Times New Roman" w:hAnsi="Arial" w:cs="Arial"/>
                <w:b/>
                <w:sz w:val="24"/>
                <w:szCs w:val="24"/>
                <w:lang w:val="mn-MN"/>
              </w:rPr>
              <w:t>Нийт</w:t>
            </w:r>
          </w:p>
        </w:tc>
      </w:tr>
      <w:tr w:rsidR="00B052FA" w:rsidRPr="0046672D" w14:paraId="5A5C2AD9"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42B345BA" w14:textId="77777777" w:rsidR="00B052FA" w:rsidRPr="0046672D" w:rsidRDefault="00B052FA" w:rsidP="00673716">
            <w:pPr>
              <w:spacing w:after="0" w:line="240" w:lineRule="auto"/>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Үндсэн төлбөр</w:t>
            </w:r>
          </w:p>
        </w:tc>
        <w:tc>
          <w:tcPr>
            <w:tcW w:w="1553" w:type="dxa"/>
            <w:tcBorders>
              <w:top w:val="nil"/>
              <w:left w:val="nil"/>
              <w:bottom w:val="single" w:sz="4" w:space="0" w:color="auto"/>
              <w:right w:val="single" w:sz="4" w:space="0" w:color="auto"/>
            </w:tcBorders>
            <w:shd w:val="clear" w:color="auto" w:fill="auto"/>
            <w:noWrap/>
            <w:vAlign w:val="center"/>
            <w:hideMark/>
          </w:tcPr>
          <w:p w14:paraId="7286C53D"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603.4</w:t>
            </w:r>
          </w:p>
        </w:tc>
        <w:tc>
          <w:tcPr>
            <w:tcW w:w="1481" w:type="dxa"/>
            <w:tcBorders>
              <w:top w:val="nil"/>
              <w:left w:val="nil"/>
              <w:bottom w:val="single" w:sz="4" w:space="0" w:color="auto"/>
              <w:right w:val="single" w:sz="4" w:space="0" w:color="auto"/>
            </w:tcBorders>
            <w:shd w:val="clear" w:color="auto" w:fill="auto"/>
            <w:noWrap/>
            <w:vAlign w:val="center"/>
            <w:hideMark/>
          </w:tcPr>
          <w:p w14:paraId="374998BE"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954.0</w:t>
            </w:r>
          </w:p>
        </w:tc>
        <w:tc>
          <w:tcPr>
            <w:tcW w:w="1481" w:type="dxa"/>
            <w:tcBorders>
              <w:top w:val="single" w:sz="4" w:space="0" w:color="auto"/>
              <w:left w:val="nil"/>
              <w:bottom w:val="single" w:sz="4" w:space="0" w:color="auto"/>
              <w:right w:val="single" w:sz="4" w:space="0" w:color="auto"/>
            </w:tcBorders>
            <w:shd w:val="clear" w:color="auto" w:fill="auto"/>
          </w:tcPr>
          <w:p w14:paraId="1D7573F0"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1,604.0</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3DED7988"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3,161.4</w:t>
            </w:r>
          </w:p>
        </w:tc>
      </w:tr>
      <w:tr w:rsidR="00B052FA" w:rsidRPr="0046672D" w14:paraId="0CEBE348"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1CE4BBDF" w14:textId="77777777" w:rsidR="00B052FA" w:rsidRPr="0046672D" w:rsidRDefault="00B052FA" w:rsidP="00673716">
            <w:pPr>
              <w:spacing w:after="0" w:line="240" w:lineRule="auto"/>
              <w:ind w:firstLineChars="228" w:firstLine="547"/>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Гадаад үнэт цаас</w:t>
            </w:r>
          </w:p>
        </w:tc>
        <w:tc>
          <w:tcPr>
            <w:tcW w:w="1553" w:type="dxa"/>
            <w:tcBorders>
              <w:top w:val="nil"/>
              <w:left w:val="nil"/>
              <w:bottom w:val="single" w:sz="4" w:space="0" w:color="auto"/>
              <w:right w:val="single" w:sz="4" w:space="0" w:color="auto"/>
            </w:tcBorders>
            <w:shd w:val="clear" w:color="auto" w:fill="auto"/>
            <w:noWrap/>
            <w:vAlign w:val="center"/>
            <w:hideMark/>
          </w:tcPr>
          <w:p w14:paraId="0E082937"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w:t>
            </w:r>
          </w:p>
        </w:tc>
        <w:tc>
          <w:tcPr>
            <w:tcW w:w="1481" w:type="dxa"/>
            <w:tcBorders>
              <w:top w:val="nil"/>
              <w:left w:val="nil"/>
              <w:bottom w:val="single" w:sz="4" w:space="0" w:color="auto"/>
              <w:right w:val="single" w:sz="4" w:space="0" w:color="auto"/>
            </w:tcBorders>
            <w:shd w:val="clear" w:color="auto" w:fill="auto"/>
            <w:noWrap/>
            <w:vAlign w:val="center"/>
            <w:hideMark/>
          </w:tcPr>
          <w:p w14:paraId="6A21D63B"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w:t>
            </w:r>
          </w:p>
        </w:tc>
        <w:tc>
          <w:tcPr>
            <w:tcW w:w="1481" w:type="dxa"/>
            <w:tcBorders>
              <w:top w:val="single" w:sz="4" w:space="0" w:color="auto"/>
              <w:left w:val="nil"/>
              <w:bottom w:val="single" w:sz="4" w:space="0" w:color="auto"/>
              <w:right w:val="single" w:sz="4" w:space="0" w:color="auto"/>
            </w:tcBorders>
            <w:shd w:val="clear" w:color="auto" w:fill="auto"/>
          </w:tcPr>
          <w:p w14:paraId="2F247891"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377.8</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25321211"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377.8</w:t>
            </w:r>
          </w:p>
        </w:tc>
      </w:tr>
      <w:tr w:rsidR="00B052FA" w:rsidRPr="0046672D" w14:paraId="482D1E61"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507AF11C" w14:textId="77777777" w:rsidR="00B052FA" w:rsidRPr="0046672D" w:rsidRDefault="00B052FA" w:rsidP="00673716">
            <w:pPr>
              <w:spacing w:after="0" w:line="240" w:lineRule="auto"/>
              <w:ind w:firstLineChars="228" w:firstLine="547"/>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Гадаад зээл</w:t>
            </w:r>
          </w:p>
        </w:tc>
        <w:tc>
          <w:tcPr>
            <w:tcW w:w="1553" w:type="dxa"/>
            <w:tcBorders>
              <w:top w:val="nil"/>
              <w:left w:val="nil"/>
              <w:bottom w:val="single" w:sz="4" w:space="0" w:color="auto"/>
              <w:right w:val="single" w:sz="4" w:space="0" w:color="auto"/>
            </w:tcBorders>
            <w:shd w:val="clear" w:color="auto" w:fill="auto"/>
            <w:noWrap/>
            <w:vAlign w:val="center"/>
            <w:hideMark/>
          </w:tcPr>
          <w:p w14:paraId="1780A29B"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438.3</w:t>
            </w:r>
          </w:p>
        </w:tc>
        <w:tc>
          <w:tcPr>
            <w:tcW w:w="1481" w:type="dxa"/>
            <w:tcBorders>
              <w:top w:val="nil"/>
              <w:left w:val="nil"/>
              <w:bottom w:val="single" w:sz="4" w:space="0" w:color="auto"/>
              <w:right w:val="single" w:sz="4" w:space="0" w:color="auto"/>
            </w:tcBorders>
            <w:shd w:val="clear" w:color="auto" w:fill="auto"/>
            <w:noWrap/>
            <w:vAlign w:val="center"/>
            <w:hideMark/>
          </w:tcPr>
          <w:p w14:paraId="3CEAC935"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691.0</w:t>
            </w:r>
          </w:p>
        </w:tc>
        <w:tc>
          <w:tcPr>
            <w:tcW w:w="1481" w:type="dxa"/>
            <w:tcBorders>
              <w:top w:val="single" w:sz="4" w:space="0" w:color="auto"/>
              <w:left w:val="nil"/>
              <w:bottom w:val="single" w:sz="4" w:space="0" w:color="auto"/>
              <w:right w:val="single" w:sz="4" w:space="0" w:color="auto"/>
            </w:tcBorders>
            <w:shd w:val="clear" w:color="auto" w:fill="auto"/>
          </w:tcPr>
          <w:p w14:paraId="1635D93D"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732.8</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2ADBAA9D"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1862.1</w:t>
            </w:r>
          </w:p>
        </w:tc>
      </w:tr>
      <w:tr w:rsidR="00B052FA" w:rsidRPr="0046672D" w14:paraId="2A1746CD"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05F344CF" w14:textId="77777777" w:rsidR="00B052FA" w:rsidRPr="0046672D" w:rsidRDefault="00B052FA" w:rsidP="00673716">
            <w:pPr>
              <w:spacing w:after="0" w:line="240" w:lineRule="auto"/>
              <w:ind w:firstLineChars="228" w:firstLine="547"/>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Дотоод үнэт цаас</w:t>
            </w:r>
          </w:p>
        </w:tc>
        <w:tc>
          <w:tcPr>
            <w:tcW w:w="1553" w:type="dxa"/>
            <w:tcBorders>
              <w:top w:val="nil"/>
              <w:left w:val="nil"/>
              <w:bottom w:val="single" w:sz="4" w:space="0" w:color="auto"/>
              <w:right w:val="single" w:sz="4" w:space="0" w:color="auto"/>
            </w:tcBorders>
            <w:shd w:val="clear" w:color="auto" w:fill="auto"/>
            <w:noWrap/>
            <w:vAlign w:val="center"/>
            <w:hideMark/>
          </w:tcPr>
          <w:p w14:paraId="60A37D4F"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165.1</w:t>
            </w:r>
          </w:p>
        </w:tc>
        <w:tc>
          <w:tcPr>
            <w:tcW w:w="1481" w:type="dxa"/>
            <w:tcBorders>
              <w:top w:val="nil"/>
              <w:left w:val="nil"/>
              <w:bottom w:val="single" w:sz="4" w:space="0" w:color="auto"/>
              <w:right w:val="single" w:sz="4" w:space="0" w:color="auto"/>
            </w:tcBorders>
            <w:shd w:val="clear" w:color="auto" w:fill="auto"/>
            <w:noWrap/>
            <w:vAlign w:val="center"/>
            <w:hideMark/>
          </w:tcPr>
          <w:p w14:paraId="7B0B1DCE"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263.0</w:t>
            </w:r>
          </w:p>
        </w:tc>
        <w:tc>
          <w:tcPr>
            <w:tcW w:w="1481" w:type="dxa"/>
            <w:tcBorders>
              <w:top w:val="single" w:sz="4" w:space="0" w:color="auto"/>
              <w:left w:val="nil"/>
              <w:bottom w:val="single" w:sz="4" w:space="0" w:color="auto"/>
              <w:right w:val="single" w:sz="4" w:space="0" w:color="auto"/>
            </w:tcBorders>
            <w:shd w:val="clear" w:color="auto" w:fill="auto"/>
          </w:tcPr>
          <w:p w14:paraId="74836D6E"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493.4</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710A1011"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921.5</w:t>
            </w:r>
          </w:p>
        </w:tc>
      </w:tr>
      <w:tr w:rsidR="00B052FA" w:rsidRPr="0046672D" w14:paraId="5E9CF424"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5A03EC3B" w14:textId="77777777" w:rsidR="00B052FA" w:rsidRPr="0046672D" w:rsidRDefault="00B052FA" w:rsidP="00673716">
            <w:pPr>
              <w:spacing w:after="0" w:line="240" w:lineRule="auto"/>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Хүүгийн төлбөр</w:t>
            </w:r>
          </w:p>
        </w:tc>
        <w:tc>
          <w:tcPr>
            <w:tcW w:w="1553" w:type="dxa"/>
            <w:tcBorders>
              <w:top w:val="nil"/>
              <w:left w:val="nil"/>
              <w:bottom w:val="single" w:sz="4" w:space="0" w:color="auto"/>
              <w:right w:val="single" w:sz="4" w:space="0" w:color="auto"/>
            </w:tcBorders>
            <w:shd w:val="clear" w:color="auto" w:fill="auto"/>
            <w:noWrap/>
            <w:vAlign w:val="center"/>
            <w:hideMark/>
          </w:tcPr>
          <w:p w14:paraId="638A7164"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861.0</w:t>
            </w:r>
          </w:p>
        </w:tc>
        <w:tc>
          <w:tcPr>
            <w:tcW w:w="1481" w:type="dxa"/>
            <w:tcBorders>
              <w:top w:val="nil"/>
              <w:left w:val="nil"/>
              <w:bottom w:val="single" w:sz="4" w:space="0" w:color="auto"/>
              <w:right w:val="single" w:sz="4" w:space="0" w:color="auto"/>
            </w:tcBorders>
            <w:shd w:val="clear" w:color="auto" w:fill="auto"/>
            <w:noWrap/>
            <w:vAlign w:val="center"/>
            <w:hideMark/>
          </w:tcPr>
          <w:p w14:paraId="512D00FD"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932.8</w:t>
            </w:r>
          </w:p>
        </w:tc>
        <w:tc>
          <w:tcPr>
            <w:tcW w:w="1481" w:type="dxa"/>
            <w:tcBorders>
              <w:top w:val="single" w:sz="4" w:space="0" w:color="auto"/>
              <w:left w:val="nil"/>
              <w:bottom w:val="single" w:sz="4" w:space="0" w:color="auto"/>
              <w:right w:val="single" w:sz="4" w:space="0" w:color="auto"/>
            </w:tcBorders>
            <w:shd w:val="clear" w:color="auto" w:fill="auto"/>
          </w:tcPr>
          <w:p w14:paraId="468BC6D2"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958.1</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7B57491E"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2751.4</w:t>
            </w:r>
          </w:p>
        </w:tc>
      </w:tr>
      <w:tr w:rsidR="00B052FA" w:rsidRPr="0046672D" w14:paraId="7E8833B2"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464EE6D0" w14:textId="77777777" w:rsidR="00B052FA" w:rsidRPr="0046672D" w:rsidRDefault="00B052FA" w:rsidP="00673716">
            <w:pPr>
              <w:spacing w:after="0" w:line="240" w:lineRule="auto"/>
              <w:ind w:firstLineChars="228" w:firstLine="547"/>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Гадаад үнэт цаас</w:t>
            </w:r>
          </w:p>
        </w:tc>
        <w:tc>
          <w:tcPr>
            <w:tcW w:w="1553" w:type="dxa"/>
            <w:tcBorders>
              <w:top w:val="nil"/>
              <w:left w:val="nil"/>
              <w:bottom w:val="single" w:sz="4" w:space="0" w:color="auto"/>
              <w:right w:val="single" w:sz="4" w:space="0" w:color="auto"/>
            </w:tcBorders>
            <w:shd w:val="clear" w:color="auto" w:fill="auto"/>
            <w:noWrap/>
            <w:vAlign w:val="center"/>
            <w:hideMark/>
          </w:tcPr>
          <w:p w14:paraId="5BF99C51"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507.7</w:t>
            </w:r>
          </w:p>
        </w:tc>
        <w:tc>
          <w:tcPr>
            <w:tcW w:w="1481" w:type="dxa"/>
            <w:tcBorders>
              <w:top w:val="nil"/>
              <w:left w:val="nil"/>
              <w:bottom w:val="single" w:sz="4" w:space="0" w:color="auto"/>
              <w:right w:val="single" w:sz="4" w:space="0" w:color="auto"/>
            </w:tcBorders>
            <w:shd w:val="clear" w:color="auto" w:fill="auto"/>
            <w:noWrap/>
            <w:vAlign w:val="center"/>
            <w:hideMark/>
          </w:tcPr>
          <w:p w14:paraId="11EEB8B4"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577.8</w:t>
            </w:r>
          </w:p>
        </w:tc>
        <w:tc>
          <w:tcPr>
            <w:tcW w:w="1481" w:type="dxa"/>
            <w:tcBorders>
              <w:top w:val="single" w:sz="4" w:space="0" w:color="auto"/>
              <w:left w:val="nil"/>
              <w:bottom w:val="single" w:sz="4" w:space="0" w:color="auto"/>
              <w:right w:val="single" w:sz="4" w:space="0" w:color="auto"/>
            </w:tcBorders>
            <w:shd w:val="clear" w:color="auto" w:fill="auto"/>
          </w:tcPr>
          <w:p w14:paraId="0E308CBD"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597.8</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7793DCBD"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1683.3</w:t>
            </w:r>
          </w:p>
        </w:tc>
      </w:tr>
      <w:tr w:rsidR="00B052FA" w:rsidRPr="0046672D" w14:paraId="735F41FE"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4A342960" w14:textId="77777777" w:rsidR="00B052FA" w:rsidRPr="0046672D" w:rsidRDefault="00B052FA" w:rsidP="00673716">
            <w:pPr>
              <w:spacing w:after="0" w:line="240" w:lineRule="auto"/>
              <w:ind w:firstLineChars="228" w:firstLine="547"/>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Гадаад зээл</w:t>
            </w:r>
          </w:p>
        </w:tc>
        <w:tc>
          <w:tcPr>
            <w:tcW w:w="1553" w:type="dxa"/>
            <w:tcBorders>
              <w:top w:val="nil"/>
              <w:left w:val="nil"/>
              <w:bottom w:val="single" w:sz="4" w:space="0" w:color="auto"/>
              <w:right w:val="single" w:sz="4" w:space="0" w:color="auto"/>
            </w:tcBorders>
            <w:shd w:val="clear" w:color="auto" w:fill="auto"/>
            <w:noWrap/>
            <w:vAlign w:val="center"/>
            <w:hideMark/>
          </w:tcPr>
          <w:p w14:paraId="4E242F80"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167.5</w:t>
            </w:r>
          </w:p>
        </w:tc>
        <w:tc>
          <w:tcPr>
            <w:tcW w:w="1481" w:type="dxa"/>
            <w:tcBorders>
              <w:top w:val="nil"/>
              <w:left w:val="nil"/>
              <w:bottom w:val="single" w:sz="4" w:space="0" w:color="auto"/>
              <w:right w:val="single" w:sz="4" w:space="0" w:color="auto"/>
            </w:tcBorders>
            <w:shd w:val="clear" w:color="auto" w:fill="auto"/>
            <w:noWrap/>
            <w:vAlign w:val="center"/>
            <w:hideMark/>
          </w:tcPr>
          <w:p w14:paraId="5D3F235B"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197.9</w:t>
            </w:r>
          </w:p>
        </w:tc>
        <w:tc>
          <w:tcPr>
            <w:tcW w:w="1481" w:type="dxa"/>
            <w:tcBorders>
              <w:top w:val="single" w:sz="4" w:space="0" w:color="auto"/>
              <w:left w:val="nil"/>
              <w:bottom w:val="single" w:sz="4" w:space="0" w:color="auto"/>
              <w:right w:val="single" w:sz="4" w:space="0" w:color="auto"/>
            </w:tcBorders>
            <w:shd w:val="clear" w:color="auto" w:fill="auto"/>
          </w:tcPr>
          <w:p w14:paraId="5A3C3C70"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212.9</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53E7817C"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578.3</w:t>
            </w:r>
          </w:p>
        </w:tc>
      </w:tr>
      <w:tr w:rsidR="00B052FA" w:rsidRPr="0046672D" w14:paraId="21D44F8C"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2873A636" w14:textId="77777777" w:rsidR="00B052FA" w:rsidRPr="0046672D" w:rsidRDefault="00B052FA" w:rsidP="00673716">
            <w:pPr>
              <w:spacing w:after="0" w:line="240" w:lineRule="auto"/>
              <w:ind w:firstLineChars="228" w:firstLine="547"/>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Дотоод үнэт цаас</w:t>
            </w:r>
          </w:p>
        </w:tc>
        <w:tc>
          <w:tcPr>
            <w:tcW w:w="1553" w:type="dxa"/>
            <w:tcBorders>
              <w:top w:val="nil"/>
              <w:left w:val="nil"/>
              <w:bottom w:val="single" w:sz="4" w:space="0" w:color="auto"/>
              <w:right w:val="single" w:sz="4" w:space="0" w:color="auto"/>
            </w:tcBorders>
            <w:shd w:val="clear" w:color="auto" w:fill="auto"/>
            <w:noWrap/>
            <w:vAlign w:val="center"/>
            <w:hideMark/>
          </w:tcPr>
          <w:p w14:paraId="77BC1FAF"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185.8</w:t>
            </w:r>
          </w:p>
        </w:tc>
        <w:tc>
          <w:tcPr>
            <w:tcW w:w="1481" w:type="dxa"/>
            <w:tcBorders>
              <w:top w:val="nil"/>
              <w:left w:val="nil"/>
              <w:bottom w:val="single" w:sz="4" w:space="0" w:color="auto"/>
              <w:right w:val="single" w:sz="4" w:space="0" w:color="auto"/>
            </w:tcBorders>
            <w:shd w:val="clear" w:color="auto" w:fill="auto"/>
            <w:noWrap/>
            <w:vAlign w:val="center"/>
            <w:hideMark/>
          </w:tcPr>
          <w:p w14:paraId="07187404"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157.1</w:t>
            </w:r>
          </w:p>
        </w:tc>
        <w:tc>
          <w:tcPr>
            <w:tcW w:w="1481" w:type="dxa"/>
            <w:tcBorders>
              <w:top w:val="single" w:sz="4" w:space="0" w:color="auto"/>
              <w:left w:val="nil"/>
              <w:bottom w:val="single" w:sz="4" w:space="0" w:color="auto"/>
              <w:right w:val="single" w:sz="4" w:space="0" w:color="auto"/>
            </w:tcBorders>
            <w:shd w:val="clear" w:color="auto" w:fill="auto"/>
          </w:tcPr>
          <w:p w14:paraId="50275F3F"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147.4</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117DCAA8" w14:textId="77777777" w:rsidR="00B052FA" w:rsidRPr="0046672D" w:rsidRDefault="00B052FA" w:rsidP="00673716">
            <w:pPr>
              <w:spacing w:after="0" w:line="240" w:lineRule="auto"/>
              <w:jc w:val="right"/>
              <w:rPr>
                <w:rFonts w:ascii="Arial" w:eastAsia="Times New Roman" w:hAnsi="Arial" w:cs="Arial"/>
                <w:color w:val="000000"/>
                <w:sz w:val="24"/>
                <w:szCs w:val="24"/>
                <w:lang w:val="mn-MN"/>
              </w:rPr>
            </w:pPr>
            <w:r w:rsidRPr="0046672D">
              <w:rPr>
                <w:rFonts w:ascii="Arial" w:eastAsia="Times New Roman" w:hAnsi="Arial" w:cs="Arial"/>
                <w:color w:val="000000"/>
                <w:sz w:val="24"/>
                <w:szCs w:val="24"/>
                <w:lang w:val="mn-MN"/>
              </w:rPr>
              <w:t>489.8</w:t>
            </w:r>
          </w:p>
        </w:tc>
      </w:tr>
      <w:tr w:rsidR="00B052FA" w:rsidRPr="0046672D" w14:paraId="3D3EA1B0" w14:textId="77777777" w:rsidTr="00673716">
        <w:trPr>
          <w:trHeight w:val="284"/>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14:paraId="68FC7065" w14:textId="77777777" w:rsidR="00B052FA" w:rsidRPr="0046672D" w:rsidRDefault="00B052FA" w:rsidP="00673716">
            <w:pPr>
              <w:spacing w:after="0" w:line="240" w:lineRule="auto"/>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Нийт</w:t>
            </w:r>
          </w:p>
        </w:tc>
        <w:tc>
          <w:tcPr>
            <w:tcW w:w="1553" w:type="dxa"/>
            <w:tcBorders>
              <w:top w:val="nil"/>
              <w:left w:val="nil"/>
              <w:bottom w:val="single" w:sz="4" w:space="0" w:color="auto"/>
              <w:right w:val="single" w:sz="4" w:space="0" w:color="auto"/>
            </w:tcBorders>
            <w:shd w:val="clear" w:color="auto" w:fill="auto"/>
            <w:noWrap/>
            <w:vAlign w:val="center"/>
            <w:hideMark/>
          </w:tcPr>
          <w:p w14:paraId="3770B7EC"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1,464.4</w:t>
            </w:r>
          </w:p>
        </w:tc>
        <w:tc>
          <w:tcPr>
            <w:tcW w:w="1481" w:type="dxa"/>
            <w:tcBorders>
              <w:top w:val="nil"/>
              <w:left w:val="nil"/>
              <w:bottom w:val="single" w:sz="4" w:space="0" w:color="auto"/>
              <w:right w:val="single" w:sz="4" w:space="0" w:color="auto"/>
            </w:tcBorders>
            <w:shd w:val="clear" w:color="auto" w:fill="auto"/>
            <w:noWrap/>
            <w:vAlign w:val="center"/>
            <w:hideMark/>
          </w:tcPr>
          <w:p w14:paraId="7A4C9B6B"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1,886.8</w:t>
            </w:r>
          </w:p>
        </w:tc>
        <w:tc>
          <w:tcPr>
            <w:tcW w:w="1481" w:type="dxa"/>
            <w:tcBorders>
              <w:top w:val="single" w:sz="4" w:space="0" w:color="auto"/>
              <w:left w:val="nil"/>
              <w:bottom w:val="single" w:sz="4" w:space="0" w:color="auto"/>
              <w:right w:val="single" w:sz="4" w:space="0" w:color="auto"/>
            </w:tcBorders>
            <w:shd w:val="clear" w:color="auto" w:fill="auto"/>
          </w:tcPr>
          <w:p w14:paraId="67F34B09"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2,562.1</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14:paraId="7B927926" w14:textId="77777777" w:rsidR="00B052FA" w:rsidRPr="0046672D" w:rsidRDefault="00B052FA" w:rsidP="00673716">
            <w:pPr>
              <w:spacing w:after="0" w:line="240" w:lineRule="auto"/>
              <w:jc w:val="right"/>
              <w:rPr>
                <w:rFonts w:ascii="Arial" w:eastAsia="Times New Roman" w:hAnsi="Arial" w:cs="Arial"/>
                <w:b/>
                <w:color w:val="000000"/>
                <w:sz w:val="24"/>
                <w:szCs w:val="24"/>
                <w:lang w:val="mn-MN"/>
              </w:rPr>
            </w:pPr>
            <w:r w:rsidRPr="0046672D">
              <w:rPr>
                <w:rFonts w:ascii="Arial" w:eastAsia="Times New Roman" w:hAnsi="Arial" w:cs="Arial"/>
                <w:b/>
                <w:color w:val="000000"/>
                <w:sz w:val="24"/>
                <w:szCs w:val="24"/>
                <w:lang w:val="mn-MN"/>
              </w:rPr>
              <w:t>5,913.3</w:t>
            </w:r>
          </w:p>
        </w:tc>
      </w:tr>
    </w:tbl>
    <w:p w14:paraId="26CDB295" w14:textId="77777777" w:rsidR="00B052FA" w:rsidRPr="0046672D" w:rsidRDefault="00B052FA" w:rsidP="00B052FA">
      <w:pPr>
        <w:spacing w:after="0"/>
        <w:ind w:firstLine="720"/>
        <w:jc w:val="center"/>
        <w:rPr>
          <w:rStyle w:val="Strong"/>
          <w:rFonts w:ascii="Arial" w:hAnsi="Arial" w:cs="Arial"/>
          <w:sz w:val="24"/>
          <w:szCs w:val="24"/>
          <w:lang w:val="mn-MN"/>
        </w:rPr>
      </w:pPr>
      <w:r w:rsidRPr="0046672D">
        <w:rPr>
          <w:rFonts w:ascii="Arial" w:hAnsi="Arial" w:cs="Arial"/>
          <w:i/>
          <w:sz w:val="20"/>
          <w:szCs w:val="24"/>
          <w:lang w:val="mn-MN"/>
        </w:rPr>
        <w:t>Эх сурвалж: Сангийн яам</w:t>
      </w:r>
    </w:p>
    <w:bookmarkEnd w:id="5"/>
    <w:p w14:paraId="3C48C935" w14:textId="77777777" w:rsidR="00B052FA" w:rsidRPr="0046672D" w:rsidRDefault="00B052FA" w:rsidP="00B052FA">
      <w:pPr>
        <w:spacing w:after="0"/>
        <w:jc w:val="both"/>
        <w:rPr>
          <w:rFonts w:ascii="Arial" w:hAnsi="Arial" w:cs="Arial"/>
          <w:b/>
          <w:color w:val="002060"/>
          <w:sz w:val="24"/>
          <w:szCs w:val="24"/>
          <w:lang w:val="mn-MN"/>
        </w:rPr>
      </w:pPr>
    </w:p>
    <w:p w14:paraId="4F5BD03E" w14:textId="77777777" w:rsidR="00B052FA" w:rsidRPr="0046672D" w:rsidRDefault="00B052FA" w:rsidP="00B052FA">
      <w:pPr>
        <w:spacing w:after="0"/>
        <w:jc w:val="both"/>
        <w:rPr>
          <w:rFonts w:ascii="Arial" w:hAnsi="Arial" w:cs="Arial"/>
          <w:b/>
          <w:color w:val="002060"/>
          <w:sz w:val="24"/>
          <w:szCs w:val="24"/>
          <w:lang w:val="mn-MN"/>
        </w:rPr>
      </w:pPr>
      <w:r w:rsidRPr="0046672D">
        <w:rPr>
          <w:rFonts w:ascii="Arial" w:hAnsi="Arial" w:cs="Arial"/>
          <w:b/>
          <w:color w:val="002060"/>
          <w:sz w:val="24"/>
          <w:szCs w:val="24"/>
          <w:lang w:val="mn-MN"/>
        </w:rPr>
        <w:t>Зорилт 2. Гадаад зээллэгээр хэрэгжүүлэх төсөл, хөтөлбөрүүдэд зардал, үр өгөөжийн тооцооллыг хийж, зөвхөн үр ашигтай төслүүдийг санхүүжүүлэх зарчмыг баримтлан тэдгээрийн зарцуулалтад тавих хяналтыг сайжруулна.</w:t>
      </w:r>
    </w:p>
    <w:p w14:paraId="1050BA23" w14:textId="77777777" w:rsidR="00B052FA" w:rsidRPr="0046672D" w:rsidRDefault="00B052FA" w:rsidP="00B052FA">
      <w:pPr>
        <w:spacing w:after="0"/>
        <w:jc w:val="both"/>
        <w:rPr>
          <w:rFonts w:ascii="Arial" w:hAnsi="Arial" w:cs="Arial"/>
          <w:b/>
          <w:bCs/>
          <w:color w:val="002060"/>
          <w:sz w:val="24"/>
          <w:szCs w:val="24"/>
          <w:lang w:val="mn-MN"/>
        </w:rPr>
      </w:pPr>
    </w:p>
    <w:p w14:paraId="04017B81" w14:textId="77777777" w:rsidR="00B052FA" w:rsidRPr="0046672D" w:rsidRDefault="00B052FA" w:rsidP="00B052FA">
      <w:pPr>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t>2.1 дэх арга хэмжээ: Төсвийн алдагдлыг бууруулж, өрийн хэрэгслийг хязгаарлах замаар шинээр өр үүсгэх шаардлагыг багасгасан.</w:t>
      </w:r>
    </w:p>
    <w:p w14:paraId="47EBAC79" w14:textId="77777777" w:rsidR="00B052FA" w:rsidRPr="0046672D" w:rsidRDefault="00B052FA" w:rsidP="00B052FA">
      <w:pPr>
        <w:ind w:firstLine="360"/>
        <w:jc w:val="both"/>
        <w:rPr>
          <w:rStyle w:val="Strong"/>
          <w:rFonts w:ascii="Arial" w:hAnsi="Arial" w:cs="Arial"/>
          <w:b w:val="0"/>
          <w:sz w:val="24"/>
          <w:szCs w:val="24"/>
          <w:lang w:val="mn-MN"/>
        </w:rPr>
      </w:pPr>
      <w:r w:rsidRPr="0046672D">
        <w:rPr>
          <w:rFonts w:ascii="Arial" w:hAnsi="Arial" w:cs="Arial"/>
          <w:sz w:val="24"/>
          <w:szCs w:val="24"/>
          <w:lang w:val="mn-MN"/>
        </w:rPr>
        <w:tab/>
        <w:t>Зорилтын хүрээнд төсвийн алдагдлыг бууруулж, өрийн хэрэгслийг хязгаарлах замаар шинээр өр үүсгэх шаардлагыг багасгах арга хэмжээг хэрэгжүүлэхээр Стратегийн баримт бичигт тусгасан. Монгол Улсын 2019 оны төсвийн тухай хуулиар Монгол Улсын 2019 оны нэгдсэн төсөв 2,375.0 тэрбум төгрөгийн алдагдалтай батлагдсанаас 2019 оны жилийн эцсийн гүйцэтгэлээр 711.8 тэрбум төгрөгийн алдагдалтай, Монгол Улсын 2020 оны төсвийн тухай хуулиар Монгол Улсын 2020 оны нэгдсэн төсөв 5,252.7 тэрбум төгрөгийн алдагдалтай батлагдсанаас жилийн эцсийн гүйцэтгэлээр 4,440.4 тэрбум төгрөгийн алдагдалтай гарсан.  Түүнчлэн 2021  оны төсвийн тухай хуулиар Монгол Улсын 2021 оны нэгдсэн төсөв 4,001.2 тэрбум төгрөгийн алдагдалтай батлагдсанаас жилийн эцсийн гүйцэтгэлээр 2,908.8 тэрбум төгрөгийн алдагдалтай гарсан. Энэ нь жил бүр төлөвлөсөн дүнгээс төсвийн алдагдал бага гарсан үзүүлэлтүүд байгаа бөгөөд энэхүү дүнгээр шинээр үүсгэх байсан өрийн хэмжээ буурсан байна.</w:t>
      </w:r>
    </w:p>
    <w:p w14:paraId="37448908" w14:textId="77777777" w:rsidR="00B052FA" w:rsidRPr="0046672D" w:rsidRDefault="00B052FA" w:rsidP="00B052FA">
      <w:pPr>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t>2.2 дахь арга хэмжээ: Гадаад зээлийн хөрөнгөөр хэрэгжүүлэх төсөл хөтөлбөрүүдийг эрэмбэлж, зөвхөн үр ашигтай төслүүдийг санхүүжүүлэх зарчмыг баримталсан.</w:t>
      </w:r>
    </w:p>
    <w:p w14:paraId="5B49C109" w14:textId="77777777" w:rsidR="00B052FA" w:rsidRPr="0046672D" w:rsidRDefault="00B052FA" w:rsidP="00B052FA">
      <w:pPr>
        <w:pStyle w:val="paragraph"/>
        <w:shd w:val="clear" w:color="auto" w:fill="FFFFFF"/>
        <w:spacing w:before="0" w:beforeAutospacing="0" w:after="120" w:afterAutospacing="0" w:line="276" w:lineRule="auto"/>
        <w:ind w:firstLine="360"/>
        <w:jc w:val="both"/>
        <w:textAlignment w:val="baseline"/>
        <w:rPr>
          <w:rStyle w:val="Strong"/>
          <w:rFonts w:ascii="Arial" w:hAnsi="Arial" w:cs="Arial"/>
          <w:lang w:val="mn-MN"/>
        </w:rPr>
      </w:pPr>
      <w:r w:rsidRPr="0046672D">
        <w:rPr>
          <w:rFonts w:ascii="Arial" w:hAnsi="Arial" w:cs="Arial"/>
          <w:color w:val="333333"/>
          <w:lang w:val="mn-MN"/>
        </w:rPr>
        <w:tab/>
        <w:t>Засгийн газрын зүгээс хөгжлийн стратеги, бодлого, зорилт, тэргүүлэх чиглэлийн хүрээнд х</w:t>
      </w:r>
      <w:r w:rsidRPr="0046672D">
        <w:rPr>
          <w:rStyle w:val="normaltextrun"/>
          <w:rFonts w:ascii="Arial" w:eastAsiaTheme="majorEastAsia" w:hAnsi="Arial" w:cs="Arial"/>
          <w:shd w:val="clear" w:color="auto" w:fill="FFFFFF"/>
          <w:lang w:val="mn-MN"/>
        </w:rPr>
        <w:t xml:space="preserve">өгжлийн түншүүдтэй хөгжлийн хамтын ажиллагааны дунд хугацааны стратегийг хэрэгжүүлэн </w:t>
      </w:r>
      <w:r w:rsidRPr="0046672D">
        <w:rPr>
          <w:rFonts w:ascii="Arial" w:hAnsi="Arial" w:cs="Arial"/>
          <w:color w:val="333333"/>
          <w:lang w:val="mn-MN"/>
        </w:rPr>
        <w:t xml:space="preserve">Засгийн газрын шугамаар гадаад улс, олон улсын банк, санхүүгийн байгууллагаас авах зээлээр нийгэм, </w:t>
      </w:r>
      <w:r w:rsidRPr="0046672D">
        <w:rPr>
          <w:rStyle w:val="normaltextrun"/>
          <w:rFonts w:ascii="Arial" w:eastAsiaTheme="majorEastAsia" w:hAnsi="Arial" w:cs="Arial"/>
          <w:shd w:val="clear" w:color="auto" w:fill="FFFFFF"/>
          <w:lang w:val="mn-MN"/>
        </w:rPr>
        <w:t>эдийн</w:t>
      </w:r>
      <w:r w:rsidRPr="0046672D">
        <w:rPr>
          <w:rStyle w:val="normaltextrun"/>
          <w:rFonts w:ascii="Arial" w:eastAsiaTheme="majorEastAsia" w:hAnsi="Arial" w:cs="Arial"/>
          <w:b/>
          <w:shd w:val="clear" w:color="auto" w:fill="FFFFFF"/>
          <w:lang w:val="mn-MN"/>
        </w:rPr>
        <w:t xml:space="preserve"> </w:t>
      </w:r>
      <w:r w:rsidRPr="0046672D">
        <w:rPr>
          <w:rStyle w:val="normaltextrun"/>
          <w:rFonts w:ascii="Arial" w:eastAsiaTheme="majorEastAsia" w:hAnsi="Arial" w:cs="Arial"/>
          <w:shd w:val="clear" w:color="auto" w:fill="FFFFFF"/>
          <w:lang w:val="mn-MN"/>
        </w:rPr>
        <w:t>засгийн</w:t>
      </w:r>
      <w:r w:rsidRPr="0046672D">
        <w:rPr>
          <w:rStyle w:val="normaltextrun"/>
          <w:rFonts w:ascii="Arial" w:eastAsiaTheme="majorEastAsia" w:hAnsi="Arial" w:cs="Arial"/>
          <w:b/>
          <w:shd w:val="clear" w:color="auto" w:fill="FFFFFF"/>
          <w:lang w:val="mn-MN"/>
        </w:rPr>
        <w:t xml:space="preserve"> </w:t>
      </w:r>
      <w:r w:rsidRPr="0046672D">
        <w:rPr>
          <w:rStyle w:val="Strong"/>
          <w:rFonts w:ascii="Arial" w:hAnsi="Arial" w:cs="Arial"/>
          <w:lang w:val="mn-MN"/>
        </w:rPr>
        <w:t>үр ашигтай төсөл, арга хэмжээг санхүүжүүлэх зарчмыг баримтлан ажиллаж байна.</w:t>
      </w:r>
    </w:p>
    <w:p w14:paraId="377F5AE6" w14:textId="77777777" w:rsidR="00B052FA" w:rsidRPr="0046672D" w:rsidRDefault="00B052FA" w:rsidP="00B052FA">
      <w:pPr>
        <w:pStyle w:val="paragraph"/>
        <w:spacing w:before="0" w:beforeAutospacing="0" w:after="120" w:afterAutospacing="0" w:line="276" w:lineRule="auto"/>
        <w:ind w:firstLine="360"/>
        <w:jc w:val="both"/>
        <w:textAlignment w:val="baseline"/>
        <w:rPr>
          <w:rFonts w:ascii="Arial" w:hAnsi="Arial" w:cs="Arial"/>
          <w:b/>
          <w:lang w:val="mn-MN"/>
        </w:rPr>
      </w:pPr>
      <w:r w:rsidRPr="0046672D">
        <w:rPr>
          <w:rStyle w:val="normaltextrun"/>
          <w:rFonts w:ascii="Arial" w:eastAsiaTheme="majorEastAsia" w:hAnsi="Arial" w:cs="Arial"/>
          <w:shd w:val="clear" w:color="auto" w:fill="FFFFFF"/>
          <w:lang w:val="mn-MN"/>
        </w:rPr>
        <w:tab/>
        <w:t xml:space="preserve">Монгол Улсын 2019-2021 оны төсөвт гадаад зээлийн хөрөнгөөр хэрэгжүүлэх төсөл, арга хэмжээний зардлын эх үүсвэрийг ОУВС-тай хамтран хэрэгжүүлсэн “Өргөтгөсөн санхүүжилтийн хөтөлбөр”-өөр тохирсон төсвийн алдагдлын хэмжээг харгалзан,  зээлийн ерөнхий хэлэлцээр байгуулагдсан, тусгайлсан зээлийн хэлэлцээрээр эх үүсвэр баталгаажсан, нийгэм, эдийн засгийн үр ашигтай төсөл, арга </w:t>
      </w:r>
      <w:r w:rsidRPr="0046672D">
        <w:rPr>
          <w:rStyle w:val="normaltextrun"/>
          <w:rFonts w:ascii="Arial" w:eastAsiaTheme="majorEastAsia" w:hAnsi="Arial" w:cs="Arial"/>
          <w:shd w:val="clear" w:color="auto" w:fill="FFFFFF"/>
          <w:lang w:val="mn-MN"/>
        </w:rPr>
        <w:lastRenderedPageBreak/>
        <w:t>хэмжээ байх, үргэлжилж буй төслүүдийн хувьд тухайн жилд дуусгавар болох төсөл, арга хэмжээний санхүүжилтийг бүрэн тусгах, тэргүүлэх ач холбогдолтой болон үр ашигтай, амжилттай хэрэгжиж буй төсөл, арга хэмжээг дэмжих зарчим баримтлан төлөвлөж, хэрэгжилтэд хяналт тавьж  ажилласан. Гадаад зээлийн хөрөнгөөр 2019 онд 70 төсөл хэрэгжиж 1,215.5 тэрбум төгрөг, 2020 онд 87 төсөл хэрэгжиж 1,296.6 </w:t>
      </w:r>
      <w:r w:rsidRPr="0046672D">
        <w:rPr>
          <w:rStyle w:val="normaltextrun"/>
          <w:rFonts w:ascii="Arial" w:eastAsiaTheme="majorEastAsia" w:hAnsi="Arial" w:cs="Arial"/>
          <w:lang w:val="mn-MN"/>
        </w:rPr>
        <w:t> тэрбум төгрөг, 2021 онд 80 төсөл хэрэгжиж 1,330.0 тэрбум төгрөгийн ашиглалт гарсан.</w:t>
      </w:r>
    </w:p>
    <w:p w14:paraId="2BCF0139" w14:textId="156C4F7F" w:rsidR="00B052FA" w:rsidRPr="0046672D" w:rsidRDefault="00B052FA" w:rsidP="00B052FA">
      <w:pPr>
        <w:shd w:val="clear" w:color="auto" w:fill="FFFFFF"/>
        <w:spacing w:before="240" w:after="225" w:line="276" w:lineRule="auto"/>
        <w:ind w:firstLine="360"/>
        <w:jc w:val="both"/>
        <w:rPr>
          <w:rFonts w:ascii="Arial" w:hAnsi="Arial" w:cs="Arial"/>
          <w:sz w:val="24"/>
          <w:szCs w:val="24"/>
          <w:lang w:val="mn-MN"/>
        </w:rPr>
      </w:pPr>
      <w:r w:rsidRPr="0046672D">
        <w:rPr>
          <w:rFonts w:ascii="Arial" w:eastAsia="Times New Roman" w:hAnsi="Arial" w:cs="Arial"/>
          <w:color w:val="333333"/>
          <w:sz w:val="24"/>
          <w:szCs w:val="24"/>
          <w:lang w:val="mn-MN"/>
        </w:rPr>
        <w:tab/>
        <w:t>Мөн Сангийн яамнаас Дэлхийн банктай хамтран хэрэгжүүлж байгаа “Төсөв, санхүүгийн тогтвортой байдлыг бэхжүүлэх төсөл”-ийн хүрээнд “Монгол Улсын Засгийн газрын гадаад зээл, тусламжийн удирдлагын мэдээллийн нэгдсэн сан”-ийн цахим систем (</w:t>
      </w:r>
      <w:r w:rsidRPr="0046672D">
        <w:rPr>
          <w:rStyle w:val="Hyperlink"/>
          <w:rFonts w:ascii="Arial" w:eastAsia="Times New Roman" w:hAnsi="Arial" w:cs="Arial"/>
          <w:sz w:val="24"/>
          <w:szCs w:val="24"/>
          <w:lang w:val="mn-MN"/>
        </w:rPr>
        <w:t>www.odamis.mof.gov.mn)-ийг</w:t>
      </w:r>
      <w:r w:rsidRPr="0046672D">
        <w:rPr>
          <w:rFonts w:ascii="Arial" w:eastAsia="Times New Roman" w:hAnsi="Arial" w:cs="Arial"/>
          <w:color w:val="333333"/>
          <w:sz w:val="24"/>
          <w:szCs w:val="24"/>
          <w:lang w:val="mn-MN"/>
        </w:rPr>
        <w:t xml:space="preserve"> 2019 оны 8 дугаар сараас шинэчлэн боловсруулж, 2020 оны 12 дугаар сарын 1-ний өдөр үйл ажиллагааг эхлүүлж, нэвтрүүлээд байна.  Энэхүү цахим системд гадаад зээлийн төсөл, арга хэмжээг төлөвлөх, төсөвлөх, хэрэгжүүлэх үйл ажиллагааг удирдан зохион байгуулах, санхүүжилтийн эрх нээх, нэгдсэн бүртгэл хөтлөх, хэрэгжилтийн явцад хяналт тавих, үнэлэх, тайлагнах бөгөөд цахим системийг шинэчлэн хэрэгжүүлснээр </w:t>
      </w:r>
      <w:r w:rsidRPr="0046672D">
        <w:rPr>
          <w:rFonts w:ascii="Arial" w:hAnsi="Arial" w:cs="Arial"/>
          <w:sz w:val="24"/>
          <w:szCs w:val="24"/>
          <w:lang w:val="mn-MN"/>
        </w:rPr>
        <w:t xml:space="preserve">гадаад зээлийн төсөл, арга хэмжээний удирдлага, зохицуулалт сайжруулах, санхүүжилтийн үйл ажиллагааг шуурхай шийдвэрлэх,  хяналтыг өндөржүүлэх, үр дүнтэй хэрэгжүүлэх, ил тод байдлыг хангах, нэгдсэн мэдээллийн сан бүрдүүлэх нөхцөлийг бүрдүүлж байна. Мөн Засгийн газраас авч хэрэгжүүлсэн </w:t>
      </w:r>
      <w:r w:rsidR="00223B77" w:rsidRPr="0046672D">
        <w:rPr>
          <w:rFonts w:ascii="Arial" w:hAnsi="Arial" w:cs="Arial"/>
          <w:sz w:val="24"/>
          <w:szCs w:val="24"/>
          <w:lang w:val="mn-MN"/>
        </w:rPr>
        <w:t>алхмууд</w:t>
      </w:r>
      <w:r w:rsidRPr="0046672D">
        <w:rPr>
          <w:rFonts w:ascii="Arial" w:hAnsi="Arial" w:cs="Arial"/>
          <w:sz w:val="24"/>
          <w:szCs w:val="24"/>
          <w:lang w:val="mn-MN"/>
        </w:rPr>
        <w:t xml:space="preserve"> нь төрийн үйлчилгээг цахим болгох, онлайн хэлбэрт шилжүүлэхэд чухал арга хэмжээ болсон.  </w:t>
      </w:r>
    </w:p>
    <w:p w14:paraId="3F6EAF1D" w14:textId="77777777" w:rsidR="00B052FA" w:rsidRPr="0046672D" w:rsidRDefault="00B052FA" w:rsidP="00B052FA">
      <w:pPr>
        <w:pStyle w:val="paragraph"/>
        <w:shd w:val="clear" w:color="auto" w:fill="FFFFFF"/>
        <w:spacing w:before="240" w:beforeAutospacing="0" w:after="240" w:afterAutospacing="0" w:line="276" w:lineRule="auto"/>
        <w:ind w:firstLine="360"/>
        <w:jc w:val="both"/>
        <w:textAlignment w:val="baseline"/>
        <w:rPr>
          <w:rStyle w:val="normaltextrun"/>
          <w:rFonts w:ascii="Arial" w:eastAsiaTheme="minorHAnsi" w:hAnsi="Arial" w:cs="Arial"/>
          <w:color w:val="000000"/>
          <w:shd w:val="clear" w:color="auto" w:fill="FFFFFF"/>
          <w:lang w:val="mn-MN"/>
        </w:rPr>
      </w:pPr>
      <w:r w:rsidRPr="0046672D">
        <w:rPr>
          <w:rStyle w:val="normaltextrun"/>
          <w:rFonts w:ascii="Arial" w:eastAsiaTheme="majorEastAsia" w:hAnsi="Arial" w:cs="Arial"/>
          <w:color w:val="000000"/>
          <w:shd w:val="clear" w:color="auto" w:fill="FFFFFF"/>
          <w:lang w:val="mn-MN"/>
        </w:rPr>
        <w:tab/>
        <w:t>Засгийн газрын гадаад зээл, тусламжийн хөрөнгөөр хэрэгжиж буй төслүүдийн хэрэгжилтийг бүрэн хангах, эх үүсвэрийг үр ашигтай ашиглах, төслүүдийн санхүүжилтийг уян хатан, шуурхай шийдвэрлэх зорилгоор 2019 оноос эхлэн  гадаад зээл, тусламжийн санхүүжилт болон гэрээ, хэлэлцээрийн дагуу Монгол Улсын Засгийн газрын хариуцах санхүүжилтийн зардлыг Сангийн сайдын багцад тусгаж, Монгол Улсын 2019 оны төсвийн тухай хуулийг хэрэгжүүлэн ажилласан. Үүний үр дүнд амжилттай хэрэгжиж буй төслийн төсөвт тусгасан зардлын хязгаартаа хүрснээр санхүүжилт гаргах боломжгүй болдог хүндрэл арилж төслийн хэрэгжилт, гүйцэтгэл сайжирч төслүүдийн ашиглалт нэмэгдсэн.</w:t>
      </w:r>
      <w:r w:rsidRPr="0046672D">
        <w:rPr>
          <w:rFonts w:ascii="Arial" w:eastAsiaTheme="minorHAnsi" w:hAnsi="Arial" w:cs="Arial"/>
          <w:color w:val="000000"/>
          <w:shd w:val="clear" w:color="auto" w:fill="FFFFFF"/>
          <w:lang w:val="mn-MN"/>
        </w:rPr>
        <w:t xml:space="preserve"> </w:t>
      </w:r>
    </w:p>
    <w:p w14:paraId="1440C959" w14:textId="7D641989" w:rsidR="00B052FA" w:rsidRPr="0046672D" w:rsidRDefault="00B052FA" w:rsidP="00B052FA">
      <w:pPr>
        <w:pStyle w:val="paragraph"/>
        <w:shd w:val="clear" w:color="auto" w:fill="FFFFFF"/>
        <w:spacing w:before="0" w:beforeAutospacing="0" w:after="120" w:afterAutospacing="0" w:line="276" w:lineRule="auto"/>
        <w:ind w:firstLine="360"/>
        <w:jc w:val="both"/>
        <w:textAlignment w:val="baseline"/>
        <w:rPr>
          <w:rStyle w:val="normaltextrun"/>
          <w:rFonts w:ascii="Arial" w:eastAsiaTheme="majorEastAsia" w:hAnsi="Arial" w:cs="Arial"/>
          <w:lang w:val="mn-MN"/>
        </w:rPr>
      </w:pPr>
      <w:r w:rsidRPr="0046672D">
        <w:rPr>
          <w:rStyle w:val="normaltextrun"/>
          <w:rFonts w:ascii="Arial" w:eastAsiaTheme="majorEastAsia" w:hAnsi="Arial" w:cs="Arial"/>
          <w:lang w:val="mn-MN"/>
        </w:rPr>
        <w:tab/>
        <w:t>Засгийн газрын 2021 оны 07 дугаар сарын 20-ны өдрийн 211 дугаар тогтоолоор баталсан “Засгийн газрын гадаад зээлийн хөрөнгийг дамжуулан зээлдүүлэх журам” болон Сангийн сайдын 2015 оны 196 дугаар тушаалаар баталсан “Засгийн газрын гадаад зээлийн хөрөнгийг ашиглах, эдгээр хөрөнгөөр санхүүжих төсөл, арга хэмжээг хэрэгжүүлэх, зохион байгуулах, санхүүжүүлэх, хяналт тавих, үнэлэх журам”-ыг шинэчлэн Сангийн сайдын 2021 оны 1 дүгээр сарын 11-ний өдрийн 4 дүгээр тушаалаар батлуулан, захиргааны хэм хэмжээний актын улсын бүртгэлийн  5018 дугаарт бүртгүүлэн, мөрдүүлж эхлээд байна. </w:t>
      </w:r>
    </w:p>
    <w:p w14:paraId="14791EB2" w14:textId="77777777" w:rsidR="00B052FA" w:rsidRPr="0046672D" w:rsidRDefault="00B052FA" w:rsidP="00B052FA">
      <w:pPr>
        <w:pStyle w:val="paragraph"/>
        <w:shd w:val="clear" w:color="auto" w:fill="FFFFFF"/>
        <w:spacing w:before="240" w:beforeAutospacing="0" w:after="0" w:afterAutospacing="0" w:line="276" w:lineRule="auto"/>
        <w:ind w:firstLine="360"/>
        <w:jc w:val="both"/>
        <w:textAlignment w:val="baseline"/>
        <w:rPr>
          <w:rStyle w:val="eop"/>
          <w:rFonts w:ascii="Arial" w:hAnsi="Arial" w:cs="Arial"/>
          <w:lang w:val="mn-MN"/>
        </w:rPr>
      </w:pPr>
      <w:r w:rsidRPr="0046672D">
        <w:rPr>
          <w:rStyle w:val="normaltextrun"/>
          <w:rFonts w:ascii="Arial" w:eastAsiaTheme="majorEastAsia" w:hAnsi="Arial" w:cs="Arial"/>
          <w:lang w:val="mn-MN"/>
        </w:rPr>
        <w:tab/>
        <w:t xml:space="preserve">Тус журмуудын өөрчлөлтөөр төсөл, арга хэмжээний хэрэгжилт худалдан авах ажиллагааны процесс буюу аливаа ажлыг гүйцэтгэгч, нийлүүлэгч, зөвлөх компанийг сонгон шалгаруулахад ихээхэн цаг хугацаа алдсаны улмаас хойшлогддог тул уг нөхцөл байдлыг арилгах, шийдвэрлэх зорилгоор төсөл, арга хэмжээ хэрэгжиж эхэлснээс хойш </w:t>
      </w:r>
      <w:r w:rsidRPr="0046672D">
        <w:rPr>
          <w:rStyle w:val="normaltextrun"/>
          <w:rFonts w:ascii="Arial" w:eastAsiaTheme="majorEastAsia" w:hAnsi="Arial" w:cs="Arial"/>
          <w:lang w:val="mn-MN"/>
        </w:rPr>
        <w:lastRenderedPageBreak/>
        <w:t>1 жилийн хугацаанд худалдан авах ажиллагааг зохион байгуулж чадаагүй бол уг төсөл, арга хэмжээг зогсоох зохицуулалтыг тусгасан. Мөн төсөл, арга хэмжээний хэрэгжилт дуусахаас 6 сарын өмнө худалдан авах ажиллагааны төлөвлөгөөнд өөрчлөлт оруулан нэмэлт худалдан авалт зохион байгуулахыг хориглох замаар төсөл арга, хэмжээг цаг хугацаанд нь дуусгавар болгох, уг нэмэлт худалдан авах ажиллагаатай холбогдон үр ашиггүй урсгал зардал гаргахгүй байх гэх зэрэг заалтуудаас гадна дамжуулан зээлдүүлэх байгууллагуудад эрсдэлийн шинжилгээ үнэлгээ хийх, төслийн хэрэгжилтийг дамжуулан зээлдүүлсэн зээлээр төлөх боломжтой эсэхийг хянах тухай  тус тус журамд тусгасан. </w:t>
      </w:r>
      <w:r w:rsidRPr="0046672D">
        <w:rPr>
          <w:rStyle w:val="eop"/>
          <w:rFonts w:ascii="Arial" w:hAnsi="Arial" w:cs="Arial"/>
          <w:lang w:val="mn-MN"/>
        </w:rPr>
        <w:t> </w:t>
      </w:r>
    </w:p>
    <w:p w14:paraId="059B5175" w14:textId="77777777" w:rsidR="00B052FA" w:rsidRPr="0046672D" w:rsidRDefault="00B052FA" w:rsidP="00B052FA">
      <w:pPr>
        <w:pStyle w:val="paragraph"/>
        <w:shd w:val="clear" w:color="auto" w:fill="FFFFFF"/>
        <w:spacing w:before="240" w:beforeAutospacing="0" w:after="0" w:afterAutospacing="0" w:line="276" w:lineRule="auto"/>
        <w:ind w:firstLine="360"/>
        <w:jc w:val="both"/>
        <w:textAlignment w:val="baseline"/>
        <w:rPr>
          <w:rStyle w:val="eop"/>
          <w:rFonts w:ascii="Arial" w:hAnsi="Arial" w:cs="Arial"/>
          <w:lang w:val="mn-MN"/>
        </w:rPr>
      </w:pPr>
      <w:r w:rsidRPr="0046672D">
        <w:rPr>
          <w:rStyle w:val="eop"/>
          <w:rFonts w:ascii="Arial" w:hAnsi="Arial" w:cs="Arial"/>
          <w:lang w:val="mn-MN"/>
        </w:rPr>
        <w:tab/>
        <w:t xml:space="preserve">Түүнчлэн </w:t>
      </w:r>
      <w:r w:rsidRPr="0046672D">
        <w:rPr>
          <w:rFonts w:ascii="Arial" w:hAnsi="Arial" w:cs="Arial"/>
          <w:color w:val="000000" w:themeColor="text1"/>
          <w:lang w:val="mn-MN"/>
        </w:rPr>
        <w:t>Засгийн газрын өрийн баталгаа болон төрийн өмчит аж ахуйн нэгжүүдийн өр төлбөрөөс үүдэлтэй Засгийн газрын болзошгүй өр төлбөрийн эрсдэлийг бууруулах механизмыг бүрдүүлж, дамжуулан зээлдүүлсэн зээлийн хугацаа хэтэрсэн өр үүсэхээс сэргийлэх зорилгоор Сангийн сайдын 2021 оны 12 дугаар сарын 27-ны өдрийн 233 дугаар тушаалаар “Эрсдэлийн үнэлгээний аргачлал”-ыг баталсан.</w:t>
      </w:r>
    </w:p>
    <w:p w14:paraId="3290B139" w14:textId="77777777" w:rsidR="00B052FA" w:rsidRPr="0046672D" w:rsidRDefault="00B052FA" w:rsidP="00B052FA">
      <w:pPr>
        <w:pStyle w:val="paragraph"/>
        <w:shd w:val="clear" w:color="auto" w:fill="FFFFFF"/>
        <w:spacing w:before="240" w:beforeAutospacing="0" w:after="240" w:afterAutospacing="0" w:line="276" w:lineRule="auto"/>
        <w:ind w:firstLine="360"/>
        <w:jc w:val="both"/>
        <w:textAlignment w:val="baseline"/>
        <w:rPr>
          <w:rFonts w:ascii="Arial" w:eastAsiaTheme="minorHAnsi" w:hAnsi="Arial" w:cs="Arial"/>
          <w:color w:val="000000"/>
          <w:shd w:val="clear" w:color="auto" w:fill="FFFFFF"/>
          <w:lang w:val="mn-MN"/>
        </w:rPr>
      </w:pPr>
      <w:r w:rsidRPr="0046672D">
        <w:rPr>
          <w:rStyle w:val="normaltextrun"/>
          <w:rFonts w:ascii="Arial" w:eastAsiaTheme="majorEastAsia" w:hAnsi="Arial" w:cs="Arial"/>
          <w:lang w:val="mn-MN"/>
        </w:rPr>
        <w:tab/>
        <w:t>Ийнхүү Засгийн газрын гадаад зээлийн эрх зүйн зохицуулалтыг боловсронгуй болгосноор гадаад улс, олон улсын банк, санхүүгийн байгууллагаас авах зээлийг улс орны хөгжлийн стратеги, бодлого, зорилт, тэргүүлэх чиглэлтэй илүү нийцүүлэх, гадаад зээлийн хөрөнгөөр санхүүжих төсөл, арга хэмжээнд тавигдах шаардлагыг тодорхой болгох, зээлийн хөрөнгийг нэгдсэн удирдлага, зохион байгуулалтаар хангаж, төсөл, арга хэмжээний хэрэгжилтэд тавих хяналт сайжирч, оролцогч талуудын үүрэг, хариуцлага нэмэгдэн, ил тод байдлыг хангаж  гадаад зээлийг үр дүнтэй хэрэгжүүлэх боломж илүү бүрдэж байна.</w:t>
      </w:r>
    </w:p>
    <w:p w14:paraId="73EBA8A0" w14:textId="77777777" w:rsidR="00B052FA" w:rsidRPr="0046672D" w:rsidRDefault="00B052FA" w:rsidP="00B052FA">
      <w:pPr>
        <w:spacing w:after="240"/>
        <w:jc w:val="both"/>
        <w:rPr>
          <w:rStyle w:val="Strong"/>
          <w:rFonts w:ascii="Arial" w:hAnsi="Arial" w:cs="Arial"/>
          <w:b w:val="0"/>
          <w:color w:val="002060"/>
          <w:sz w:val="24"/>
          <w:szCs w:val="24"/>
          <w:lang w:val="mn-MN"/>
        </w:rPr>
      </w:pPr>
      <w:r w:rsidRPr="0046672D">
        <w:rPr>
          <w:rFonts w:ascii="Arial" w:hAnsi="Arial" w:cs="Arial"/>
          <w:b/>
          <w:color w:val="002060"/>
          <w:sz w:val="24"/>
          <w:szCs w:val="24"/>
          <w:lang w:val="mn-MN"/>
        </w:rPr>
        <w:t>Зорилт 3. Орчин үеийн технологийн дэвшлийг ашигласан Засгийн газрын үнэт цаасны арилжааны дэд бүтцийг бүрдүүлнэ. Гадаад, дотоодын хөрөнгө оруулагчдын арилжаанд оролцох боломжийг нэмэгдүүлж, зах зээлийн нээлттэй, өрсөлдөөнт, хүртээмжтэй байдлыг хангаж, Засгийн газрын үнэт цаасны хөрвөх чадварыг сайжруулна.</w:t>
      </w:r>
    </w:p>
    <w:p w14:paraId="32B108EC" w14:textId="77777777" w:rsidR="00B052FA" w:rsidRPr="0046672D" w:rsidRDefault="00B052FA" w:rsidP="00B052FA">
      <w:pPr>
        <w:spacing w:after="240"/>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t xml:space="preserve">3.1 дэх арга хэмжээ: Засгийн газрын дотоод үнэт цаасны зах зээлийг хөгжүүлэх чиглэлээр хууль эрх зүйн орчныг боловсронгуй болгов. </w:t>
      </w:r>
    </w:p>
    <w:p w14:paraId="4CB016E2"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Сангийн яамны зүгээс Засгийн газрын гадаад үнэт цаасны арилжааг нэгдсэн цахим системээр явуулах ажлын хүрээнд “Засгийн газрын дотоод үнэт цаасны анхдагч болон хоёрдогч үйл ажиллагааны журам”-ыг шинэчлэн боловсруулж Засгийн газрын “Журам батлах тухай” 2019 оны 2 дугаар сарын 20-ны өдрийн 77 дугаар тогтоолоор батлуулсан. Мөн Сангийн сайдын 2019 оны 12 дугаар сарын 25-ны өдрийн “Аргачлал батлах тухай” 280 дугаар тушаалаар “Засгийн газрын дотоод үнэт цаасны анхдагч, хоёрдогч зах зээлийн үнэ, өгөөж, хүү тооцох болон арилжааны хуваарилалтыг хийх, Засгийн газрын дотоод үнэт цаасыг хоёрдогч зах зээлээс буцаан худалдан авах аргачлал”-ыг тус тус шинэчлэн боловсруулан баталсан.</w:t>
      </w:r>
    </w:p>
    <w:p w14:paraId="1A6AAB14" w14:textId="77777777" w:rsidR="00B052FA" w:rsidRPr="0046672D" w:rsidRDefault="00B052FA" w:rsidP="00B052FA">
      <w:pPr>
        <w:ind w:firstLine="360"/>
        <w:jc w:val="both"/>
        <w:rPr>
          <w:rFonts w:ascii="Arial" w:hAnsi="Arial" w:cs="Arial"/>
          <w:color w:val="4472C4" w:themeColor="accent1"/>
          <w:sz w:val="24"/>
          <w:szCs w:val="24"/>
          <w:lang w:val="mn-MN"/>
        </w:rPr>
      </w:pPr>
      <w:r w:rsidRPr="0046672D">
        <w:rPr>
          <w:rFonts w:ascii="Arial" w:hAnsi="Arial" w:cs="Arial"/>
          <w:sz w:val="24"/>
          <w:szCs w:val="24"/>
          <w:lang w:val="mn-MN"/>
        </w:rPr>
        <w:tab/>
        <w:t>Дээрх журам болон аргачлал батлагдсанаар Засгийн газрын дотоод үнэт цаасны үйл ажиллагааг зохицуулж байсан 3 журмыг хүчингүй болгож, Засгийн газрын үнэт цаасыг олон нийтэд нээлттэй, тэгш хүртээмжтэй, өрсөлдөөнт зарчмаар явуулах эрх зүйн нэгдсэн тогтолцоог бий болж байгаа ач холбогдолтой.</w:t>
      </w:r>
      <w:r w:rsidRPr="0046672D">
        <w:rPr>
          <w:rFonts w:ascii="Arial" w:hAnsi="Arial" w:cs="Arial"/>
          <w:color w:val="4472C4" w:themeColor="accent1"/>
          <w:sz w:val="24"/>
          <w:szCs w:val="24"/>
          <w:lang w:val="mn-MN"/>
        </w:rPr>
        <w:tab/>
      </w:r>
    </w:p>
    <w:p w14:paraId="0931E2FB" w14:textId="77777777" w:rsidR="00B052FA" w:rsidRPr="0046672D" w:rsidRDefault="00B052FA" w:rsidP="00B052FA">
      <w:pPr>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lastRenderedPageBreak/>
        <w:t>3.2 дахь арга хэмжээ: Орчин үеийн технологийн дэвшлийг ашигласан Засгийн газрын үнэт цаасны арилжааны дэд бүтцийг хөгжүүлсэн.</w:t>
      </w:r>
    </w:p>
    <w:p w14:paraId="59DD59F3"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Засгийн газрын дотоод үнэт цаас (ЗГДҮЦ)-ны зах зээл нь өмнө нь бөөний болон жижиглэнгийн зах зээлээс бүрдэж байсан бөгөөд бөөний зах зээл дээр арилжааны банкнууд Монголбанкны банк хоорондын цахим арилжааны системийг ашиглан өрсөлдөөнт арилжаанд оролцон жигнэсэн дундаж хүүг тогтоож байсан бол жижиглэнгийн зах зээл нь бөөний арилжаанаас тогтсон жигнэсэн дундаж хүүтэй өрсөлдөөнт бус арилжаанд иргэд, аж ахуйн нэгжээс брокер дилерийн компаниудаар дамжуулан санал авч, Хөрөнгийн биржийн арилжааны системээр явагдаж байсан.</w:t>
      </w:r>
    </w:p>
    <w:p w14:paraId="1BD0A3E9"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Нийт үнэт цаасны 87.8 хувийг Монголбанкны бөөний арилжаа, 12.2 хувийг МХБ-ын жижиглэнгийн арилжаа тус тус эзэлж байсан.  Нээлттэй хэлбэрээр арилжаалсан үнэт цаасны 82.1 хувийг дотоодын арилжааны банкнууд, 9.4 хувийг дотоодын бусад аж ахуйн нэгжүүд, 6.7 хувийг гадаадын аж ахуйн нэгж, 1.5 хувийг дотоодын иргэд, 0.2 хувийг гадаадын иргэд тус тус худалдан авсан байна.  </w:t>
      </w:r>
    </w:p>
    <w:p w14:paraId="2E2CD2F3"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ЗГДҮЦ-ны бөөний болон жижиглэнгийн арилжааны дэд бүтцийг нэгтгэн нэг арилжааны сувгаар арилжаалах, арилжааг ил тод, шударга, зардал болон шат дамжлага багатай, иргэд аж ахуй нэгжүүдэд хүртээмжтэйгээр явуулах, хөрөнгийн зах зээлийн бэнчмарк жишиг хүүг өрсөлдөөнт арилжааны үр дүнд багаар тогтоох зорилгоор “Засгийн газрын дотоод үнэт цаасны анхдагч болон хоёрдогч зах зээлийн үйл ажиллагааны журам”-ыг Өрийн удирдлагын тухай хуульд нийцүүлэн шинэчлэн Засгийн газрын 2019 оны 77 дугаар тогтоолоор баталсан. </w:t>
      </w:r>
    </w:p>
    <w:p w14:paraId="08A57BB0"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Дэлхий нийтийн чиг хандлага санхүүгийн үйлчилгээг хямд, хялбар, шуурхай, хүртээмжтэй болгох зорилгоор блокчейн технологийг санхүүгийн үйлчилгээнд нэвтрүүлэх нь түгээмэл болж байна. Улмаар 2018 оны “Монголын эдийн засгийн форум” дээр Монголын дотоодын технологийн компани нь блокчейн технологи дээр суурилсан үнэт цаасны арилжааны платформыг зохион бүтээснийг танилцуулсан. Энэхүү цахим арилжааны систем нь үнэт цаасны арилжааг хөрөнгө оруулагчдад хүртээмжтэй, зардал багатай, шат дамжлагагүйгээр явуулах боломжийг зах зээлийн оролцогчдод олгох юм. </w:t>
      </w:r>
    </w:p>
    <w:p w14:paraId="4F86C662"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Засгийн газрын бөөний болон жижиглэнгийн арилжааны дэд бүтэц нь иргэд аж ахуйн нэгж арилжаанд оролцоход шат дамжлага ихтэй, мөн шимтгэл хураамжийн зардал харьцангуй өндөр байгаа нь зах зээлийн дэд бүтцийг шинэчлэн сайжруулах шаардлага бий болсон. </w:t>
      </w:r>
    </w:p>
    <w:p w14:paraId="00758754"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Сангийн яамны зүгээс дотоод үнэт цаасны арилжаанд оролцоход гардаг дээрх хүндрэлүүдийг  багасгах, иргэд, аж ахуйн нэгжийн арилжааны идэвхийг нэмэгдүүлэх зорилгоор блокчейн технологийг ашигласан арилжааны шинэ системийг улам боловсронгуй болгох ажлыг  Улаанбаатар хөрөнгийн бирж ХХК-тай хамтран 2021 онд хийж дууссан.  </w:t>
      </w:r>
    </w:p>
    <w:p w14:paraId="37D5604E" w14:textId="77777777" w:rsidR="00B052FA" w:rsidRPr="0046672D" w:rsidRDefault="00B052FA" w:rsidP="00B052FA">
      <w:pPr>
        <w:jc w:val="both"/>
        <w:rPr>
          <w:rFonts w:ascii="Arial" w:hAnsi="Arial" w:cs="Arial"/>
          <w:sz w:val="24"/>
          <w:szCs w:val="24"/>
          <w:lang w:val="mn-MN"/>
        </w:rPr>
      </w:pPr>
      <w:r w:rsidRPr="0046672D">
        <w:rPr>
          <w:rFonts w:ascii="Arial" w:hAnsi="Arial" w:cs="Arial"/>
          <w:b/>
          <w:color w:val="002060"/>
          <w:sz w:val="24"/>
          <w:szCs w:val="24"/>
          <w:lang w:val="mn-MN"/>
        </w:rPr>
        <w:t>Зорилт 4. Болзошгүй өр төлбөрийн төсөвт үзүүлэх нөлөөллийг үнэлэх, болзошгүй эрсдэлээс сэргийлэх тогтолцоог хөгжүүлнэ.</w:t>
      </w:r>
    </w:p>
    <w:p w14:paraId="0FDC726C" w14:textId="77777777" w:rsidR="00B052FA" w:rsidRPr="0046672D" w:rsidRDefault="00B052FA" w:rsidP="00B052FA">
      <w:pPr>
        <w:jc w:val="both"/>
        <w:rPr>
          <w:rFonts w:ascii="Arial" w:hAnsi="Arial" w:cs="Arial"/>
          <w:color w:val="4472C4" w:themeColor="accent1"/>
          <w:sz w:val="24"/>
          <w:szCs w:val="24"/>
          <w:lang w:val="mn-MN"/>
        </w:rPr>
      </w:pPr>
      <w:r w:rsidRPr="0046672D">
        <w:rPr>
          <w:rFonts w:ascii="Arial" w:hAnsi="Arial" w:cs="Arial"/>
          <w:color w:val="4472C4" w:themeColor="accent1"/>
          <w:sz w:val="24"/>
          <w:szCs w:val="24"/>
          <w:lang w:val="mn-MN"/>
        </w:rPr>
        <w:t xml:space="preserve">4.1 дэх арга хэмжээ: Засгийн газрын өрийн баталгаа, “барих-шилжүүлэх” төрлийн концесс, өрийн бичиг зэрэг өрийн хэрэгслээр өр үүсгэхгүй байх бодлогыг баримталсан. </w:t>
      </w:r>
    </w:p>
    <w:p w14:paraId="171E4F43"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 xml:space="preserve">Засгийн газрын зүгээс Төсвийн тогтвортой байдлын тухай хуульд заасан өрийн баталгааны хэмжээг нэмэгдүүлэхгүй байх, “барих-шилжүүлэх” төрлийн концессын гэрээ, </w:t>
      </w:r>
      <w:r w:rsidRPr="0046672D">
        <w:rPr>
          <w:rFonts w:ascii="Arial" w:hAnsi="Arial" w:cs="Arial"/>
          <w:sz w:val="24"/>
          <w:szCs w:val="24"/>
          <w:lang w:val="mn-MN"/>
        </w:rPr>
        <w:lastRenderedPageBreak/>
        <w:t>өрийн бичгээр болзошгүй өр төлбөр үүсгэхгүй байх бодлогыг Стратегийн баримт бичгийн хэрэгжилтийн хугацаанд баримталж ажилласан. Үүний хүрээнд Засгийн газрын өрийн баталгаа гаргуулах болон аливаа хүсэлтэд татгалзсан хариу өгч ажилласан бөгөөд мөн Засгийн газрын зүгээс шинээр “барих-шилжүүлэх” төрлийн концессын гэрээг 2017 оноос хойш байгуулаагүй.</w:t>
      </w:r>
    </w:p>
    <w:p w14:paraId="00D36F65"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Засгийн газрын зүгээс баталгаанаас үүсэх болзошгүй өр төлбөрийг багасгах, Засгийн газрын өрийн Дотоодын нийт бүтээгдэхүүнд эзлэх хувь хэмжээг бууруулах зорилгын хүрээнд өрийн баталгаа нэмж гаргахгүй байх бодлогыг хэрэгжүүлсээр байна. Түүнчлэн Засгийн газрын өрийн баталгаатай холбоотой харилцааг Монгол Улсын Засгийн газрын 2015 оны 146 дугаар тогтоол, Сангийн сайдын 2015 оны 94 дүгээр тушаалаар баталсан журмаар зохицуулж байсныг нэгтгэн, нэг эрх зүйн актаар зохицуулах нь ӨУТХ-ийн 35.6, 35.10-т нийцэж байсан тул “Засгийн газрын өрийн баталгааны дагуу байгуулах гэрээ, түүнд тавих шаардлага, авлага барагдуулах журам”-ыг 2021 оны 07 сарын 20-ны өдрийн 210 дугаар тогтоолоор шинэчлэн батлуулсан. Дараах журмын зохицуулалтыг нэгтгэж шинэчилснээр Засгийн газрын баталгаа бүхий төсөл, арга хэмжээнд жил бүр эрсдэлийн үнэлгээ хийх, баталгаа гаргуулагчийн хувьд үүсэж болох байгууллагын эрсдэлээс сэргийлэх зэрэг өөрчлөлтийг хийсэн.</w:t>
      </w:r>
    </w:p>
    <w:p w14:paraId="4A65360E" w14:textId="77777777" w:rsidR="00B052FA" w:rsidRPr="0046672D" w:rsidRDefault="00B052FA" w:rsidP="00B052FA">
      <w:pPr>
        <w:spacing w:after="240"/>
        <w:jc w:val="both"/>
        <w:rPr>
          <w:rFonts w:ascii="Arial" w:hAnsi="Arial" w:cs="Arial"/>
          <w:b/>
          <w:color w:val="002060"/>
          <w:sz w:val="24"/>
          <w:szCs w:val="24"/>
          <w:lang w:val="mn-MN"/>
        </w:rPr>
      </w:pPr>
      <w:r w:rsidRPr="0046672D">
        <w:rPr>
          <w:rFonts w:ascii="Arial" w:hAnsi="Arial" w:cs="Arial"/>
          <w:b/>
          <w:color w:val="002060"/>
          <w:sz w:val="24"/>
          <w:szCs w:val="24"/>
          <w:lang w:val="mn-MN"/>
        </w:rPr>
        <w:t>Зорилт 5. Засгийн газрын өрийн удирдлагын тогтолцоог сайжруулж, орчин үеийн чиг хандлагад нийцүүлэх.</w:t>
      </w:r>
    </w:p>
    <w:p w14:paraId="27D7920D" w14:textId="77777777" w:rsidR="00B052FA" w:rsidRPr="0046672D" w:rsidRDefault="00B052FA" w:rsidP="00B052FA">
      <w:pPr>
        <w:jc w:val="both"/>
        <w:rPr>
          <w:rStyle w:val="Strong"/>
          <w:rFonts w:ascii="Arial" w:hAnsi="Arial" w:cs="Arial"/>
          <w:b w:val="0"/>
          <w:color w:val="4472C4" w:themeColor="accent1"/>
          <w:sz w:val="24"/>
          <w:szCs w:val="24"/>
          <w:lang w:val="mn-MN"/>
        </w:rPr>
      </w:pPr>
      <w:r w:rsidRPr="0046672D">
        <w:rPr>
          <w:rFonts w:ascii="Arial" w:hAnsi="Arial" w:cs="Arial"/>
          <w:color w:val="4472C4" w:themeColor="accent1"/>
          <w:sz w:val="24"/>
          <w:szCs w:val="24"/>
          <w:lang w:val="mn-MN"/>
        </w:rPr>
        <w:t xml:space="preserve">5.1 дэх арга хэмжээ Засгийн газрын өрийн удирдлагын одоогийн нөхцөл байдлыг олон улсын байгууллагаар үнэлүүлэн, уг үнэлгээнд үндэслэн Өрийн удирдлагын тогтолцооны болон үйл ажиллагааны хөгжлийн төлөвлөгөөг батлан хэрэгжүүлж байна. </w:t>
      </w:r>
    </w:p>
    <w:p w14:paraId="140ACF4C"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Сангийн яамны зүгээс юуны түрүүнд Засгийн газрын өрийн удирдлагын одоогийн нөхцөл байдлыг холбогдох олон улсын байгууллагаар үнэлүүлэн, уг үнэлгээг үндэслэн Өрийн удирдлагын тогтолцооны болон үйл ажиллагааны хөгжлийн төлөвлөгөөг боловсруулан хэрэгжүүлэхээр төлөвлөсөн. Үүний хүрээнд Дэлхийн банкны өрийн удирдлагын гүйцэтгэлийн үнэлгээ (DEMPA)-г 2019 оны байдлаар хийлгүүлэхээр 2019 оны 9 дүгээр сард хүсэлт тавьсны дагуу Дэлхийн банкны ажлын хэсэг 2020 оны 1 дүгээр сард Монгол Улсад ирж ажилласан бөгөөд ажлын хэсгийн дүгнэлт 2020 оны 6 дугаар сард гарсан.</w:t>
      </w:r>
    </w:p>
    <w:p w14:paraId="7DBF5087" w14:textId="77777777" w:rsidR="00B052FA" w:rsidRPr="0046672D" w:rsidRDefault="00B052FA" w:rsidP="00B052FA">
      <w:pPr>
        <w:ind w:firstLine="360"/>
        <w:jc w:val="both"/>
        <w:rPr>
          <w:rFonts w:ascii="Arial" w:hAnsi="Arial" w:cs="Arial"/>
          <w:sz w:val="24"/>
          <w:szCs w:val="24"/>
          <w:lang w:val="mn-MN"/>
        </w:rPr>
      </w:pPr>
      <w:r w:rsidRPr="0046672D">
        <w:rPr>
          <w:rFonts w:ascii="Arial" w:hAnsi="Arial" w:cs="Arial"/>
          <w:sz w:val="24"/>
          <w:szCs w:val="24"/>
          <w:lang w:val="mn-MN"/>
        </w:rPr>
        <w:tab/>
        <w:t>Тус ажлын хэсгийн DEMPA үнэлгээний дүгнэлтийг үндэслэн Сангийн сайдын 2020 оны 9 дүгээр сарын 30-ны өдрийн 188 дугаар тушаалаар “Өрийн удирдлагын тогтолцооны болон үйл ажиллагааны хөгжлийн төлөвлөгөө” болон тус төлөвлөгөөг хэрэгжүүлэх удирдамжийг боловсруулан баталсан. Тус төлөвлөгөөнд олон улсын байгууллагын үнэлгээний дагуу хэрэгжүүлэх шаардлагатай 14 бүрэлдэхүүн хэсгийн хүрээний 94 арга хэмжээг тусгасан бөгөөд 2020-2022 оны хооронд хэрэгжүүлэхээр төлөвлөсөн. Дээрх арга хэмжээг авч хэрэгжүүлснээр Өрийн удирдлагын хууль эрх зүйн орчин, бодлого, стратеги, бүртгэл тайлагналт, хөрөнгө оруулагчидтай харилцах харилцаа дээрх 14 бүрэлдэхүүн хэсэг сайжрах, улмаар дотоодын болон олон улсын зах зээлээс хямд нөхцөлтэй эх үүсвэр татах нөхцөл бүрдэх, мөнгөний болон төсвийн бодлого, өрийн удирдлагын уялдаатай байдал сайжрах зэрэг олон эерэг үр дүнг үзүүлнэ.</w:t>
      </w:r>
    </w:p>
    <w:p w14:paraId="2F81348B" w14:textId="77777777" w:rsidR="00B052FA" w:rsidRPr="0046672D" w:rsidRDefault="00B052FA" w:rsidP="00B052FA">
      <w:pPr>
        <w:spacing w:line="360" w:lineRule="auto"/>
        <w:ind w:firstLine="360"/>
        <w:jc w:val="both"/>
        <w:rPr>
          <w:rFonts w:ascii="Arial" w:hAnsi="Arial" w:cs="Arial"/>
          <w:b/>
          <w:sz w:val="24"/>
          <w:szCs w:val="24"/>
          <w:lang w:val="mn-MN"/>
        </w:rPr>
      </w:pPr>
      <w:r w:rsidRPr="0046672D">
        <w:rPr>
          <w:rFonts w:ascii="Arial" w:hAnsi="Arial" w:cs="Arial"/>
          <w:b/>
          <w:sz w:val="24"/>
          <w:szCs w:val="24"/>
          <w:lang w:val="mn-MN"/>
        </w:rPr>
        <w:t>3.2 Засгийн газрын өрийн багц дахь зардал эрсдэлийн шинжилгээ</w:t>
      </w:r>
    </w:p>
    <w:p w14:paraId="0AC988BF"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lastRenderedPageBreak/>
        <w:t>Засгийн газрын өрийн багцад хийсэн зардал эрсдэлийн шинжилгээний үр дүнг дараах хүснэгтэд харууллаа.</w:t>
      </w:r>
    </w:p>
    <w:p w14:paraId="708FCF77" w14:textId="77777777" w:rsidR="00B052FA" w:rsidRPr="0046672D" w:rsidRDefault="00B052FA" w:rsidP="00B052FA">
      <w:pPr>
        <w:spacing w:after="0"/>
        <w:ind w:firstLine="720"/>
        <w:jc w:val="both"/>
        <w:rPr>
          <w:rFonts w:ascii="Arial" w:hAnsi="Arial" w:cs="Arial"/>
          <w:sz w:val="24"/>
          <w:szCs w:val="24"/>
          <w:lang w:val="mn-MN"/>
        </w:rPr>
      </w:pPr>
      <w:r w:rsidRPr="0046672D">
        <w:rPr>
          <w:rFonts w:ascii="Arial" w:hAnsi="Arial" w:cs="Arial"/>
          <w:i/>
          <w:iCs/>
          <w:color w:val="000000" w:themeColor="text1"/>
          <w:sz w:val="24"/>
          <w:szCs w:val="24"/>
          <w:lang w:val="mn-MN"/>
        </w:rPr>
        <w:t xml:space="preserve"> </w:t>
      </w:r>
      <w:bookmarkStart w:id="6" w:name="_Hlk98487402"/>
      <w:r w:rsidRPr="0046672D">
        <w:rPr>
          <w:rFonts w:ascii="Arial" w:hAnsi="Arial" w:cs="Arial"/>
          <w:i/>
          <w:iCs/>
          <w:color w:val="000000" w:themeColor="text1"/>
          <w:sz w:val="24"/>
          <w:szCs w:val="24"/>
          <w:lang w:val="mn-MN"/>
        </w:rPr>
        <w:t>Хүснэгт № 8. Засгийн газрын өрийн багцын шинжилгээ</w:t>
      </w:r>
    </w:p>
    <w:tbl>
      <w:tblPr>
        <w:tblW w:w="9346" w:type="dxa"/>
        <w:tblLook w:val="04A0" w:firstRow="1" w:lastRow="0" w:firstColumn="1" w:lastColumn="0" w:noHBand="0" w:noVBand="1"/>
      </w:tblPr>
      <w:tblGrid>
        <w:gridCol w:w="3520"/>
        <w:gridCol w:w="1380"/>
        <w:gridCol w:w="1044"/>
        <w:gridCol w:w="992"/>
        <w:gridCol w:w="1134"/>
        <w:gridCol w:w="1276"/>
      </w:tblGrid>
      <w:tr w:rsidR="00B052FA" w:rsidRPr="0046672D" w14:paraId="2E21B94C" w14:textId="77777777" w:rsidTr="00673716">
        <w:trPr>
          <w:trHeight w:val="234"/>
        </w:trPr>
        <w:tc>
          <w:tcPr>
            <w:tcW w:w="352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5816FE64"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Үзүүлэлт</w:t>
            </w:r>
          </w:p>
        </w:tc>
        <w:tc>
          <w:tcPr>
            <w:tcW w:w="1380" w:type="dxa"/>
            <w:tcBorders>
              <w:top w:val="single" w:sz="8" w:space="0" w:color="auto"/>
              <w:left w:val="nil"/>
              <w:bottom w:val="single" w:sz="8" w:space="0" w:color="auto"/>
              <w:right w:val="single" w:sz="8" w:space="0" w:color="auto"/>
            </w:tcBorders>
            <w:shd w:val="clear" w:color="000000" w:fill="E7E6E6"/>
            <w:vAlign w:val="center"/>
            <w:hideMark/>
          </w:tcPr>
          <w:p w14:paraId="052A2D68"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Түвшин</w:t>
            </w:r>
          </w:p>
        </w:tc>
        <w:tc>
          <w:tcPr>
            <w:tcW w:w="1044" w:type="dxa"/>
            <w:tcBorders>
              <w:top w:val="single" w:sz="8" w:space="0" w:color="auto"/>
              <w:left w:val="nil"/>
              <w:bottom w:val="single" w:sz="8" w:space="0" w:color="auto"/>
              <w:right w:val="single" w:sz="8" w:space="0" w:color="auto"/>
            </w:tcBorders>
            <w:shd w:val="clear" w:color="000000" w:fill="E7E6E6"/>
            <w:noWrap/>
            <w:vAlign w:val="center"/>
            <w:hideMark/>
          </w:tcPr>
          <w:p w14:paraId="3E1C918C"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2019</w:t>
            </w:r>
          </w:p>
        </w:tc>
        <w:tc>
          <w:tcPr>
            <w:tcW w:w="992" w:type="dxa"/>
            <w:tcBorders>
              <w:top w:val="single" w:sz="8" w:space="0" w:color="auto"/>
              <w:left w:val="nil"/>
              <w:bottom w:val="single" w:sz="8" w:space="0" w:color="auto"/>
              <w:right w:val="single" w:sz="8" w:space="0" w:color="auto"/>
            </w:tcBorders>
            <w:shd w:val="clear" w:color="000000" w:fill="E7E6E6"/>
            <w:noWrap/>
            <w:vAlign w:val="center"/>
            <w:hideMark/>
          </w:tcPr>
          <w:p w14:paraId="69088C7C"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2020</w:t>
            </w:r>
          </w:p>
        </w:tc>
        <w:tc>
          <w:tcPr>
            <w:tcW w:w="1134" w:type="dxa"/>
            <w:tcBorders>
              <w:top w:val="single" w:sz="8" w:space="0" w:color="auto"/>
              <w:left w:val="nil"/>
              <w:bottom w:val="single" w:sz="8" w:space="0" w:color="auto"/>
              <w:right w:val="single" w:sz="8" w:space="0" w:color="auto"/>
            </w:tcBorders>
            <w:shd w:val="clear" w:color="000000" w:fill="E7E6E6"/>
            <w:vAlign w:val="center"/>
            <w:hideMark/>
          </w:tcPr>
          <w:p w14:paraId="08026F14"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2021</w:t>
            </w:r>
          </w:p>
        </w:tc>
        <w:tc>
          <w:tcPr>
            <w:tcW w:w="1276" w:type="dxa"/>
            <w:tcBorders>
              <w:top w:val="single" w:sz="8" w:space="0" w:color="auto"/>
              <w:left w:val="nil"/>
              <w:bottom w:val="single" w:sz="8" w:space="0" w:color="auto"/>
              <w:right w:val="single" w:sz="8" w:space="0" w:color="auto"/>
            </w:tcBorders>
            <w:shd w:val="clear" w:color="000000" w:fill="E7E6E6"/>
            <w:vAlign w:val="center"/>
            <w:hideMark/>
          </w:tcPr>
          <w:p w14:paraId="606C19AC"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2022 ХБГ</w:t>
            </w:r>
          </w:p>
        </w:tc>
      </w:tr>
      <w:tr w:rsidR="00B052FA" w:rsidRPr="0046672D" w14:paraId="08677725" w14:textId="77777777" w:rsidTr="00673716">
        <w:trPr>
          <w:trHeight w:val="209"/>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5ECE5BF8"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Өрийн зардал</w:t>
            </w:r>
          </w:p>
        </w:tc>
        <w:tc>
          <w:tcPr>
            <w:tcW w:w="1380" w:type="dxa"/>
            <w:tcBorders>
              <w:top w:val="nil"/>
              <w:left w:val="nil"/>
              <w:bottom w:val="single" w:sz="8" w:space="0" w:color="auto"/>
              <w:right w:val="single" w:sz="8" w:space="0" w:color="auto"/>
            </w:tcBorders>
            <w:shd w:val="clear" w:color="auto" w:fill="auto"/>
            <w:vAlign w:val="center"/>
            <w:hideMark/>
          </w:tcPr>
          <w:p w14:paraId="2DAB1E40"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c>
          <w:tcPr>
            <w:tcW w:w="1044" w:type="dxa"/>
            <w:tcBorders>
              <w:top w:val="nil"/>
              <w:left w:val="nil"/>
              <w:bottom w:val="single" w:sz="8" w:space="0" w:color="auto"/>
              <w:right w:val="single" w:sz="8" w:space="0" w:color="auto"/>
            </w:tcBorders>
            <w:shd w:val="clear" w:color="auto" w:fill="auto"/>
            <w:noWrap/>
            <w:vAlign w:val="center"/>
            <w:hideMark/>
          </w:tcPr>
          <w:p w14:paraId="18B438F8"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c>
          <w:tcPr>
            <w:tcW w:w="992" w:type="dxa"/>
            <w:tcBorders>
              <w:top w:val="nil"/>
              <w:left w:val="nil"/>
              <w:bottom w:val="single" w:sz="8" w:space="0" w:color="auto"/>
              <w:right w:val="single" w:sz="8" w:space="0" w:color="auto"/>
            </w:tcBorders>
            <w:shd w:val="clear" w:color="auto" w:fill="auto"/>
            <w:noWrap/>
            <w:vAlign w:val="center"/>
            <w:hideMark/>
          </w:tcPr>
          <w:p w14:paraId="54FA5304"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c>
          <w:tcPr>
            <w:tcW w:w="1134" w:type="dxa"/>
            <w:tcBorders>
              <w:top w:val="nil"/>
              <w:left w:val="nil"/>
              <w:bottom w:val="single" w:sz="8" w:space="0" w:color="auto"/>
              <w:right w:val="single" w:sz="8" w:space="0" w:color="auto"/>
            </w:tcBorders>
            <w:shd w:val="clear" w:color="auto" w:fill="auto"/>
            <w:vAlign w:val="center"/>
            <w:hideMark/>
          </w:tcPr>
          <w:p w14:paraId="224FA0E3"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c>
          <w:tcPr>
            <w:tcW w:w="1276" w:type="dxa"/>
            <w:tcBorders>
              <w:top w:val="nil"/>
              <w:left w:val="nil"/>
              <w:bottom w:val="single" w:sz="8" w:space="0" w:color="auto"/>
              <w:right w:val="single" w:sz="8" w:space="0" w:color="auto"/>
            </w:tcBorders>
            <w:shd w:val="clear" w:color="auto" w:fill="auto"/>
            <w:vAlign w:val="center"/>
            <w:hideMark/>
          </w:tcPr>
          <w:p w14:paraId="63DBF589"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r>
      <w:tr w:rsidR="00B052FA" w:rsidRPr="0046672D" w14:paraId="12A07D23" w14:textId="77777777" w:rsidTr="00673716">
        <w:trPr>
          <w:trHeight w:val="241"/>
        </w:trPr>
        <w:tc>
          <w:tcPr>
            <w:tcW w:w="3520" w:type="dxa"/>
            <w:tcBorders>
              <w:top w:val="nil"/>
              <w:left w:val="single" w:sz="8" w:space="0" w:color="auto"/>
              <w:bottom w:val="nil"/>
              <w:right w:val="single" w:sz="8" w:space="0" w:color="auto"/>
            </w:tcBorders>
            <w:shd w:val="clear" w:color="auto" w:fill="auto"/>
            <w:vAlign w:val="center"/>
            <w:hideMark/>
          </w:tcPr>
          <w:p w14:paraId="045268EA"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Жигнэсэн дундаж хүү (хувь)</w:t>
            </w:r>
          </w:p>
        </w:tc>
        <w:tc>
          <w:tcPr>
            <w:tcW w:w="1380" w:type="dxa"/>
            <w:tcBorders>
              <w:top w:val="nil"/>
              <w:left w:val="nil"/>
              <w:bottom w:val="single" w:sz="8" w:space="0" w:color="auto"/>
              <w:right w:val="single" w:sz="8" w:space="0" w:color="auto"/>
            </w:tcBorders>
            <w:shd w:val="clear" w:color="auto" w:fill="auto"/>
            <w:vAlign w:val="center"/>
            <w:hideMark/>
          </w:tcPr>
          <w:p w14:paraId="688F7B66"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Гүйцэтгэл</w:t>
            </w:r>
          </w:p>
        </w:tc>
        <w:tc>
          <w:tcPr>
            <w:tcW w:w="1044" w:type="dxa"/>
            <w:tcBorders>
              <w:top w:val="nil"/>
              <w:left w:val="nil"/>
              <w:bottom w:val="single" w:sz="8" w:space="0" w:color="auto"/>
              <w:right w:val="single" w:sz="8" w:space="0" w:color="auto"/>
            </w:tcBorders>
            <w:shd w:val="clear" w:color="auto" w:fill="auto"/>
            <w:noWrap/>
            <w:vAlign w:val="center"/>
            <w:hideMark/>
          </w:tcPr>
          <w:p w14:paraId="637DE034"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4.2</w:t>
            </w:r>
          </w:p>
        </w:tc>
        <w:tc>
          <w:tcPr>
            <w:tcW w:w="992" w:type="dxa"/>
            <w:tcBorders>
              <w:top w:val="nil"/>
              <w:left w:val="nil"/>
              <w:bottom w:val="single" w:sz="8" w:space="0" w:color="auto"/>
              <w:right w:val="single" w:sz="8" w:space="0" w:color="auto"/>
            </w:tcBorders>
            <w:shd w:val="clear" w:color="auto" w:fill="auto"/>
            <w:noWrap/>
            <w:vAlign w:val="center"/>
            <w:hideMark/>
          </w:tcPr>
          <w:p w14:paraId="6F0F1729"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3.2</w:t>
            </w:r>
          </w:p>
        </w:tc>
        <w:tc>
          <w:tcPr>
            <w:tcW w:w="1134" w:type="dxa"/>
            <w:tcBorders>
              <w:top w:val="nil"/>
              <w:left w:val="nil"/>
              <w:bottom w:val="single" w:sz="8" w:space="0" w:color="auto"/>
              <w:right w:val="single" w:sz="8" w:space="0" w:color="auto"/>
            </w:tcBorders>
            <w:shd w:val="clear" w:color="auto" w:fill="auto"/>
            <w:vAlign w:val="center"/>
            <w:hideMark/>
          </w:tcPr>
          <w:p w14:paraId="30F86BCB"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3</w:t>
            </w:r>
          </w:p>
        </w:tc>
        <w:tc>
          <w:tcPr>
            <w:tcW w:w="1276" w:type="dxa"/>
            <w:tcBorders>
              <w:top w:val="nil"/>
              <w:left w:val="nil"/>
              <w:bottom w:val="single" w:sz="8" w:space="0" w:color="auto"/>
              <w:right w:val="single" w:sz="8" w:space="0" w:color="auto"/>
            </w:tcBorders>
            <w:shd w:val="clear" w:color="auto" w:fill="auto"/>
            <w:vAlign w:val="center"/>
            <w:hideMark/>
          </w:tcPr>
          <w:p w14:paraId="454C13CD"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2.9</w:t>
            </w:r>
          </w:p>
        </w:tc>
      </w:tr>
      <w:tr w:rsidR="00B052FA" w:rsidRPr="0046672D" w14:paraId="443BFE24" w14:textId="77777777" w:rsidTr="00673716">
        <w:trPr>
          <w:trHeight w:val="259"/>
        </w:trPr>
        <w:tc>
          <w:tcPr>
            <w:tcW w:w="3520" w:type="dxa"/>
            <w:tcBorders>
              <w:top w:val="nil"/>
              <w:left w:val="single" w:sz="8" w:space="0" w:color="auto"/>
              <w:bottom w:val="nil"/>
              <w:right w:val="single" w:sz="8" w:space="0" w:color="auto"/>
            </w:tcBorders>
            <w:shd w:val="clear" w:color="auto" w:fill="auto"/>
            <w:vAlign w:val="center"/>
            <w:hideMark/>
          </w:tcPr>
          <w:p w14:paraId="31ED5D24"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w:t>
            </w:r>
          </w:p>
        </w:tc>
        <w:tc>
          <w:tcPr>
            <w:tcW w:w="1380" w:type="dxa"/>
            <w:tcBorders>
              <w:top w:val="nil"/>
              <w:left w:val="nil"/>
              <w:bottom w:val="single" w:sz="8" w:space="0" w:color="auto"/>
              <w:right w:val="single" w:sz="8" w:space="0" w:color="auto"/>
            </w:tcBorders>
            <w:shd w:val="clear" w:color="auto" w:fill="auto"/>
            <w:vAlign w:val="center"/>
            <w:hideMark/>
          </w:tcPr>
          <w:p w14:paraId="7A1AF51B"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Дээд</w:t>
            </w:r>
          </w:p>
        </w:tc>
        <w:tc>
          <w:tcPr>
            <w:tcW w:w="1044" w:type="dxa"/>
            <w:tcBorders>
              <w:top w:val="nil"/>
              <w:left w:val="nil"/>
              <w:bottom w:val="single" w:sz="8" w:space="0" w:color="auto"/>
              <w:right w:val="single" w:sz="8" w:space="0" w:color="auto"/>
            </w:tcBorders>
            <w:shd w:val="clear" w:color="auto" w:fill="auto"/>
            <w:noWrap/>
            <w:vAlign w:val="center"/>
            <w:hideMark/>
          </w:tcPr>
          <w:p w14:paraId="773A1480"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4.3</w:t>
            </w:r>
          </w:p>
        </w:tc>
        <w:tc>
          <w:tcPr>
            <w:tcW w:w="992" w:type="dxa"/>
            <w:tcBorders>
              <w:top w:val="nil"/>
              <w:left w:val="nil"/>
              <w:bottom w:val="single" w:sz="8" w:space="0" w:color="auto"/>
              <w:right w:val="single" w:sz="8" w:space="0" w:color="auto"/>
            </w:tcBorders>
            <w:shd w:val="clear" w:color="auto" w:fill="auto"/>
            <w:noWrap/>
            <w:vAlign w:val="center"/>
            <w:hideMark/>
          </w:tcPr>
          <w:p w14:paraId="0A3170E8"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4</w:t>
            </w:r>
          </w:p>
        </w:tc>
        <w:tc>
          <w:tcPr>
            <w:tcW w:w="1134" w:type="dxa"/>
            <w:tcBorders>
              <w:top w:val="nil"/>
              <w:left w:val="nil"/>
              <w:bottom w:val="single" w:sz="8" w:space="0" w:color="auto"/>
              <w:right w:val="single" w:sz="8" w:space="0" w:color="auto"/>
            </w:tcBorders>
            <w:shd w:val="clear" w:color="auto" w:fill="auto"/>
            <w:vAlign w:val="center"/>
            <w:hideMark/>
          </w:tcPr>
          <w:p w14:paraId="25C5383E"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3.8</w:t>
            </w:r>
          </w:p>
        </w:tc>
        <w:tc>
          <w:tcPr>
            <w:tcW w:w="1276" w:type="dxa"/>
            <w:tcBorders>
              <w:top w:val="nil"/>
              <w:left w:val="nil"/>
              <w:bottom w:val="single" w:sz="8" w:space="0" w:color="auto"/>
              <w:right w:val="single" w:sz="8" w:space="0" w:color="auto"/>
            </w:tcBorders>
            <w:shd w:val="clear" w:color="auto" w:fill="auto"/>
            <w:vAlign w:val="center"/>
            <w:hideMark/>
          </w:tcPr>
          <w:p w14:paraId="1A0B72B3"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3.6</w:t>
            </w:r>
          </w:p>
        </w:tc>
      </w:tr>
      <w:tr w:rsidR="00B052FA" w:rsidRPr="0046672D" w14:paraId="38B7A6FE" w14:textId="77777777" w:rsidTr="00673716">
        <w:trPr>
          <w:trHeight w:val="121"/>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4C917EFF"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w:t>
            </w:r>
          </w:p>
        </w:tc>
        <w:tc>
          <w:tcPr>
            <w:tcW w:w="1380" w:type="dxa"/>
            <w:tcBorders>
              <w:top w:val="nil"/>
              <w:left w:val="nil"/>
              <w:bottom w:val="single" w:sz="8" w:space="0" w:color="auto"/>
              <w:right w:val="single" w:sz="8" w:space="0" w:color="auto"/>
            </w:tcBorders>
            <w:shd w:val="clear" w:color="auto" w:fill="auto"/>
            <w:vAlign w:val="center"/>
            <w:hideMark/>
          </w:tcPr>
          <w:p w14:paraId="04C1E743"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Доод</w:t>
            </w:r>
          </w:p>
        </w:tc>
        <w:tc>
          <w:tcPr>
            <w:tcW w:w="1044" w:type="dxa"/>
            <w:tcBorders>
              <w:top w:val="nil"/>
              <w:left w:val="nil"/>
              <w:bottom w:val="single" w:sz="8" w:space="0" w:color="auto"/>
              <w:right w:val="single" w:sz="8" w:space="0" w:color="auto"/>
            </w:tcBorders>
            <w:shd w:val="clear" w:color="auto" w:fill="auto"/>
            <w:noWrap/>
            <w:vAlign w:val="center"/>
            <w:hideMark/>
          </w:tcPr>
          <w:p w14:paraId="1DD1BB07"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3.9</w:t>
            </w:r>
          </w:p>
        </w:tc>
        <w:tc>
          <w:tcPr>
            <w:tcW w:w="992" w:type="dxa"/>
            <w:tcBorders>
              <w:top w:val="nil"/>
              <w:left w:val="nil"/>
              <w:bottom w:val="single" w:sz="8" w:space="0" w:color="auto"/>
              <w:right w:val="single" w:sz="8" w:space="0" w:color="auto"/>
            </w:tcBorders>
            <w:shd w:val="clear" w:color="auto" w:fill="auto"/>
            <w:noWrap/>
            <w:vAlign w:val="center"/>
            <w:hideMark/>
          </w:tcPr>
          <w:p w14:paraId="1200AC2D"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3.7</w:t>
            </w:r>
          </w:p>
        </w:tc>
        <w:tc>
          <w:tcPr>
            <w:tcW w:w="1134" w:type="dxa"/>
            <w:tcBorders>
              <w:top w:val="nil"/>
              <w:left w:val="nil"/>
              <w:bottom w:val="single" w:sz="8" w:space="0" w:color="auto"/>
              <w:right w:val="single" w:sz="8" w:space="0" w:color="auto"/>
            </w:tcBorders>
            <w:shd w:val="clear" w:color="auto" w:fill="auto"/>
            <w:vAlign w:val="center"/>
            <w:hideMark/>
          </w:tcPr>
          <w:p w14:paraId="3ED9E967"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3.5</w:t>
            </w:r>
          </w:p>
        </w:tc>
        <w:tc>
          <w:tcPr>
            <w:tcW w:w="1276" w:type="dxa"/>
            <w:tcBorders>
              <w:top w:val="nil"/>
              <w:left w:val="nil"/>
              <w:bottom w:val="single" w:sz="8" w:space="0" w:color="auto"/>
              <w:right w:val="single" w:sz="8" w:space="0" w:color="auto"/>
            </w:tcBorders>
            <w:shd w:val="clear" w:color="auto" w:fill="auto"/>
            <w:vAlign w:val="center"/>
            <w:hideMark/>
          </w:tcPr>
          <w:p w14:paraId="48DBF0F4"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3.4</w:t>
            </w:r>
          </w:p>
        </w:tc>
      </w:tr>
      <w:tr w:rsidR="00B052FA" w:rsidRPr="0046672D" w14:paraId="11659CA8" w14:textId="77777777" w:rsidTr="00673716">
        <w:trPr>
          <w:trHeight w:val="68"/>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788E3CC1"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Дахин санхүүжилтийн эрсдэл</w:t>
            </w:r>
          </w:p>
        </w:tc>
        <w:tc>
          <w:tcPr>
            <w:tcW w:w="1380" w:type="dxa"/>
            <w:tcBorders>
              <w:top w:val="nil"/>
              <w:left w:val="nil"/>
              <w:bottom w:val="single" w:sz="8" w:space="0" w:color="auto"/>
              <w:right w:val="single" w:sz="8" w:space="0" w:color="auto"/>
            </w:tcBorders>
            <w:shd w:val="clear" w:color="auto" w:fill="auto"/>
            <w:vAlign w:val="center"/>
            <w:hideMark/>
          </w:tcPr>
          <w:p w14:paraId="03BDBA31"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c>
          <w:tcPr>
            <w:tcW w:w="1044" w:type="dxa"/>
            <w:tcBorders>
              <w:top w:val="nil"/>
              <w:left w:val="nil"/>
              <w:bottom w:val="single" w:sz="8" w:space="0" w:color="auto"/>
              <w:right w:val="single" w:sz="8" w:space="0" w:color="auto"/>
            </w:tcBorders>
            <w:shd w:val="clear" w:color="auto" w:fill="auto"/>
            <w:noWrap/>
            <w:vAlign w:val="center"/>
            <w:hideMark/>
          </w:tcPr>
          <w:p w14:paraId="209CA9DE"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w:t>
            </w:r>
          </w:p>
        </w:tc>
        <w:tc>
          <w:tcPr>
            <w:tcW w:w="992" w:type="dxa"/>
            <w:tcBorders>
              <w:top w:val="nil"/>
              <w:left w:val="nil"/>
              <w:bottom w:val="single" w:sz="8" w:space="0" w:color="auto"/>
              <w:right w:val="single" w:sz="8" w:space="0" w:color="auto"/>
            </w:tcBorders>
            <w:shd w:val="clear" w:color="auto" w:fill="auto"/>
            <w:noWrap/>
            <w:vAlign w:val="center"/>
            <w:hideMark/>
          </w:tcPr>
          <w:p w14:paraId="352D68BD"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c>
          <w:tcPr>
            <w:tcW w:w="1134" w:type="dxa"/>
            <w:tcBorders>
              <w:top w:val="nil"/>
              <w:left w:val="nil"/>
              <w:bottom w:val="single" w:sz="8" w:space="0" w:color="auto"/>
              <w:right w:val="single" w:sz="8" w:space="0" w:color="auto"/>
            </w:tcBorders>
            <w:shd w:val="clear" w:color="auto" w:fill="auto"/>
            <w:vAlign w:val="center"/>
            <w:hideMark/>
          </w:tcPr>
          <w:p w14:paraId="2A17F241"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c>
          <w:tcPr>
            <w:tcW w:w="1276" w:type="dxa"/>
            <w:tcBorders>
              <w:top w:val="nil"/>
              <w:left w:val="nil"/>
              <w:bottom w:val="single" w:sz="8" w:space="0" w:color="auto"/>
              <w:right w:val="single" w:sz="8" w:space="0" w:color="auto"/>
            </w:tcBorders>
            <w:shd w:val="clear" w:color="auto" w:fill="auto"/>
            <w:vAlign w:val="center"/>
            <w:hideMark/>
          </w:tcPr>
          <w:p w14:paraId="73B5680C"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r>
      <w:tr w:rsidR="00B052FA" w:rsidRPr="0046672D" w14:paraId="1253AF52" w14:textId="77777777" w:rsidTr="00673716">
        <w:trPr>
          <w:trHeight w:val="171"/>
        </w:trPr>
        <w:tc>
          <w:tcPr>
            <w:tcW w:w="3520" w:type="dxa"/>
            <w:tcBorders>
              <w:top w:val="nil"/>
              <w:left w:val="single" w:sz="8" w:space="0" w:color="auto"/>
              <w:bottom w:val="nil"/>
              <w:right w:val="single" w:sz="8" w:space="0" w:color="auto"/>
            </w:tcBorders>
            <w:shd w:val="clear" w:color="auto" w:fill="auto"/>
            <w:vAlign w:val="center"/>
            <w:hideMark/>
          </w:tcPr>
          <w:p w14:paraId="02379C19"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Засгийн газрын өрийн эргэн </w:t>
            </w:r>
          </w:p>
        </w:tc>
        <w:tc>
          <w:tcPr>
            <w:tcW w:w="1380" w:type="dxa"/>
            <w:tcBorders>
              <w:top w:val="nil"/>
              <w:left w:val="nil"/>
              <w:bottom w:val="single" w:sz="8" w:space="0" w:color="auto"/>
              <w:right w:val="single" w:sz="8" w:space="0" w:color="auto"/>
            </w:tcBorders>
            <w:shd w:val="clear" w:color="auto" w:fill="auto"/>
            <w:vAlign w:val="center"/>
            <w:hideMark/>
          </w:tcPr>
          <w:p w14:paraId="2A6C0E00"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Гүйцэтгэл</w:t>
            </w:r>
          </w:p>
        </w:tc>
        <w:tc>
          <w:tcPr>
            <w:tcW w:w="1044" w:type="dxa"/>
            <w:tcBorders>
              <w:top w:val="nil"/>
              <w:left w:val="nil"/>
              <w:bottom w:val="single" w:sz="8" w:space="0" w:color="auto"/>
              <w:right w:val="single" w:sz="8" w:space="0" w:color="auto"/>
            </w:tcBorders>
            <w:shd w:val="clear" w:color="auto" w:fill="auto"/>
            <w:noWrap/>
            <w:vAlign w:val="center"/>
            <w:hideMark/>
          </w:tcPr>
          <w:p w14:paraId="0E61E235"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8.6</w:t>
            </w:r>
          </w:p>
        </w:tc>
        <w:tc>
          <w:tcPr>
            <w:tcW w:w="992" w:type="dxa"/>
            <w:tcBorders>
              <w:top w:val="nil"/>
              <w:left w:val="nil"/>
              <w:bottom w:val="single" w:sz="8" w:space="0" w:color="auto"/>
              <w:right w:val="single" w:sz="8" w:space="0" w:color="auto"/>
            </w:tcBorders>
            <w:shd w:val="clear" w:color="auto" w:fill="auto"/>
            <w:noWrap/>
            <w:vAlign w:val="center"/>
            <w:hideMark/>
          </w:tcPr>
          <w:p w14:paraId="5C2FCB51"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8.9</w:t>
            </w:r>
          </w:p>
        </w:tc>
        <w:tc>
          <w:tcPr>
            <w:tcW w:w="1134" w:type="dxa"/>
            <w:tcBorders>
              <w:top w:val="nil"/>
              <w:left w:val="nil"/>
              <w:bottom w:val="single" w:sz="8" w:space="0" w:color="auto"/>
              <w:right w:val="single" w:sz="8" w:space="0" w:color="auto"/>
            </w:tcBorders>
            <w:shd w:val="clear" w:color="auto" w:fill="auto"/>
            <w:vAlign w:val="center"/>
            <w:hideMark/>
          </w:tcPr>
          <w:p w14:paraId="3097C7E1"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8.3</w:t>
            </w:r>
          </w:p>
        </w:tc>
        <w:tc>
          <w:tcPr>
            <w:tcW w:w="1276" w:type="dxa"/>
            <w:tcBorders>
              <w:top w:val="nil"/>
              <w:left w:val="nil"/>
              <w:bottom w:val="single" w:sz="8" w:space="0" w:color="auto"/>
              <w:right w:val="single" w:sz="8" w:space="0" w:color="auto"/>
            </w:tcBorders>
            <w:shd w:val="clear" w:color="auto" w:fill="auto"/>
            <w:vAlign w:val="center"/>
            <w:hideMark/>
          </w:tcPr>
          <w:p w14:paraId="49DBDA54"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8.6</w:t>
            </w:r>
          </w:p>
        </w:tc>
      </w:tr>
      <w:tr w:rsidR="00B052FA" w:rsidRPr="0046672D" w14:paraId="23FE6F92" w14:textId="77777777" w:rsidTr="00673716">
        <w:trPr>
          <w:trHeight w:val="203"/>
        </w:trPr>
        <w:tc>
          <w:tcPr>
            <w:tcW w:w="3520" w:type="dxa"/>
            <w:tcBorders>
              <w:top w:val="nil"/>
              <w:left w:val="single" w:sz="8" w:space="0" w:color="auto"/>
              <w:bottom w:val="nil"/>
              <w:right w:val="single" w:sz="8" w:space="0" w:color="auto"/>
            </w:tcBorders>
            <w:shd w:val="clear" w:color="auto" w:fill="auto"/>
            <w:vAlign w:val="center"/>
            <w:hideMark/>
          </w:tcPr>
          <w:p w14:paraId="2F79985C"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төлөгдөх дундаж хугацаа /жил/</w:t>
            </w:r>
          </w:p>
        </w:tc>
        <w:tc>
          <w:tcPr>
            <w:tcW w:w="1380" w:type="dxa"/>
            <w:tcBorders>
              <w:top w:val="nil"/>
              <w:left w:val="nil"/>
              <w:bottom w:val="single" w:sz="8" w:space="0" w:color="auto"/>
              <w:right w:val="single" w:sz="8" w:space="0" w:color="auto"/>
            </w:tcBorders>
            <w:shd w:val="clear" w:color="auto" w:fill="auto"/>
            <w:vAlign w:val="center"/>
            <w:hideMark/>
          </w:tcPr>
          <w:p w14:paraId="66D6C468"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Дээд</w:t>
            </w:r>
          </w:p>
        </w:tc>
        <w:tc>
          <w:tcPr>
            <w:tcW w:w="1044" w:type="dxa"/>
            <w:tcBorders>
              <w:top w:val="nil"/>
              <w:left w:val="nil"/>
              <w:bottom w:val="single" w:sz="8" w:space="0" w:color="auto"/>
              <w:right w:val="single" w:sz="8" w:space="0" w:color="auto"/>
            </w:tcBorders>
            <w:shd w:val="clear" w:color="auto" w:fill="auto"/>
            <w:noWrap/>
            <w:vAlign w:val="center"/>
            <w:hideMark/>
          </w:tcPr>
          <w:p w14:paraId="5839B274"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8.6</w:t>
            </w:r>
          </w:p>
        </w:tc>
        <w:tc>
          <w:tcPr>
            <w:tcW w:w="992" w:type="dxa"/>
            <w:tcBorders>
              <w:top w:val="nil"/>
              <w:left w:val="nil"/>
              <w:bottom w:val="single" w:sz="8" w:space="0" w:color="auto"/>
              <w:right w:val="single" w:sz="8" w:space="0" w:color="auto"/>
            </w:tcBorders>
            <w:shd w:val="clear" w:color="auto" w:fill="auto"/>
            <w:noWrap/>
            <w:vAlign w:val="center"/>
            <w:hideMark/>
          </w:tcPr>
          <w:p w14:paraId="388002D4"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8.1</w:t>
            </w:r>
          </w:p>
        </w:tc>
        <w:tc>
          <w:tcPr>
            <w:tcW w:w="1134" w:type="dxa"/>
            <w:tcBorders>
              <w:top w:val="nil"/>
              <w:left w:val="nil"/>
              <w:bottom w:val="single" w:sz="8" w:space="0" w:color="auto"/>
              <w:right w:val="single" w:sz="8" w:space="0" w:color="auto"/>
            </w:tcBorders>
            <w:shd w:val="clear" w:color="auto" w:fill="auto"/>
            <w:vAlign w:val="center"/>
            <w:hideMark/>
          </w:tcPr>
          <w:p w14:paraId="21F94E11"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8.7</w:t>
            </w:r>
          </w:p>
        </w:tc>
        <w:tc>
          <w:tcPr>
            <w:tcW w:w="1276" w:type="dxa"/>
            <w:tcBorders>
              <w:top w:val="nil"/>
              <w:left w:val="nil"/>
              <w:bottom w:val="single" w:sz="8" w:space="0" w:color="auto"/>
              <w:right w:val="single" w:sz="8" w:space="0" w:color="auto"/>
            </w:tcBorders>
            <w:shd w:val="clear" w:color="auto" w:fill="auto"/>
            <w:vAlign w:val="center"/>
            <w:hideMark/>
          </w:tcPr>
          <w:p w14:paraId="7434ADDA"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8.6</w:t>
            </w:r>
          </w:p>
        </w:tc>
      </w:tr>
      <w:tr w:rsidR="00B052FA" w:rsidRPr="0046672D" w14:paraId="59BB7B4E" w14:textId="77777777" w:rsidTr="00673716">
        <w:trPr>
          <w:trHeight w:val="23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730AF2C0"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w:t>
            </w:r>
          </w:p>
        </w:tc>
        <w:tc>
          <w:tcPr>
            <w:tcW w:w="1380" w:type="dxa"/>
            <w:tcBorders>
              <w:top w:val="nil"/>
              <w:left w:val="nil"/>
              <w:bottom w:val="single" w:sz="8" w:space="0" w:color="auto"/>
              <w:right w:val="single" w:sz="8" w:space="0" w:color="auto"/>
            </w:tcBorders>
            <w:shd w:val="clear" w:color="auto" w:fill="auto"/>
            <w:vAlign w:val="center"/>
            <w:hideMark/>
          </w:tcPr>
          <w:p w14:paraId="060FB13B"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Доод</w:t>
            </w:r>
          </w:p>
        </w:tc>
        <w:tc>
          <w:tcPr>
            <w:tcW w:w="1044" w:type="dxa"/>
            <w:tcBorders>
              <w:top w:val="nil"/>
              <w:left w:val="nil"/>
              <w:bottom w:val="single" w:sz="8" w:space="0" w:color="auto"/>
              <w:right w:val="single" w:sz="8" w:space="0" w:color="auto"/>
            </w:tcBorders>
            <w:shd w:val="clear" w:color="auto" w:fill="auto"/>
            <w:noWrap/>
            <w:vAlign w:val="center"/>
            <w:hideMark/>
          </w:tcPr>
          <w:p w14:paraId="230ED31E"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8.5</w:t>
            </w:r>
          </w:p>
        </w:tc>
        <w:tc>
          <w:tcPr>
            <w:tcW w:w="992" w:type="dxa"/>
            <w:tcBorders>
              <w:top w:val="nil"/>
              <w:left w:val="nil"/>
              <w:bottom w:val="single" w:sz="8" w:space="0" w:color="auto"/>
              <w:right w:val="single" w:sz="8" w:space="0" w:color="auto"/>
            </w:tcBorders>
            <w:shd w:val="clear" w:color="auto" w:fill="auto"/>
            <w:noWrap/>
            <w:vAlign w:val="center"/>
            <w:hideMark/>
          </w:tcPr>
          <w:p w14:paraId="0AC5DF99"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7.9</w:t>
            </w:r>
          </w:p>
        </w:tc>
        <w:tc>
          <w:tcPr>
            <w:tcW w:w="1134" w:type="dxa"/>
            <w:tcBorders>
              <w:top w:val="nil"/>
              <w:left w:val="nil"/>
              <w:bottom w:val="single" w:sz="8" w:space="0" w:color="auto"/>
              <w:right w:val="single" w:sz="8" w:space="0" w:color="auto"/>
            </w:tcBorders>
            <w:shd w:val="clear" w:color="auto" w:fill="auto"/>
            <w:vAlign w:val="center"/>
            <w:hideMark/>
          </w:tcPr>
          <w:p w14:paraId="641F9ED0"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8.3</w:t>
            </w:r>
          </w:p>
        </w:tc>
        <w:tc>
          <w:tcPr>
            <w:tcW w:w="1276" w:type="dxa"/>
            <w:tcBorders>
              <w:top w:val="nil"/>
              <w:left w:val="nil"/>
              <w:bottom w:val="single" w:sz="8" w:space="0" w:color="auto"/>
              <w:right w:val="single" w:sz="8" w:space="0" w:color="auto"/>
            </w:tcBorders>
            <w:shd w:val="clear" w:color="auto" w:fill="auto"/>
            <w:vAlign w:val="center"/>
            <w:hideMark/>
          </w:tcPr>
          <w:p w14:paraId="2C1C6E2D"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w:t>
            </w:r>
          </w:p>
        </w:tc>
      </w:tr>
      <w:tr w:rsidR="00B052FA" w:rsidRPr="0046672D" w14:paraId="7BC56EB8" w14:textId="77777777" w:rsidTr="00673716">
        <w:trPr>
          <w:trHeight w:val="182"/>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087639B4"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Хүүгийн эрсдэл</w:t>
            </w:r>
          </w:p>
        </w:tc>
        <w:tc>
          <w:tcPr>
            <w:tcW w:w="1380" w:type="dxa"/>
            <w:tcBorders>
              <w:top w:val="nil"/>
              <w:left w:val="nil"/>
              <w:bottom w:val="single" w:sz="8" w:space="0" w:color="auto"/>
              <w:right w:val="single" w:sz="8" w:space="0" w:color="auto"/>
            </w:tcBorders>
            <w:shd w:val="clear" w:color="auto" w:fill="auto"/>
            <w:vAlign w:val="center"/>
            <w:hideMark/>
          </w:tcPr>
          <w:p w14:paraId="3A90641D"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c>
          <w:tcPr>
            <w:tcW w:w="1044" w:type="dxa"/>
            <w:tcBorders>
              <w:top w:val="nil"/>
              <w:left w:val="nil"/>
              <w:bottom w:val="single" w:sz="8" w:space="0" w:color="auto"/>
              <w:right w:val="single" w:sz="8" w:space="0" w:color="auto"/>
            </w:tcBorders>
            <w:shd w:val="clear" w:color="auto" w:fill="auto"/>
            <w:noWrap/>
            <w:vAlign w:val="center"/>
            <w:hideMark/>
          </w:tcPr>
          <w:p w14:paraId="505D8F71"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w:t>
            </w:r>
          </w:p>
        </w:tc>
        <w:tc>
          <w:tcPr>
            <w:tcW w:w="992" w:type="dxa"/>
            <w:tcBorders>
              <w:top w:val="nil"/>
              <w:left w:val="nil"/>
              <w:bottom w:val="single" w:sz="8" w:space="0" w:color="auto"/>
              <w:right w:val="single" w:sz="8" w:space="0" w:color="auto"/>
            </w:tcBorders>
            <w:shd w:val="clear" w:color="auto" w:fill="auto"/>
            <w:noWrap/>
            <w:vAlign w:val="center"/>
            <w:hideMark/>
          </w:tcPr>
          <w:p w14:paraId="3054B2E6"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c>
          <w:tcPr>
            <w:tcW w:w="1134" w:type="dxa"/>
            <w:tcBorders>
              <w:top w:val="nil"/>
              <w:left w:val="nil"/>
              <w:bottom w:val="single" w:sz="8" w:space="0" w:color="auto"/>
              <w:right w:val="single" w:sz="8" w:space="0" w:color="auto"/>
            </w:tcBorders>
            <w:shd w:val="clear" w:color="auto" w:fill="auto"/>
            <w:vAlign w:val="center"/>
            <w:hideMark/>
          </w:tcPr>
          <w:p w14:paraId="3C5FFB05"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c>
          <w:tcPr>
            <w:tcW w:w="1276" w:type="dxa"/>
            <w:tcBorders>
              <w:top w:val="nil"/>
              <w:left w:val="nil"/>
              <w:bottom w:val="single" w:sz="8" w:space="0" w:color="auto"/>
              <w:right w:val="single" w:sz="8" w:space="0" w:color="auto"/>
            </w:tcBorders>
            <w:shd w:val="clear" w:color="auto" w:fill="auto"/>
            <w:vAlign w:val="center"/>
            <w:hideMark/>
          </w:tcPr>
          <w:p w14:paraId="492DC402"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r>
      <w:tr w:rsidR="00B052FA" w:rsidRPr="0046672D" w14:paraId="180AF1EE" w14:textId="77777777" w:rsidTr="00673716">
        <w:trPr>
          <w:trHeight w:val="129"/>
        </w:trPr>
        <w:tc>
          <w:tcPr>
            <w:tcW w:w="3520" w:type="dxa"/>
            <w:tcBorders>
              <w:top w:val="nil"/>
              <w:left w:val="single" w:sz="8" w:space="0" w:color="auto"/>
              <w:bottom w:val="nil"/>
              <w:right w:val="single" w:sz="8" w:space="0" w:color="auto"/>
            </w:tcBorders>
            <w:shd w:val="clear" w:color="auto" w:fill="auto"/>
            <w:vAlign w:val="center"/>
            <w:hideMark/>
          </w:tcPr>
          <w:p w14:paraId="60357B8F"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Засгийн газрын өрийн хүү   </w:t>
            </w:r>
          </w:p>
        </w:tc>
        <w:tc>
          <w:tcPr>
            <w:tcW w:w="1380" w:type="dxa"/>
            <w:tcBorders>
              <w:top w:val="nil"/>
              <w:left w:val="nil"/>
              <w:bottom w:val="single" w:sz="8" w:space="0" w:color="auto"/>
              <w:right w:val="single" w:sz="8" w:space="0" w:color="auto"/>
            </w:tcBorders>
            <w:shd w:val="clear" w:color="auto" w:fill="auto"/>
            <w:vAlign w:val="center"/>
            <w:hideMark/>
          </w:tcPr>
          <w:p w14:paraId="7ED1FA62"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Гүйцэтгэл</w:t>
            </w:r>
          </w:p>
        </w:tc>
        <w:tc>
          <w:tcPr>
            <w:tcW w:w="1044" w:type="dxa"/>
            <w:tcBorders>
              <w:top w:val="nil"/>
              <w:left w:val="nil"/>
              <w:bottom w:val="single" w:sz="8" w:space="0" w:color="auto"/>
              <w:right w:val="single" w:sz="8" w:space="0" w:color="auto"/>
            </w:tcBorders>
            <w:shd w:val="clear" w:color="auto" w:fill="auto"/>
            <w:noWrap/>
            <w:vAlign w:val="center"/>
            <w:hideMark/>
          </w:tcPr>
          <w:p w14:paraId="587F6ED9"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7.7</w:t>
            </w:r>
          </w:p>
        </w:tc>
        <w:tc>
          <w:tcPr>
            <w:tcW w:w="992" w:type="dxa"/>
            <w:tcBorders>
              <w:top w:val="nil"/>
              <w:left w:val="nil"/>
              <w:bottom w:val="single" w:sz="8" w:space="0" w:color="auto"/>
              <w:right w:val="single" w:sz="8" w:space="0" w:color="auto"/>
            </w:tcBorders>
            <w:shd w:val="clear" w:color="auto" w:fill="auto"/>
            <w:noWrap/>
            <w:vAlign w:val="center"/>
            <w:hideMark/>
          </w:tcPr>
          <w:p w14:paraId="2BCC4E61"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7.6</w:t>
            </w:r>
          </w:p>
        </w:tc>
        <w:tc>
          <w:tcPr>
            <w:tcW w:w="1134" w:type="dxa"/>
            <w:tcBorders>
              <w:top w:val="nil"/>
              <w:left w:val="nil"/>
              <w:bottom w:val="single" w:sz="8" w:space="0" w:color="auto"/>
              <w:right w:val="single" w:sz="8" w:space="0" w:color="auto"/>
            </w:tcBorders>
            <w:shd w:val="clear" w:color="auto" w:fill="auto"/>
            <w:vAlign w:val="center"/>
            <w:hideMark/>
          </w:tcPr>
          <w:p w14:paraId="57E7A705"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7.6</w:t>
            </w:r>
          </w:p>
        </w:tc>
        <w:tc>
          <w:tcPr>
            <w:tcW w:w="1276" w:type="dxa"/>
            <w:tcBorders>
              <w:top w:val="nil"/>
              <w:left w:val="nil"/>
              <w:bottom w:val="single" w:sz="8" w:space="0" w:color="auto"/>
              <w:right w:val="single" w:sz="8" w:space="0" w:color="auto"/>
            </w:tcBorders>
            <w:shd w:val="clear" w:color="auto" w:fill="auto"/>
            <w:vAlign w:val="center"/>
            <w:hideMark/>
          </w:tcPr>
          <w:p w14:paraId="6CFF451A"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7.7</w:t>
            </w:r>
          </w:p>
        </w:tc>
      </w:tr>
      <w:tr w:rsidR="00B052FA" w:rsidRPr="0046672D" w14:paraId="35A613D0" w14:textId="77777777" w:rsidTr="00673716">
        <w:trPr>
          <w:trHeight w:val="161"/>
        </w:trPr>
        <w:tc>
          <w:tcPr>
            <w:tcW w:w="3520" w:type="dxa"/>
            <w:tcBorders>
              <w:top w:val="nil"/>
              <w:left w:val="single" w:sz="8" w:space="0" w:color="auto"/>
              <w:bottom w:val="nil"/>
              <w:right w:val="single" w:sz="8" w:space="0" w:color="auto"/>
            </w:tcBorders>
            <w:shd w:val="clear" w:color="auto" w:fill="auto"/>
            <w:vAlign w:val="center"/>
            <w:hideMark/>
          </w:tcPr>
          <w:p w14:paraId="76EFF81F"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шинэчлэгдэх дундаж хугацаа /жил/</w:t>
            </w:r>
          </w:p>
        </w:tc>
        <w:tc>
          <w:tcPr>
            <w:tcW w:w="1380" w:type="dxa"/>
            <w:tcBorders>
              <w:top w:val="nil"/>
              <w:left w:val="nil"/>
              <w:bottom w:val="single" w:sz="8" w:space="0" w:color="auto"/>
              <w:right w:val="single" w:sz="8" w:space="0" w:color="auto"/>
            </w:tcBorders>
            <w:shd w:val="clear" w:color="auto" w:fill="auto"/>
            <w:vAlign w:val="center"/>
            <w:hideMark/>
          </w:tcPr>
          <w:p w14:paraId="6F0EB418"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Дээд</w:t>
            </w:r>
          </w:p>
        </w:tc>
        <w:tc>
          <w:tcPr>
            <w:tcW w:w="1044" w:type="dxa"/>
            <w:tcBorders>
              <w:top w:val="nil"/>
              <w:left w:val="nil"/>
              <w:bottom w:val="single" w:sz="8" w:space="0" w:color="auto"/>
              <w:right w:val="single" w:sz="8" w:space="0" w:color="auto"/>
            </w:tcBorders>
            <w:shd w:val="clear" w:color="auto" w:fill="auto"/>
            <w:noWrap/>
            <w:vAlign w:val="center"/>
            <w:hideMark/>
          </w:tcPr>
          <w:p w14:paraId="22200038"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7.7</w:t>
            </w:r>
          </w:p>
        </w:tc>
        <w:tc>
          <w:tcPr>
            <w:tcW w:w="992" w:type="dxa"/>
            <w:tcBorders>
              <w:top w:val="nil"/>
              <w:left w:val="nil"/>
              <w:bottom w:val="single" w:sz="8" w:space="0" w:color="auto"/>
              <w:right w:val="single" w:sz="8" w:space="0" w:color="auto"/>
            </w:tcBorders>
            <w:shd w:val="clear" w:color="auto" w:fill="auto"/>
            <w:noWrap/>
            <w:vAlign w:val="center"/>
            <w:hideMark/>
          </w:tcPr>
          <w:p w14:paraId="40B535CB"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w:t>
            </w:r>
          </w:p>
        </w:tc>
        <w:tc>
          <w:tcPr>
            <w:tcW w:w="1134" w:type="dxa"/>
            <w:tcBorders>
              <w:top w:val="nil"/>
              <w:left w:val="nil"/>
              <w:bottom w:val="single" w:sz="8" w:space="0" w:color="auto"/>
              <w:right w:val="single" w:sz="8" w:space="0" w:color="auto"/>
            </w:tcBorders>
            <w:shd w:val="clear" w:color="auto" w:fill="auto"/>
            <w:vAlign w:val="center"/>
            <w:hideMark/>
          </w:tcPr>
          <w:p w14:paraId="02DD713C"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w:t>
            </w:r>
          </w:p>
        </w:tc>
        <w:tc>
          <w:tcPr>
            <w:tcW w:w="1276" w:type="dxa"/>
            <w:tcBorders>
              <w:top w:val="nil"/>
              <w:left w:val="nil"/>
              <w:bottom w:val="single" w:sz="8" w:space="0" w:color="auto"/>
              <w:right w:val="single" w:sz="8" w:space="0" w:color="auto"/>
            </w:tcBorders>
            <w:shd w:val="clear" w:color="auto" w:fill="auto"/>
            <w:vAlign w:val="center"/>
            <w:hideMark/>
          </w:tcPr>
          <w:p w14:paraId="044DBF07"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8.4</w:t>
            </w:r>
          </w:p>
        </w:tc>
      </w:tr>
      <w:tr w:rsidR="00B052FA" w:rsidRPr="0046672D" w14:paraId="1ECAF6BD" w14:textId="77777777" w:rsidTr="00673716">
        <w:trPr>
          <w:trHeight w:val="193"/>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3F52D9BC"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w:t>
            </w:r>
          </w:p>
        </w:tc>
        <w:tc>
          <w:tcPr>
            <w:tcW w:w="1380" w:type="dxa"/>
            <w:tcBorders>
              <w:top w:val="nil"/>
              <w:left w:val="nil"/>
              <w:bottom w:val="single" w:sz="8" w:space="0" w:color="auto"/>
              <w:right w:val="single" w:sz="8" w:space="0" w:color="auto"/>
            </w:tcBorders>
            <w:shd w:val="clear" w:color="auto" w:fill="auto"/>
            <w:vAlign w:val="center"/>
            <w:hideMark/>
          </w:tcPr>
          <w:p w14:paraId="6877E147"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Доод</w:t>
            </w:r>
          </w:p>
        </w:tc>
        <w:tc>
          <w:tcPr>
            <w:tcW w:w="1044" w:type="dxa"/>
            <w:tcBorders>
              <w:top w:val="nil"/>
              <w:left w:val="nil"/>
              <w:bottom w:val="single" w:sz="8" w:space="0" w:color="auto"/>
              <w:right w:val="single" w:sz="8" w:space="0" w:color="auto"/>
            </w:tcBorders>
            <w:shd w:val="clear" w:color="auto" w:fill="auto"/>
            <w:noWrap/>
            <w:vAlign w:val="center"/>
            <w:hideMark/>
          </w:tcPr>
          <w:p w14:paraId="5A0A54C8"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7.7</w:t>
            </w:r>
          </w:p>
        </w:tc>
        <w:tc>
          <w:tcPr>
            <w:tcW w:w="992" w:type="dxa"/>
            <w:tcBorders>
              <w:top w:val="nil"/>
              <w:left w:val="nil"/>
              <w:bottom w:val="single" w:sz="8" w:space="0" w:color="auto"/>
              <w:right w:val="single" w:sz="8" w:space="0" w:color="auto"/>
            </w:tcBorders>
            <w:shd w:val="clear" w:color="auto" w:fill="auto"/>
            <w:noWrap/>
            <w:vAlign w:val="center"/>
            <w:hideMark/>
          </w:tcPr>
          <w:p w14:paraId="59635D63"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7.6</w:t>
            </w:r>
          </w:p>
        </w:tc>
        <w:tc>
          <w:tcPr>
            <w:tcW w:w="1134" w:type="dxa"/>
            <w:tcBorders>
              <w:top w:val="nil"/>
              <w:left w:val="nil"/>
              <w:bottom w:val="single" w:sz="8" w:space="0" w:color="auto"/>
              <w:right w:val="single" w:sz="8" w:space="0" w:color="auto"/>
            </w:tcBorders>
            <w:shd w:val="clear" w:color="auto" w:fill="auto"/>
            <w:vAlign w:val="center"/>
            <w:hideMark/>
          </w:tcPr>
          <w:p w14:paraId="54028BE9"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7.6</w:t>
            </w:r>
          </w:p>
        </w:tc>
        <w:tc>
          <w:tcPr>
            <w:tcW w:w="1276" w:type="dxa"/>
            <w:tcBorders>
              <w:top w:val="nil"/>
              <w:left w:val="nil"/>
              <w:bottom w:val="single" w:sz="8" w:space="0" w:color="auto"/>
              <w:right w:val="single" w:sz="8" w:space="0" w:color="auto"/>
            </w:tcBorders>
            <w:shd w:val="clear" w:color="auto" w:fill="auto"/>
            <w:vAlign w:val="center"/>
            <w:hideMark/>
          </w:tcPr>
          <w:p w14:paraId="00BE4789"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7.4</w:t>
            </w:r>
          </w:p>
        </w:tc>
      </w:tr>
      <w:tr w:rsidR="00B052FA" w:rsidRPr="0046672D" w14:paraId="78F9D850" w14:textId="77777777" w:rsidTr="00673716">
        <w:trPr>
          <w:trHeight w:val="33"/>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14:paraId="6B686B54" w14:textId="77777777" w:rsidR="00B052FA" w:rsidRPr="0046672D" w:rsidRDefault="00B052FA" w:rsidP="00673716">
            <w:pPr>
              <w:spacing w:after="0" w:line="240" w:lineRule="auto"/>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Ханшийн эрсдэл</w:t>
            </w:r>
          </w:p>
        </w:tc>
        <w:tc>
          <w:tcPr>
            <w:tcW w:w="1380" w:type="dxa"/>
            <w:tcBorders>
              <w:top w:val="nil"/>
              <w:left w:val="nil"/>
              <w:bottom w:val="single" w:sz="8" w:space="0" w:color="auto"/>
              <w:right w:val="single" w:sz="8" w:space="0" w:color="auto"/>
            </w:tcBorders>
            <w:shd w:val="clear" w:color="auto" w:fill="auto"/>
            <w:vAlign w:val="center"/>
            <w:hideMark/>
          </w:tcPr>
          <w:p w14:paraId="1FEA637A"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 </w:t>
            </w:r>
          </w:p>
        </w:tc>
        <w:tc>
          <w:tcPr>
            <w:tcW w:w="1044" w:type="dxa"/>
            <w:tcBorders>
              <w:top w:val="nil"/>
              <w:left w:val="nil"/>
              <w:bottom w:val="single" w:sz="8" w:space="0" w:color="auto"/>
              <w:right w:val="single" w:sz="8" w:space="0" w:color="auto"/>
            </w:tcBorders>
            <w:shd w:val="clear" w:color="auto" w:fill="auto"/>
            <w:noWrap/>
            <w:vAlign w:val="center"/>
            <w:hideMark/>
          </w:tcPr>
          <w:p w14:paraId="7DF6F50A"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w:t>
            </w:r>
          </w:p>
        </w:tc>
        <w:tc>
          <w:tcPr>
            <w:tcW w:w="992" w:type="dxa"/>
            <w:tcBorders>
              <w:top w:val="nil"/>
              <w:left w:val="nil"/>
              <w:bottom w:val="single" w:sz="8" w:space="0" w:color="auto"/>
              <w:right w:val="single" w:sz="8" w:space="0" w:color="auto"/>
            </w:tcBorders>
            <w:shd w:val="clear" w:color="auto" w:fill="auto"/>
            <w:noWrap/>
            <w:vAlign w:val="center"/>
            <w:hideMark/>
          </w:tcPr>
          <w:p w14:paraId="062389E8"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c>
          <w:tcPr>
            <w:tcW w:w="1134" w:type="dxa"/>
            <w:tcBorders>
              <w:top w:val="nil"/>
              <w:left w:val="nil"/>
              <w:bottom w:val="single" w:sz="8" w:space="0" w:color="auto"/>
              <w:right w:val="single" w:sz="8" w:space="0" w:color="auto"/>
            </w:tcBorders>
            <w:shd w:val="clear" w:color="auto" w:fill="auto"/>
            <w:vAlign w:val="center"/>
            <w:hideMark/>
          </w:tcPr>
          <w:p w14:paraId="1C6E33C5"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c>
          <w:tcPr>
            <w:tcW w:w="1276" w:type="dxa"/>
            <w:tcBorders>
              <w:top w:val="nil"/>
              <w:left w:val="nil"/>
              <w:bottom w:val="single" w:sz="8" w:space="0" w:color="auto"/>
              <w:right w:val="single" w:sz="8" w:space="0" w:color="auto"/>
            </w:tcBorders>
            <w:shd w:val="clear" w:color="auto" w:fill="auto"/>
            <w:vAlign w:val="center"/>
            <w:hideMark/>
          </w:tcPr>
          <w:p w14:paraId="4AC4BFAB"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 </w:t>
            </w:r>
          </w:p>
        </w:tc>
      </w:tr>
      <w:tr w:rsidR="00B052FA" w:rsidRPr="0046672D" w14:paraId="14D3566E" w14:textId="77777777" w:rsidTr="00673716">
        <w:trPr>
          <w:trHeight w:val="300"/>
        </w:trPr>
        <w:tc>
          <w:tcPr>
            <w:tcW w:w="3520" w:type="dxa"/>
            <w:tcBorders>
              <w:top w:val="nil"/>
              <w:left w:val="single" w:sz="8" w:space="0" w:color="auto"/>
              <w:bottom w:val="nil"/>
              <w:right w:val="single" w:sz="8" w:space="0" w:color="auto"/>
            </w:tcBorders>
            <w:shd w:val="clear" w:color="auto" w:fill="auto"/>
            <w:vAlign w:val="center"/>
            <w:hideMark/>
          </w:tcPr>
          <w:p w14:paraId="23EC630F"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Гадаад валютаар илэрхийлсэн өр </w:t>
            </w:r>
          </w:p>
        </w:tc>
        <w:tc>
          <w:tcPr>
            <w:tcW w:w="1380" w:type="dxa"/>
            <w:tcBorders>
              <w:top w:val="nil"/>
              <w:left w:val="nil"/>
              <w:bottom w:val="single" w:sz="8" w:space="0" w:color="auto"/>
              <w:right w:val="single" w:sz="8" w:space="0" w:color="auto"/>
            </w:tcBorders>
            <w:shd w:val="clear" w:color="auto" w:fill="auto"/>
            <w:vAlign w:val="center"/>
            <w:hideMark/>
          </w:tcPr>
          <w:p w14:paraId="3EA102CD"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Гүйцэтгэл</w:t>
            </w:r>
          </w:p>
        </w:tc>
        <w:tc>
          <w:tcPr>
            <w:tcW w:w="1044" w:type="dxa"/>
            <w:tcBorders>
              <w:top w:val="nil"/>
              <w:left w:val="nil"/>
              <w:bottom w:val="single" w:sz="8" w:space="0" w:color="auto"/>
              <w:right w:val="single" w:sz="8" w:space="0" w:color="auto"/>
            </w:tcBorders>
            <w:shd w:val="clear" w:color="auto" w:fill="auto"/>
            <w:noWrap/>
            <w:vAlign w:val="center"/>
            <w:hideMark/>
          </w:tcPr>
          <w:p w14:paraId="41F54FD5"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93.7</w:t>
            </w:r>
          </w:p>
        </w:tc>
        <w:tc>
          <w:tcPr>
            <w:tcW w:w="992" w:type="dxa"/>
            <w:tcBorders>
              <w:top w:val="nil"/>
              <w:left w:val="nil"/>
              <w:bottom w:val="single" w:sz="8" w:space="0" w:color="auto"/>
              <w:right w:val="single" w:sz="8" w:space="0" w:color="auto"/>
            </w:tcBorders>
            <w:shd w:val="clear" w:color="auto" w:fill="auto"/>
            <w:noWrap/>
            <w:vAlign w:val="center"/>
            <w:hideMark/>
          </w:tcPr>
          <w:p w14:paraId="7B0484A7"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95.6</w:t>
            </w:r>
          </w:p>
        </w:tc>
        <w:tc>
          <w:tcPr>
            <w:tcW w:w="1134" w:type="dxa"/>
            <w:tcBorders>
              <w:top w:val="nil"/>
              <w:left w:val="nil"/>
              <w:bottom w:val="single" w:sz="8" w:space="0" w:color="auto"/>
              <w:right w:val="single" w:sz="8" w:space="0" w:color="auto"/>
            </w:tcBorders>
            <w:shd w:val="clear" w:color="auto" w:fill="auto"/>
            <w:vAlign w:val="center"/>
            <w:hideMark/>
          </w:tcPr>
          <w:p w14:paraId="7761F88B"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97.5</w:t>
            </w:r>
          </w:p>
        </w:tc>
        <w:tc>
          <w:tcPr>
            <w:tcW w:w="1276" w:type="dxa"/>
            <w:tcBorders>
              <w:top w:val="nil"/>
              <w:left w:val="nil"/>
              <w:bottom w:val="single" w:sz="8" w:space="0" w:color="auto"/>
              <w:right w:val="single" w:sz="8" w:space="0" w:color="auto"/>
            </w:tcBorders>
            <w:shd w:val="clear" w:color="auto" w:fill="auto"/>
            <w:vAlign w:val="center"/>
            <w:hideMark/>
          </w:tcPr>
          <w:p w14:paraId="0488F2B2" w14:textId="77777777" w:rsidR="00B052FA" w:rsidRPr="0046672D" w:rsidRDefault="00B052FA" w:rsidP="00673716">
            <w:pPr>
              <w:spacing w:after="0" w:line="240" w:lineRule="auto"/>
              <w:jc w:val="center"/>
              <w:rPr>
                <w:rFonts w:ascii="Arial" w:eastAsia="Times New Roman" w:hAnsi="Arial" w:cs="Arial"/>
                <w:b/>
                <w:bCs/>
                <w:color w:val="00B050"/>
                <w:sz w:val="18"/>
                <w:szCs w:val="18"/>
                <w:lang w:val="mn-MN"/>
              </w:rPr>
            </w:pPr>
            <w:r w:rsidRPr="0046672D">
              <w:rPr>
                <w:rFonts w:ascii="Arial" w:eastAsia="Times New Roman" w:hAnsi="Arial" w:cs="Arial"/>
                <w:b/>
                <w:bCs/>
                <w:color w:val="00B050"/>
                <w:sz w:val="18"/>
                <w:szCs w:val="18"/>
                <w:lang w:val="mn-MN"/>
              </w:rPr>
              <w:t>96.4</w:t>
            </w:r>
          </w:p>
        </w:tc>
      </w:tr>
      <w:tr w:rsidR="00B052FA" w:rsidRPr="0046672D" w14:paraId="2F3125C0" w14:textId="77777777" w:rsidTr="00673716">
        <w:trPr>
          <w:trHeight w:val="33"/>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0AA7838B" w14:textId="77777777" w:rsidR="00B052FA" w:rsidRPr="0046672D" w:rsidRDefault="00B052FA" w:rsidP="00673716">
            <w:pPr>
              <w:spacing w:after="0" w:line="240" w:lineRule="auto"/>
              <w:rPr>
                <w:rFonts w:ascii="Arial" w:eastAsia="Times New Roman" w:hAnsi="Arial" w:cs="Arial"/>
                <w:color w:val="000000"/>
                <w:sz w:val="18"/>
                <w:szCs w:val="18"/>
                <w:lang w:val="mn-MN"/>
              </w:rPr>
            </w:pPr>
            <w:r w:rsidRPr="0046672D">
              <w:rPr>
                <w:rFonts w:ascii="Arial" w:eastAsia="Times New Roman" w:hAnsi="Arial" w:cs="Arial"/>
                <w:color w:val="000000"/>
                <w:sz w:val="18"/>
                <w:szCs w:val="18"/>
                <w:lang w:val="mn-MN"/>
              </w:rPr>
              <w:t xml:space="preserve">   /нийт өрд эзлэх хувь/</w:t>
            </w:r>
          </w:p>
        </w:tc>
        <w:tc>
          <w:tcPr>
            <w:tcW w:w="1380" w:type="dxa"/>
            <w:tcBorders>
              <w:top w:val="nil"/>
              <w:left w:val="nil"/>
              <w:bottom w:val="single" w:sz="8" w:space="0" w:color="auto"/>
              <w:right w:val="single" w:sz="8" w:space="0" w:color="auto"/>
            </w:tcBorders>
            <w:shd w:val="clear" w:color="auto" w:fill="auto"/>
            <w:vAlign w:val="center"/>
            <w:hideMark/>
          </w:tcPr>
          <w:p w14:paraId="576E2D35" w14:textId="77777777" w:rsidR="00B052FA" w:rsidRPr="0046672D" w:rsidRDefault="00B052FA" w:rsidP="00673716">
            <w:pPr>
              <w:spacing w:after="0" w:line="240" w:lineRule="auto"/>
              <w:jc w:val="center"/>
              <w:rPr>
                <w:rFonts w:ascii="Arial" w:eastAsia="Times New Roman" w:hAnsi="Arial" w:cs="Arial"/>
                <w:b/>
                <w:bCs/>
                <w:color w:val="000000"/>
                <w:sz w:val="18"/>
                <w:szCs w:val="18"/>
                <w:lang w:val="mn-MN"/>
              </w:rPr>
            </w:pPr>
            <w:r w:rsidRPr="0046672D">
              <w:rPr>
                <w:rFonts w:ascii="Arial" w:eastAsia="Times New Roman" w:hAnsi="Arial" w:cs="Arial"/>
                <w:b/>
                <w:bCs/>
                <w:color w:val="000000"/>
                <w:sz w:val="18"/>
                <w:szCs w:val="18"/>
                <w:lang w:val="mn-MN"/>
              </w:rPr>
              <w:t>Доод</w:t>
            </w:r>
          </w:p>
        </w:tc>
        <w:tc>
          <w:tcPr>
            <w:tcW w:w="1044" w:type="dxa"/>
            <w:tcBorders>
              <w:top w:val="nil"/>
              <w:left w:val="nil"/>
              <w:bottom w:val="single" w:sz="8" w:space="0" w:color="auto"/>
              <w:right w:val="single" w:sz="8" w:space="0" w:color="auto"/>
            </w:tcBorders>
            <w:shd w:val="clear" w:color="auto" w:fill="auto"/>
            <w:noWrap/>
            <w:vAlign w:val="center"/>
            <w:hideMark/>
          </w:tcPr>
          <w:p w14:paraId="38C92F8F"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90</w:t>
            </w:r>
          </w:p>
        </w:tc>
        <w:tc>
          <w:tcPr>
            <w:tcW w:w="992" w:type="dxa"/>
            <w:tcBorders>
              <w:top w:val="nil"/>
              <w:left w:val="nil"/>
              <w:bottom w:val="single" w:sz="8" w:space="0" w:color="auto"/>
              <w:right w:val="single" w:sz="8" w:space="0" w:color="auto"/>
            </w:tcBorders>
            <w:shd w:val="clear" w:color="auto" w:fill="auto"/>
            <w:noWrap/>
            <w:vAlign w:val="center"/>
            <w:hideMark/>
          </w:tcPr>
          <w:p w14:paraId="19324A9B"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90</w:t>
            </w:r>
          </w:p>
        </w:tc>
        <w:tc>
          <w:tcPr>
            <w:tcW w:w="1134" w:type="dxa"/>
            <w:tcBorders>
              <w:top w:val="nil"/>
              <w:left w:val="nil"/>
              <w:bottom w:val="single" w:sz="8" w:space="0" w:color="auto"/>
              <w:right w:val="single" w:sz="8" w:space="0" w:color="auto"/>
            </w:tcBorders>
            <w:shd w:val="clear" w:color="auto" w:fill="auto"/>
            <w:vAlign w:val="center"/>
            <w:hideMark/>
          </w:tcPr>
          <w:p w14:paraId="3964E4FD"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88</w:t>
            </w:r>
          </w:p>
        </w:tc>
        <w:tc>
          <w:tcPr>
            <w:tcW w:w="1276" w:type="dxa"/>
            <w:tcBorders>
              <w:top w:val="nil"/>
              <w:left w:val="nil"/>
              <w:bottom w:val="single" w:sz="8" w:space="0" w:color="auto"/>
              <w:right w:val="single" w:sz="8" w:space="0" w:color="auto"/>
            </w:tcBorders>
            <w:shd w:val="clear" w:color="auto" w:fill="auto"/>
            <w:vAlign w:val="center"/>
            <w:hideMark/>
          </w:tcPr>
          <w:p w14:paraId="6EB19F17" w14:textId="77777777" w:rsidR="00B052FA" w:rsidRPr="0046672D" w:rsidRDefault="00B052FA" w:rsidP="00673716">
            <w:pPr>
              <w:spacing w:after="0" w:line="240" w:lineRule="auto"/>
              <w:jc w:val="center"/>
              <w:rPr>
                <w:rFonts w:ascii="Arial" w:eastAsia="Times New Roman" w:hAnsi="Arial" w:cs="Arial"/>
                <w:b/>
                <w:bCs/>
                <w:color w:val="0070C0"/>
                <w:sz w:val="18"/>
                <w:szCs w:val="18"/>
                <w:lang w:val="mn-MN"/>
              </w:rPr>
            </w:pPr>
            <w:r w:rsidRPr="0046672D">
              <w:rPr>
                <w:rFonts w:ascii="Arial" w:eastAsia="Times New Roman" w:hAnsi="Arial" w:cs="Arial"/>
                <w:b/>
                <w:bCs/>
                <w:color w:val="0070C0"/>
                <w:sz w:val="18"/>
                <w:szCs w:val="18"/>
                <w:lang w:val="mn-MN"/>
              </w:rPr>
              <w:t>86</w:t>
            </w:r>
          </w:p>
        </w:tc>
      </w:tr>
    </w:tbl>
    <w:p w14:paraId="0B81FBEA" w14:textId="77777777" w:rsidR="00B052FA" w:rsidRPr="0046672D" w:rsidRDefault="00B052FA" w:rsidP="00B052FA">
      <w:pPr>
        <w:ind w:firstLine="360"/>
        <w:jc w:val="center"/>
        <w:rPr>
          <w:rFonts w:ascii="Arial" w:hAnsi="Arial" w:cs="Arial"/>
          <w:b/>
          <w:color w:val="000000" w:themeColor="text1"/>
          <w:sz w:val="24"/>
          <w:szCs w:val="24"/>
          <w:lang w:val="mn-MN"/>
        </w:rPr>
      </w:pPr>
      <w:r w:rsidRPr="0046672D">
        <w:rPr>
          <w:rFonts w:ascii="Arial" w:hAnsi="Arial" w:cs="Arial"/>
          <w:i/>
          <w:sz w:val="20"/>
          <w:szCs w:val="24"/>
          <w:lang w:val="mn-MN"/>
        </w:rPr>
        <w:t>Эх сурвалж: Сангийн яам</w:t>
      </w:r>
    </w:p>
    <w:bookmarkEnd w:id="6"/>
    <w:p w14:paraId="14A9E639" w14:textId="77777777" w:rsidR="00B052FA" w:rsidRPr="0046672D" w:rsidRDefault="00B052FA" w:rsidP="00B052FA">
      <w:pPr>
        <w:ind w:firstLine="720"/>
        <w:jc w:val="both"/>
        <w:rPr>
          <w:rFonts w:ascii="Arial" w:hAnsi="Arial" w:cs="Arial"/>
          <w:b/>
          <w:color w:val="000000" w:themeColor="text1"/>
          <w:sz w:val="24"/>
          <w:szCs w:val="24"/>
          <w:lang w:val="mn-MN"/>
        </w:rPr>
      </w:pPr>
      <w:r w:rsidRPr="0046672D">
        <w:rPr>
          <w:rFonts w:ascii="Arial" w:hAnsi="Arial" w:cs="Arial"/>
          <w:b/>
          <w:color w:val="000000" w:themeColor="text1"/>
          <w:sz w:val="24"/>
          <w:szCs w:val="24"/>
          <w:lang w:val="mn-MN"/>
        </w:rPr>
        <w:t>3.2.1 Өрийн зардал</w:t>
      </w:r>
    </w:p>
    <w:p w14:paraId="54F1E49C"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Стратегийн баримт бичгийн хэрэгжилтийн хугацаанд буюу 2019-2022 онд хүүгийн түвшин өндөр Засгийн газрын дотоод үнэт цаас арилжаалаагүй бөгөөд хөнгөлөлттэй зээлээр төсвийн алдагдлыг нөхөх, төсөл хөтөлбөрийг санхүүжүүлэх бодлого баримталсан.</w:t>
      </w:r>
    </w:p>
    <w:p w14:paraId="5EDC0E96"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Түүнчлэн өндөр хүү бүхий Мазаалай, Гэрэгэ болон Чингис бондуудыг бага хүүтэй Сенчири, Номад бондоор дахин санхүүжүүлснээр өрийн багцын жигнэсэн дундаж хүү 2019 онд 4.2 хувь байсан бол 2020 онд 3.2 хувь, 2021 онд 3.0 хувь, 2022 оны хүлээгдэж буй гүйцэтгэлээр 2.9 хувь болж тус тус буураад байна.</w:t>
      </w:r>
    </w:p>
    <w:p w14:paraId="3B286922" w14:textId="77777777" w:rsidR="00B052FA" w:rsidRPr="0046672D" w:rsidRDefault="00B052FA" w:rsidP="00B052FA">
      <w:pPr>
        <w:ind w:firstLine="720"/>
        <w:jc w:val="both"/>
        <w:rPr>
          <w:rFonts w:ascii="Arial" w:hAnsi="Arial" w:cs="Arial"/>
          <w:b/>
          <w:sz w:val="24"/>
          <w:szCs w:val="24"/>
          <w:lang w:val="mn-MN"/>
        </w:rPr>
      </w:pPr>
      <w:r w:rsidRPr="0046672D">
        <w:rPr>
          <w:rFonts w:ascii="Arial" w:hAnsi="Arial" w:cs="Arial"/>
          <w:b/>
          <w:sz w:val="24"/>
          <w:szCs w:val="24"/>
          <w:lang w:val="mn-MN"/>
        </w:rPr>
        <w:t>3.2.2 Дахин санхүүжилтийн эрсдэл</w:t>
      </w:r>
    </w:p>
    <w:p w14:paraId="1856129F"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Богино хугацаат арилжааны зээлийн эх үүсвэр авч ашиглахаас татгалзаж, урт хугацаат хөнгөлөлттэй зээл авч ашиглан, Засгийн газрын дотоод үнэт цаас гаргалгүй, хугацаа тулаад байсан гадаад үнэт цааснуудыг 7-10 жилийн хугацаатай үнэт цаасаар дахин санхүүжүүлснээр Засгийн газрын өрийн эргэн төлөх дундаж хугацаа 2018 онд 8.2 жил байсан бол 2022 оны хүлээгдэж буй гүйцэтгэлээр 8.6 болж өсөхөөр байна.</w:t>
      </w:r>
    </w:p>
    <w:p w14:paraId="39152C5D" w14:textId="77777777" w:rsidR="00B052FA" w:rsidRPr="0046672D" w:rsidRDefault="00B052FA" w:rsidP="00B052FA">
      <w:pPr>
        <w:ind w:firstLine="720"/>
        <w:jc w:val="both"/>
        <w:rPr>
          <w:rFonts w:ascii="Arial" w:hAnsi="Arial" w:cs="Arial"/>
          <w:b/>
          <w:sz w:val="24"/>
          <w:szCs w:val="24"/>
          <w:lang w:val="mn-MN"/>
        </w:rPr>
      </w:pPr>
      <w:r w:rsidRPr="0046672D">
        <w:rPr>
          <w:rFonts w:ascii="Arial" w:hAnsi="Arial" w:cs="Arial"/>
          <w:b/>
          <w:sz w:val="24"/>
          <w:szCs w:val="24"/>
          <w:lang w:val="mn-MN"/>
        </w:rPr>
        <w:t>3.2.3 Хүүгийн эрсдэл</w:t>
      </w:r>
    </w:p>
    <w:p w14:paraId="7C53B403" w14:textId="77777777" w:rsidR="00B052FA" w:rsidRPr="0046672D" w:rsidRDefault="00B052FA" w:rsidP="00B052FA">
      <w:pPr>
        <w:ind w:firstLine="720"/>
        <w:jc w:val="both"/>
        <w:rPr>
          <w:rFonts w:ascii="Arial" w:hAnsi="Arial" w:cs="Arial"/>
          <w:sz w:val="24"/>
          <w:szCs w:val="24"/>
          <w:lang w:val="mn-MN" w:eastAsia="ja-JP"/>
        </w:rPr>
      </w:pPr>
      <w:r w:rsidRPr="0046672D">
        <w:rPr>
          <w:rFonts w:ascii="Arial" w:hAnsi="Arial" w:cs="Arial"/>
          <w:sz w:val="24"/>
          <w:szCs w:val="24"/>
          <w:lang w:val="mn-MN"/>
        </w:rPr>
        <w:t>Стратегийн баримт бичгийн хэрэгжилтийн хугацаанд төсвийн алдагдлыг нөхөх, төсөл хөтөлбөрийг санхүүжүүлэх эх үүсвэрийг тогтмол хүүтэй зээлээр түлхүү санхүүжүүлэх, цаашлаад Лондонгийн банк хоорондын хүү /ЛИБОР/ хэрэглэгдэхээ больж байгаатай холбогдуулан зарим хувьсах хүүтэй өрийг тогтмол хүүтэй болгох төлөвлөгөөтэй байна. Үүнтэй холбоотойгоор тус арга хэмжээний хүрээнд Өрийн удирдлагын тухай хууль, Олон улсын гэрээний тухай хуулийн дагуу Засгийн газарт хувьсах хүүтэй зээлүүдийг шаардлагатай бол тогтмол хүүтэй болгох тухай асуудлыг Засгийн газарт танилцуулан шийдвэрлүүлж</w:t>
      </w:r>
      <w:r w:rsidRPr="0046672D">
        <w:rPr>
          <w:rFonts w:ascii="Arial" w:hAnsi="Arial" w:cs="Arial"/>
          <w:sz w:val="24"/>
          <w:szCs w:val="24"/>
          <w:lang w:val="mn-MN" w:eastAsia="ja-JP"/>
        </w:rPr>
        <w:t xml:space="preserve"> 2022 оны 02 дугаар сарын 01-ний өдрийн 62 дугаар тогтоолыг батлуулсан.</w:t>
      </w:r>
    </w:p>
    <w:p w14:paraId="322DDB31"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lastRenderedPageBreak/>
        <w:t>Засгийн газрын өрийн хүү шинэчлэгдэх дундаж хугацаа 2018 онд 7.6 жил байсан бол 2022 оны хүлээгдэж буй гүйцэтгэлээр 7.7 болж өсөхөөр байна.</w:t>
      </w:r>
    </w:p>
    <w:p w14:paraId="243EA345" w14:textId="77777777" w:rsidR="00B052FA" w:rsidRPr="0046672D" w:rsidRDefault="00B052FA" w:rsidP="00B052FA">
      <w:pPr>
        <w:ind w:firstLine="720"/>
        <w:jc w:val="both"/>
        <w:rPr>
          <w:rFonts w:ascii="Arial" w:hAnsi="Arial" w:cs="Arial"/>
          <w:b/>
          <w:sz w:val="24"/>
          <w:szCs w:val="24"/>
          <w:lang w:val="mn-MN"/>
        </w:rPr>
      </w:pPr>
      <w:r w:rsidRPr="0046672D">
        <w:rPr>
          <w:rFonts w:ascii="Arial" w:hAnsi="Arial" w:cs="Arial"/>
          <w:b/>
          <w:sz w:val="24"/>
          <w:szCs w:val="24"/>
          <w:lang w:val="mn-MN"/>
        </w:rPr>
        <w:t>3.2.4 Ханшийн эрсдэл</w:t>
      </w:r>
    </w:p>
    <w:p w14:paraId="120A57F3" w14:textId="77777777" w:rsidR="00B052FA" w:rsidRPr="0046672D" w:rsidRDefault="00B052FA" w:rsidP="00B052FA">
      <w:pPr>
        <w:ind w:firstLine="720"/>
        <w:jc w:val="both"/>
        <w:rPr>
          <w:rFonts w:ascii="Arial" w:hAnsi="Arial" w:cs="Arial"/>
          <w:sz w:val="24"/>
          <w:szCs w:val="24"/>
          <w:lang w:val="mn-MN"/>
        </w:rPr>
      </w:pPr>
      <w:r w:rsidRPr="0046672D">
        <w:rPr>
          <w:rFonts w:ascii="Arial" w:hAnsi="Arial" w:cs="Arial"/>
          <w:sz w:val="24"/>
          <w:szCs w:val="24"/>
          <w:lang w:val="mn-MN"/>
        </w:rPr>
        <w:t>Засгийн газрын дотоод үнэт цаасыг 2017 оноос эхлэн арилжаалаагүй, төсвийн алдагдлыг санхүүжүүлэх, төсөл хөтөлбөрийг санхүүжүүлэх зорилгоор авсан зээллэгүүд нь гадаад валютаар илэрхийлэгдсэн, түүнчлэн Засгийн газрын дотоод үнэт цаас арилжаалаагүй тул гадаад валютаар илэрхийлсэн өрийн өрийн баталгаа болон барих-шилжүүлэх концессоос бусад Засгийн газрын өрд эзлэх хувь 2019 онд 93.7 хувь байсан бол 2020 онд 95.6 хувь, 2021 онд 97.5 хувьд хүрч өссөн байна.</w:t>
      </w:r>
    </w:p>
    <w:p w14:paraId="31DCBC80" w14:textId="77777777" w:rsidR="00B052FA" w:rsidRPr="0046672D" w:rsidRDefault="00B052FA" w:rsidP="00B052FA">
      <w:pPr>
        <w:jc w:val="both"/>
        <w:rPr>
          <w:rFonts w:ascii="Arial" w:hAnsi="Arial" w:cs="Arial"/>
          <w:color w:val="000000" w:themeColor="text1"/>
          <w:sz w:val="24"/>
          <w:szCs w:val="24"/>
          <w:lang w:val="mn-MN"/>
        </w:rPr>
      </w:pPr>
      <w:r w:rsidRPr="0046672D">
        <w:rPr>
          <w:rFonts w:ascii="Arial" w:hAnsi="Arial" w:cs="Arial"/>
          <w:b/>
          <w:bCs/>
          <w:color w:val="000000" w:themeColor="text1"/>
          <w:sz w:val="24"/>
          <w:szCs w:val="24"/>
          <w:lang w:val="mn-MN"/>
        </w:rPr>
        <w:t>4.</w:t>
      </w:r>
      <w:r w:rsidRPr="0046672D">
        <w:rPr>
          <w:rFonts w:ascii="Arial" w:hAnsi="Arial" w:cs="Arial"/>
          <w:color w:val="000000" w:themeColor="text1"/>
          <w:sz w:val="24"/>
          <w:szCs w:val="24"/>
          <w:lang w:val="mn-MN"/>
        </w:rPr>
        <w:tab/>
      </w:r>
      <w:r w:rsidRPr="0046672D">
        <w:rPr>
          <w:rFonts w:ascii="Arial" w:hAnsi="Arial" w:cs="Arial"/>
          <w:b/>
          <w:bCs/>
          <w:color w:val="000000" w:themeColor="text1"/>
          <w:sz w:val="24"/>
          <w:szCs w:val="24"/>
          <w:lang w:val="mn-MN"/>
        </w:rPr>
        <w:t>ДҮГНЭЛТ</w:t>
      </w:r>
    </w:p>
    <w:p w14:paraId="7C384F51" w14:textId="77777777" w:rsidR="00B052FA" w:rsidRPr="0046672D" w:rsidRDefault="00B052FA" w:rsidP="00B052FA">
      <w:pPr>
        <w:jc w:val="both"/>
        <w:rPr>
          <w:rStyle w:val="normaltextrun"/>
          <w:rFonts w:ascii="Arial" w:eastAsia="Times New Roman" w:hAnsi="Arial" w:cs="Arial"/>
          <w:lang w:val="mn-MN"/>
        </w:rPr>
      </w:pPr>
      <w:r w:rsidRPr="0046672D">
        <w:rPr>
          <w:rStyle w:val="normaltextrun"/>
          <w:rFonts w:ascii="Arial" w:eastAsia="Times New Roman" w:hAnsi="Arial" w:cs="Arial"/>
          <w:lang w:val="mn-MN"/>
        </w:rPr>
        <w:tab/>
        <w:t>Монгол Улсын Засгийн газраас Өрийн удирдлагын 2019-2022 оны стратегийн баримт бичгийг хэрэгжүүлэх хугацаанд Ковид-19 цар тахлын улмаас эдийн засгийн хүндрэлтэй нөхцөл байдалтай тулгарсан ч Улсын Их Хурал, Засгийн газраас зохистой бодлого, багц арга хэмжээг  шуурхай авч хэрэгжүүлсний үр дүнд бодлогын зорилт, үр дүнгийн үзүүлэлтүүдийг хангаж чадлаа.</w:t>
      </w:r>
    </w:p>
    <w:p w14:paraId="1747C7F2" w14:textId="77777777" w:rsidR="00B052FA" w:rsidRPr="0046672D" w:rsidRDefault="00B052FA" w:rsidP="00B052FA">
      <w:pPr>
        <w:jc w:val="both"/>
        <w:rPr>
          <w:rStyle w:val="normaltextrun"/>
          <w:rFonts w:ascii="Arial" w:eastAsia="Times New Roman" w:hAnsi="Arial" w:cs="Arial"/>
          <w:lang w:val="mn-MN"/>
        </w:rPr>
      </w:pPr>
      <w:r w:rsidRPr="0046672D">
        <w:rPr>
          <w:rStyle w:val="normaltextrun"/>
          <w:rFonts w:ascii="Arial" w:eastAsia="Times New Roman" w:hAnsi="Arial" w:cs="Arial"/>
          <w:lang w:val="mn-MN"/>
        </w:rPr>
        <w:tab/>
        <w:t>Түүнчлэн томоохон зарим ахиц дэвшилтийг дурдвал, Засгийн газрын гадаад үнэт цаасыг дахин санхүүжүүлэх байдлаар Номад болон Сенчири өрийн зохицуулалтын төслийг амжилттай хэрэгжүүлэн хүүгийн түвшинг түүхэнд байгаагүй бага дүнд хүргэсэн, цар талын хүндрэлтэй нөхцөлд өрийн дээд хязгаарыг төсвийн тогтвортой байдлын тухай хуульд заасны дагуу зохистой төвшинд хадгалсан, цаашид илүү үр өгөөжтэй төсөл хөтөлбөрүүдийг санхүүжүүлэх гадаад зээлийг ашиглах боломжийг бүрдүүлсэн байна.</w:t>
      </w:r>
    </w:p>
    <w:p w14:paraId="37CE4995" w14:textId="77777777" w:rsidR="00B052FA" w:rsidRPr="0046672D" w:rsidRDefault="00B052FA" w:rsidP="00B052FA">
      <w:pPr>
        <w:jc w:val="both"/>
        <w:rPr>
          <w:rStyle w:val="normaltextrun"/>
          <w:rFonts w:eastAsia="Times New Roman"/>
          <w:lang w:val="mn-MN"/>
        </w:rPr>
      </w:pPr>
    </w:p>
    <w:p w14:paraId="7FE9BB95" w14:textId="77777777" w:rsidR="00B052FA" w:rsidRPr="0046672D" w:rsidRDefault="00B052FA" w:rsidP="00B052FA">
      <w:pPr>
        <w:jc w:val="both"/>
        <w:rPr>
          <w:rStyle w:val="normaltextrun"/>
          <w:rFonts w:eastAsia="Times New Roman"/>
          <w:lang w:val="mn-MN"/>
        </w:rPr>
      </w:pPr>
    </w:p>
    <w:p w14:paraId="44CE36E5" w14:textId="77777777" w:rsidR="00B052FA" w:rsidRPr="0046672D" w:rsidRDefault="00B052FA" w:rsidP="00B052FA">
      <w:pPr>
        <w:jc w:val="both"/>
        <w:rPr>
          <w:rStyle w:val="normaltextrun"/>
          <w:rFonts w:eastAsia="Times New Roman"/>
          <w:lang w:val="mn-MN"/>
        </w:rPr>
      </w:pPr>
    </w:p>
    <w:p w14:paraId="361CBB18" w14:textId="77777777" w:rsidR="00B052FA" w:rsidRPr="0046672D" w:rsidRDefault="00B052FA" w:rsidP="00B052FA">
      <w:pPr>
        <w:jc w:val="both"/>
        <w:rPr>
          <w:rStyle w:val="normaltextrun"/>
          <w:rFonts w:eastAsia="Times New Roman"/>
          <w:lang w:val="mn-MN"/>
        </w:rPr>
      </w:pPr>
    </w:p>
    <w:p w14:paraId="7200C7FE" w14:textId="77777777" w:rsidR="00B052FA" w:rsidRPr="0046672D" w:rsidRDefault="00B052FA" w:rsidP="00B052FA">
      <w:pPr>
        <w:jc w:val="both"/>
        <w:rPr>
          <w:rStyle w:val="normaltextrun"/>
          <w:rFonts w:eastAsia="Times New Roman"/>
          <w:lang w:val="mn-MN"/>
        </w:rPr>
      </w:pPr>
    </w:p>
    <w:p w14:paraId="1FA7483D" w14:textId="77777777" w:rsidR="00B052FA" w:rsidRPr="0046672D" w:rsidRDefault="00B052FA" w:rsidP="00B052FA">
      <w:pPr>
        <w:jc w:val="both"/>
        <w:rPr>
          <w:rStyle w:val="normaltextrun"/>
          <w:rFonts w:eastAsia="Times New Roman"/>
          <w:lang w:val="mn-MN"/>
        </w:rPr>
      </w:pPr>
    </w:p>
    <w:p w14:paraId="45F05A2F" w14:textId="77777777" w:rsidR="00B052FA" w:rsidRPr="0046672D" w:rsidRDefault="00B052FA" w:rsidP="00B052FA">
      <w:pPr>
        <w:jc w:val="both"/>
        <w:rPr>
          <w:rStyle w:val="normaltextrun"/>
          <w:rFonts w:eastAsia="Times New Roman"/>
          <w:lang w:val="mn-MN"/>
        </w:rPr>
      </w:pPr>
    </w:p>
    <w:p w14:paraId="677B9FE7" w14:textId="77777777" w:rsidR="00B052FA" w:rsidRPr="0046672D" w:rsidRDefault="00B052FA" w:rsidP="00B052FA">
      <w:pPr>
        <w:jc w:val="both"/>
        <w:rPr>
          <w:rStyle w:val="normaltextrun"/>
          <w:rFonts w:eastAsia="Times New Roman"/>
          <w:lang w:val="mn-MN"/>
        </w:rPr>
      </w:pPr>
    </w:p>
    <w:p w14:paraId="2E7EDF63" w14:textId="77777777" w:rsidR="00B052FA" w:rsidRPr="0046672D" w:rsidRDefault="00B052FA" w:rsidP="00B052FA">
      <w:pPr>
        <w:jc w:val="both"/>
        <w:rPr>
          <w:rStyle w:val="normaltextrun"/>
          <w:rFonts w:eastAsia="Times New Roman"/>
          <w:lang w:val="mn-MN"/>
        </w:rPr>
      </w:pPr>
    </w:p>
    <w:p w14:paraId="1DED1514" w14:textId="77777777" w:rsidR="00B052FA" w:rsidRPr="0046672D" w:rsidRDefault="00B052FA" w:rsidP="00B052FA">
      <w:pPr>
        <w:jc w:val="both"/>
        <w:rPr>
          <w:rStyle w:val="normaltextrun"/>
          <w:rFonts w:eastAsia="Times New Roman"/>
          <w:lang w:val="mn-MN"/>
        </w:rPr>
      </w:pPr>
    </w:p>
    <w:p w14:paraId="79ACD223" w14:textId="77777777" w:rsidR="00B052FA" w:rsidRPr="0046672D" w:rsidRDefault="00B052FA" w:rsidP="00B052FA">
      <w:pPr>
        <w:jc w:val="both"/>
        <w:rPr>
          <w:rStyle w:val="normaltextrun"/>
          <w:rFonts w:eastAsia="Times New Roman"/>
          <w:lang w:val="mn-MN"/>
        </w:rPr>
      </w:pPr>
    </w:p>
    <w:p w14:paraId="7277BFDC" w14:textId="77777777" w:rsidR="00B052FA" w:rsidRPr="0046672D" w:rsidRDefault="00B052FA" w:rsidP="00B052FA">
      <w:pPr>
        <w:jc w:val="both"/>
        <w:rPr>
          <w:rStyle w:val="normaltextrun"/>
          <w:rFonts w:eastAsia="Times New Roman"/>
          <w:lang w:val="mn-MN"/>
        </w:rPr>
      </w:pPr>
    </w:p>
    <w:p w14:paraId="074261A3" w14:textId="77777777" w:rsidR="00B052FA" w:rsidRPr="0046672D" w:rsidRDefault="00B052FA" w:rsidP="00B052FA">
      <w:pPr>
        <w:jc w:val="both"/>
        <w:rPr>
          <w:rStyle w:val="normaltextrun"/>
          <w:rFonts w:eastAsia="Times New Roman"/>
          <w:lang w:val="mn-MN"/>
        </w:rPr>
      </w:pPr>
    </w:p>
    <w:p w14:paraId="18A85C7F" w14:textId="77777777" w:rsidR="00B052FA" w:rsidRPr="0046672D" w:rsidRDefault="00B052FA" w:rsidP="00B052FA">
      <w:pPr>
        <w:jc w:val="both"/>
        <w:rPr>
          <w:rStyle w:val="normaltextrun"/>
          <w:rFonts w:eastAsia="Times New Roman"/>
          <w:lang w:val="mn-MN"/>
        </w:rPr>
      </w:pPr>
    </w:p>
    <w:p w14:paraId="0DF1230C" w14:textId="77777777" w:rsidR="00B052FA" w:rsidRPr="0046672D" w:rsidRDefault="00B052FA" w:rsidP="00B052FA">
      <w:pPr>
        <w:jc w:val="both"/>
        <w:rPr>
          <w:rStyle w:val="normaltextrun"/>
          <w:rFonts w:eastAsia="Times New Roman"/>
          <w:lang w:val="mn-MN"/>
        </w:rPr>
      </w:pPr>
    </w:p>
    <w:p w14:paraId="76DA2B98" w14:textId="77777777" w:rsidR="00B052FA" w:rsidRPr="0046672D" w:rsidRDefault="00B052FA" w:rsidP="00B052FA">
      <w:pPr>
        <w:jc w:val="both"/>
        <w:rPr>
          <w:rStyle w:val="normaltextrun"/>
          <w:rFonts w:eastAsia="Times New Roman"/>
          <w:lang w:val="mn-MN"/>
        </w:rPr>
      </w:pPr>
    </w:p>
    <w:p w14:paraId="2AC754D1" w14:textId="77777777" w:rsidR="00B052FA" w:rsidRPr="0046672D" w:rsidRDefault="00B052FA" w:rsidP="00B052FA">
      <w:pPr>
        <w:jc w:val="both"/>
        <w:rPr>
          <w:rStyle w:val="normaltextrun"/>
          <w:rFonts w:eastAsia="Times New Roman"/>
          <w:lang w:val="mn-MN"/>
        </w:rPr>
      </w:pPr>
    </w:p>
    <w:p w14:paraId="3C0D8D4C" w14:textId="77777777" w:rsidR="00B052FA" w:rsidRPr="0046672D" w:rsidRDefault="00B052FA" w:rsidP="00B052FA">
      <w:pPr>
        <w:jc w:val="both"/>
        <w:rPr>
          <w:rStyle w:val="normaltextrun"/>
          <w:rFonts w:eastAsia="Times New Roman"/>
          <w:lang w:val="mn-MN"/>
        </w:rPr>
      </w:pPr>
    </w:p>
    <w:p w14:paraId="6EF27F5D" w14:textId="77777777" w:rsidR="00B052FA" w:rsidRPr="0046672D" w:rsidRDefault="00B052FA" w:rsidP="00B052FA">
      <w:pPr>
        <w:pStyle w:val="Heading2"/>
      </w:pPr>
      <w:r w:rsidRPr="0046672D">
        <w:t>ХАВСРАЛТ</w:t>
      </w:r>
    </w:p>
    <w:p w14:paraId="680CFC0F" w14:textId="77777777" w:rsidR="00B052FA" w:rsidRPr="0046672D" w:rsidRDefault="00B052FA" w:rsidP="00B052FA">
      <w:pPr>
        <w:pStyle w:val="TableofFigures"/>
        <w:tabs>
          <w:tab w:val="right" w:leader="dot" w:pos="9628"/>
        </w:tabs>
        <w:rPr>
          <w:rFonts w:ascii="Times New Roman" w:hAnsi="Times New Roman" w:cs="Times New Roman"/>
          <w:b/>
          <w:lang w:val="mn-MN"/>
        </w:rPr>
      </w:pPr>
    </w:p>
    <w:p w14:paraId="552EAD3B" w14:textId="77777777" w:rsidR="00B052FA" w:rsidRPr="0046672D" w:rsidRDefault="00B052FA" w:rsidP="00B052FA">
      <w:pPr>
        <w:pStyle w:val="TableofFigures"/>
        <w:tabs>
          <w:tab w:val="right" w:leader="dot" w:pos="9628"/>
        </w:tabs>
        <w:rPr>
          <w:b/>
          <w:sz w:val="20"/>
          <w:szCs w:val="20"/>
          <w:lang w:val="mn-MN"/>
        </w:rPr>
      </w:pPr>
      <w:r w:rsidRPr="0046672D">
        <w:rPr>
          <w:b/>
          <w:sz w:val="20"/>
          <w:szCs w:val="20"/>
          <w:lang w:val="mn-MN"/>
        </w:rPr>
        <w:t>Хүснэгтийн жагсаалт</w:t>
      </w:r>
    </w:p>
    <w:p w14:paraId="7AB88BD8" w14:textId="3899F781" w:rsidR="00B052FA" w:rsidRPr="0046672D" w:rsidRDefault="00B052FA" w:rsidP="00B052FA">
      <w:pPr>
        <w:spacing w:after="0"/>
        <w:jc w:val="both"/>
        <w:rPr>
          <w:rFonts w:ascii="Arial" w:hAnsi="Arial" w:cs="Arial"/>
          <w:lang w:val="mn-MN"/>
        </w:rPr>
      </w:pPr>
      <w:r w:rsidRPr="0046672D">
        <w:rPr>
          <w:rFonts w:ascii="Arial" w:hAnsi="Arial" w:cs="Arial"/>
          <w:bCs/>
          <w:iCs/>
          <w:lang w:val="mn-MN"/>
        </w:rPr>
        <w:t>Хүснэгт № 1 Улсын нийт гадаад өрийн статистик 2019-2021 /сая ам.доллар/</w:t>
      </w:r>
      <w:r w:rsidRPr="0046672D">
        <w:rPr>
          <w:rFonts w:ascii="Arial" w:hAnsi="Arial" w:cs="Arial"/>
          <w:lang w:val="mn-MN"/>
        </w:rPr>
        <w:t>…………….…...</w:t>
      </w:r>
      <w:r w:rsidRPr="0046672D">
        <w:rPr>
          <w:rFonts w:ascii="Arial" w:hAnsi="Arial" w:cs="Arial"/>
          <w:lang w:val="mn-MN"/>
        </w:rPr>
        <w:tab/>
        <w:t>2</w:t>
      </w:r>
    </w:p>
    <w:p w14:paraId="14D9CE63" w14:textId="3ED4E769" w:rsidR="00B052FA" w:rsidRPr="0046672D" w:rsidRDefault="00B052FA" w:rsidP="00B052FA">
      <w:pPr>
        <w:spacing w:after="0"/>
        <w:jc w:val="both"/>
        <w:rPr>
          <w:rFonts w:ascii="Arial" w:hAnsi="Arial" w:cs="Arial"/>
          <w:lang w:val="mn-MN"/>
        </w:rPr>
      </w:pPr>
      <w:r w:rsidRPr="0046672D">
        <w:rPr>
          <w:rFonts w:ascii="Arial" w:hAnsi="Arial" w:cs="Arial"/>
          <w:iCs/>
          <w:lang w:val="mn-MN"/>
        </w:rPr>
        <w:t>Хүснэгт № 2 Засгийн газрын өр</w:t>
      </w:r>
      <w:r w:rsidRPr="0046672D">
        <w:rPr>
          <w:rFonts w:ascii="Arial" w:hAnsi="Arial" w:cs="Arial"/>
          <w:lang w:val="mn-MN"/>
        </w:rPr>
        <w:t xml:space="preserve"> 2019-2022…………………………………………………………...</w:t>
      </w:r>
      <w:r w:rsidRPr="0046672D">
        <w:rPr>
          <w:rFonts w:ascii="Arial" w:hAnsi="Arial" w:cs="Arial"/>
          <w:lang w:val="mn-MN"/>
        </w:rPr>
        <w:tab/>
        <w:t>3</w:t>
      </w:r>
    </w:p>
    <w:p w14:paraId="02CF7B9E" w14:textId="6A60603C" w:rsidR="00B052FA" w:rsidRPr="0046672D" w:rsidRDefault="00B052FA" w:rsidP="00B052FA">
      <w:pPr>
        <w:spacing w:after="0"/>
        <w:jc w:val="both"/>
        <w:rPr>
          <w:rFonts w:ascii="Arial" w:hAnsi="Arial" w:cs="Arial"/>
          <w:lang w:val="mn-MN"/>
        </w:rPr>
      </w:pPr>
      <w:r w:rsidRPr="0046672D">
        <w:rPr>
          <w:rFonts w:ascii="Arial" w:hAnsi="Arial" w:cs="Arial"/>
          <w:iCs/>
          <w:lang w:val="mn-MN"/>
        </w:rPr>
        <w:t>Хүснэгт № 3 Гадаад үнэт цаас, тэрбум төгрөг /2021.12.31/</w:t>
      </w:r>
      <w:r w:rsidRPr="0046672D">
        <w:rPr>
          <w:rFonts w:ascii="Arial" w:hAnsi="Arial" w:cs="Arial"/>
          <w:lang w:val="mn-MN"/>
        </w:rPr>
        <w:t>………………………………….........</w:t>
      </w:r>
      <w:r w:rsidRPr="0046672D">
        <w:rPr>
          <w:rFonts w:ascii="Arial" w:hAnsi="Arial" w:cs="Arial"/>
          <w:lang w:val="mn-MN"/>
        </w:rPr>
        <w:tab/>
        <w:t>4</w:t>
      </w:r>
    </w:p>
    <w:p w14:paraId="6CC61318" w14:textId="21FEC601" w:rsidR="00B052FA" w:rsidRPr="0046672D" w:rsidRDefault="00B052FA" w:rsidP="00B052FA">
      <w:pPr>
        <w:spacing w:after="0"/>
        <w:jc w:val="both"/>
        <w:rPr>
          <w:rFonts w:ascii="Arial" w:hAnsi="Arial" w:cs="Arial"/>
          <w:lang w:val="mn-MN"/>
        </w:rPr>
      </w:pPr>
      <w:r w:rsidRPr="0046672D">
        <w:rPr>
          <w:rFonts w:ascii="Arial" w:hAnsi="Arial" w:cs="Arial"/>
          <w:lang w:val="mn-MN"/>
        </w:rPr>
        <w:t>Хүснэгт № 4 Гадаад зээлийн ашиглалт, тэрбум төгрөг /2021.12.31/……………………………..</w:t>
      </w:r>
      <w:r w:rsidRPr="0046672D">
        <w:rPr>
          <w:rFonts w:ascii="Arial" w:hAnsi="Arial" w:cs="Arial"/>
          <w:lang w:val="mn-MN"/>
        </w:rPr>
        <w:tab/>
        <w:t>6</w:t>
      </w:r>
    </w:p>
    <w:p w14:paraId="05D7707E" w14:textId="79937B42" w:rsidR="00B052FA" w:rsidRPr="0046672D" w:rsidRDefault="00B052FA" w:rsidP="00B052FA">
      <w:pPr>
        <w:spacing w:after="0"/>
        <w:jc w:val="both"/>
        <w:rPr>
          <w:rFonts w:ascii="Arial" w:hAnsi="Arial" w:cs="Arial"/>
          <w:lang w:val="mn-MN"/>
        </w:rPr>
      </w:pPr>
      <w:r w:rsidRPr="0046672D">
        <w:rPr>
          <w:rFonts w:ascii="Arial" w:hAnsi="Arial" w:cs="Arial"/>
          <w:lang w:val="mn-MN"/>
        </w:rPr>
        <w:t>Хүснэгт № 5 Гадаад зээлийн үйлчилгээ, тэрбум.төгрөг /2021.12.31/………………...………….</w:t>
      </w:r>
      <w:r w:rsidRPr="0046672D">
        <w:rPr>
          <w:rFonts w:ascii="Arial" w:hAnsi="Arial" w:cs="Arial"/>
          <w:lang w:val="mn-MN"/>
        </w:rPr>
        <w:tab/>
        <w:t>6</w:t>
      </w:r>
    </w:p>
    <w:p w14:paraId="3503440D" w14:textId="5013D419" w:rsidR="00B052FA" w:rsidRPr="0046672D" w:rsidRDefault="00B052FA" w:rsidP="00B052FA">
      <w:pPr>
        <w:spacing w:after="0"/>
        <w:jc w:val="both"/>
        <w:rPr>
          <w:rFonts w:ascii="Arial" w:hAnsi="Arial" w:cs="Arial"/>
          <w:lang w:val="mn-MN"/>
        </w:rPr>
      </w:pPr>
      <w:r w:rsidRPr="0046672D">
        <w:rPr>
          <w:rFonts w:ascii="Arial" w:hAnsi="Arial" w:cs="Arial"/>
          <w:iCs/>
          <w:lang w:val="mn-MN"/>
        </w:rPr>
        <w:t>Хүснэгт № 6 Засгийн газрын баталгаа /2021.12.31/</w:t>
      </w:r>
      <w:r w:rsidRPr="0046672D">
        <w:rPr>
          <w:rFonts w:ascii="Arial" w:hAnsi="Arial" w:cs="Arial"/>
          <w:lang w:val="mn-MN"/>
        </w:rPr>
        <w:t>…………………………………………………</w:t>
      </w:r>
      <w:r w:rsidRPr="0046672D">
        <w:rPr>
          <w:rFonts w:ascii="Arial" w:hAnsi="Arial" w:cs="Arial"/>
          <w:lang w:val="mn-MN"/>
        </w:rPr>
        <w:tab/>
        <w:t>7</w:t>
      </w:r>
    </w:p>
    <w:p w14:paraId="59567BFD" w14:textId="7CDC3840" w:rsidR="00B052FA" w:rsidRPr="0046672D" w:rsidRDefault="00B052FA" w:rsidP="00B052FA">
      <w:pPr>
        <w:spacing w:after="0"/>
        <w:jc w:val="both"/>
        <w:rPr>
          <w:rFonts w:ascii="Arial" w:hAnsi="Arial" w:cs="Arial"/>
          <w:lang w:val="mn-MN"/>
        </w:rPr>
      </w:pPr>
      <w:r w:rsidRPr="0046672D">
        <w:rPr>
          <w:rFonts w:ascii="Arial" w:hAnsi="Arial" w:cs="Arial"/>
          <w:lang w:val="mn-MN"/>
        </w:rPr>
        <w:t>Хүснэгт № 7 Засгийн газрын өрийн үйлчилгээ 2019-2021, тэрбум төгрөг……………………….</w:t>
      </w:r>
      <w:r w:rsidRPr="0046672D">
        <w:rPr>
          <w:rFonts w:ascii="Arial" w:hAnsi="Arial" w:cs="Arial"/>
          <w:lang w:val="mn-MN"/>
        </w:rPr>
        <w:tab/>
        <w:t>10</w:t>
      </w:r>
    </w:p>
    <w:p w14:paraId="65DF8DDF" w14:textId="2F286F11" w:rsidR="00B052FA" w:rsidRPr="0046672D" w:rsidRDefault="00B052FA" w:rsidP="00B052FA">
      <w:pPr>
        <w:spacing w:after="0"/>
        <w:jc w:val="both"/>
        <w:rPr>
          <w:rFonts w:ascii="Arial" w:hAnsi="Arial" w:cs="Arial"/>
          <w:lang w:val="mn-MN"/>
        </w:rPr>
      </w:pPr>
      <w:r w:rsidRPr="0046672D">
        <w:rPr>
          <w:rFonts w:ascii="Arial" w:hAnsi="Arial" w:cs="Arial"/>
          <w:color w:val="000000" w:themeColor="text1"/>
          <w:lang w:val="mn-MN"/>
        </w:rPr>
        <w:t>Хүснэгт № 8 Засгийн газрын өрийн багцын шинжилгээ…………………………………………….</w:t>
      </w:r>
      <w:r w:rsidRPr="0046672D">
        <w:rPr>
          <w:rFonts w:ascii="Arial" w:hAnsi="Arial" w:cs="Arial"/>
          <w:color w:val="000000" w:themeColor="text1"/>
          <w:lang w:val="mn-MN"/>
        </w:rPr>
        <w:tab/>
        <w:t>15</w:t>
      </w:r>
    </w:p>
    <w:p w14:paraId="4C52929B" w14:textId="77777777" w:rsidR="00B052FA" w:rsidRPr="0046672D" w:rsidRDefault="00B052FA" w:rsidP="00B052FA">
      <w:pPr>
        <w:jc w:val="both"/>
        <w:rPr>
          <w:rFonts w:ascii="Arial" w:hAnsi="Arial" w:cs="Arial"/>
          <w:sz w:val="20"/>
          <w:szCs w:val="20"/>
          <w:lang w:val="mn-MN"/>
        </w:rPr>
      </w:pPr>
    </w:p>
    <w:p w14:paraId="16CF220C" w14:textId="77777777" w:rsidR="00B052FA" w:rsidRPr="0046672D" w:rsidRDefault="00B052FA" w:rsidP="00B052FA">
      <w:pPr>
        <w:jc w:val="both"/>
        <w:rPr>
          <w:rFonts w:ascii="Arial" w:hAnsi="Arial" w:cs="Arial"/>
          <w:b/>
          <w:sz w:val="20"/>
          <w:szCs w:val="20"/>
          <w:lang w:val="mn-MN"/>
        </w:rPr>
      </w:pPr>
      <w:r w:rsidRPr="0046672D">
        <w:rPr>
          <w:rFonts w:ascii="Arial" w:hAnsi="Arial" w:cs="Arial"/>
          <w:b/>
          <w:sz w:val="20"/>
          <w:szCs w:val="20"/>
          <w:lang w:val="mn-MN"/>
        </w:rPr>
        <w:t>Графикийн жагсаалт</w:t>
      </w:r>
    </w:p>
    <w:p w14:paraId="2359E2C1" w14:textId="6A491575" w:rsidR="00B052FA" w:rsidRPr="0046672D" w:rsidRDefault="00B052FA" w:rsidP="00B052FA">
      <w:pPr>
        <w:spacing w:after="0"/>
        <w:jc w:val="both"/>
        <w:rPr>
          <w:rFonts w:ascii="Arial" w:hAnsi="Arial" w:cs="Arial"/>
          <w:bCs/>
          <w:iCs/>
          <w:lang w:val="mn-MN"/>
        </w:rPr>
      </w:pPr>
      <w:r w:rsidRPr="0046672D">
        <w:rPr>
          <w:rFonts w:ascii="Arial" w:hAnsi="Arial" w:cs="Arial"/>
          <w:bCs/>
          <w:iCs/>
          <w:lang w:val="mn-MN"/>
        </w:rPr>
        <w:t>График № 1 Дотоод үнэт цаас, тэрбум төгрөг /2021.12.31/..............................</w:t>
      </w:r>
      <w:r w:rsidRPr="0046672D">
        <w:rPr>
          <w:rFonts w:ascii="Arial" w:hAnsi="Arial" w:cs="Arial"/>
          <w:lang w:val="mn-MN"/>
        </w:rPr>
        <w:t>………</w:t>
      </w:r>
      <w:r w:rsidRPr="0046672D">
        <w:rPr>
          <w:rFonts w:ascii="Arial" w:hAnsi="Arial" w:cs="Arial"/>
          <w:bCs/>
          <w:iCs/>
          <w:lang w:val="mn-MN"/>
        </w:rPr>
        <w:t>..</w:t>
      </w:r>
      <w:r w:rsidRPr="0046672D">
        <w:rPr>
          <w:rFonts w:ascii="Arial" w:hAnsi="Arial" w:cs="Arial"/>
          <w:lang w:val="mn-MN"/>
        </w:rPr>
        <w:t>…….…</w:t>
      </w:r>
      <w:r w:rsidR="00524366" w:rsidRPr="0046672D">
        <w:rPr>
          <w:rFonts w:ascii="Arial" w:hAnsi="Arial" w:cs="Arial"/>
          <w:lang w:val="mn-MN"/>
        </w:rPr>
        <w:t>.</w:t>
      </w:r>
      <w:r w:rsidRPr="0046672D">
        <w:rPr>
          <w:rFonts w:ascii="Arial" w:hAnsi="Arial" w:cs="Arial"/>
          <w:lang w:val="mn-MN"/>
        </w:rPr>
        <w:tab/>
      </w:r>
      <w:r w:rsidRPr="0046672D">
        <w:rPr>
          <w:rFonts w:ascii="Arial" w:hAnsi="Arial" w:cs="Arial"/>
          <w:bCs/>
          <w:iCs/>
          <w:lang w:val="mn-MN"/>
        </w:rPr>
        <w:t>4</w:t>
      </w:r>
    </w:p>
    <w:p w14:paraId="4A5CC906" w14:textId="001615A5" w:rsidR="00B052FA" w:rsidRPr="0046672D" w:rsidRDefault="00B052FA" w:rsidP="00B052FA">
      <w:pPr>
        <w:spacing w:after="0"/>
        <w:jc w:val="both"/>
        <w:rPr>
          <w:rFonts w:ascii="Arial" w:hAnsi="Arial" w:cs="Arial"/>
          <w:iCs/>
          <w:lang w:val="mn-MN"/>
        </w:rPr>
      </w:pPr>
      <w:r w:rsidRPr="0046672D">
        <w:rPr>
          <w:rFonts w:ascii="Arial" w:hAnsi="Arial" w:cs="Arial"/>
          <w:iCs/>
          <w:lang w:val="mn-MN"/>
        </w:rPr>
        <w:t>График № 2 Дахин санхүүжүүлсэн гадаад үнэт цаас хүүгийн хувиар</w:t>
      </w:r>
      <w:r w:rsidRPr="0046672D">
        <w:rPr>
          <w:rFonts w:ascii="Arial" w:hAnsi="Arial" w:cs="Arial"/>
          <w:lang w:val="mn-MN"/>
        </w:rPr>
        <w:t>………………</w:t>
      </w:r>
      <w:r w:rsidRPr="0046672D">
        <w:rPr>
          <w:rFonts w:ascii="Arial" w:hAnsi="Arial" w:cs="Arial"/>
          <w:iCs/>
          <w:lang w:val="mn-MN"/>
        </w:rPr>
        <w:t>.............</w:t>
      </w:r>
      <w:r w:rsidRPr="0046672D">
        <w:rPr>
          <w:rFonts w:ascii="Arial" w:hAnsi="Arial" w:cs="Arial"/>
          <w:lang w:val="mn-MN"/>
        </w:rPr>
        <w:t>..</w:t>
      </w:r>
      <w:r w:rsidR="00524366" w:rsidRPr="0046672D">
        <w:rPr>
          <w:rFonts w:ascii="Arial" w:hAnsi="Arial" w:cs="Arial"/>
          <w:lang w:val="mn-MN"/>
        </w:rPr>
        <w:t>..</w:t>
      </w:r>
      <w:r w:rsidRPr="0046672D">
        <w:rPr>
          <w:rFonts w:ascii="Arial" w:hAnsi="Arial" w:cs="Arial"/>
          <w:lang w:val="mn-MN"/>
        </w:rPr>
        <w:tab/>
      </w:r>
      <w:r w:rsidRPr="0046672D">
        <w:rPr>
          <w:rFonts w:ascii="Arial" w:hAnsi="Arial" w:cs="Arial"/>
          <w:iCs/>
          <w:lang w:val="mn-MN"/>
        </w:rPr>
        <w:t>5</w:t>
      </w:r>
    </w:p>
    <w:p w14:paraId="6498CCE2" w14:textId="1B1FB737" w:rsidR="00B052FA" w:rsidRPr="0046672D" w:rsidRDefault="00B052FA" w:rsidP="00B052FA">
      <w:pPr>
        <w:spacing w:after="0"/>
        <w:jc w:val="both"/>
        <w:rPr>
          <w:rFonts w:ascii="Arial" w:hAnsi="Arial" w:cs="Arial"/>
          <w:iCs/>
          <w:lang w:val="mn-MN"/>
        </w:rPr>
      </w:pPr>
      <w:r w:rsidRPr="0046672D">
        <w:rPr>
          <w:rFonts w:ascii="Arial" w:hAnsi="Arial" w:cs="Arial"/>
          <w:bCs/>
          <w:iCs/>
          <w:lang w:val="mn-MN"/>
        </w:rPr>
        <w:t>График</w:t>
      </w:r>
      <w:r w:rsidRPr="0046672D">
        <w:rPr>
          <w:rFonts w:ascii="Arial" w:hAnsi="Arial" w:cs="Arial"/>
          <w:iCs/>
          <w:lang w:val="mn-MN"/>
        </w:rPr>
        <w:t xml:space="preserve"> № 3 Барих-Шилжүүлэх төрлийн концесс, тэрбум төгрөг /2021.12.31/</w:t>
      </w:r>
      <w:r w:rsidRPr="0046672D">
        <w:rPr>
          <w:rFonts w:ascii="Arial" w:hAnsi="Arial" w:cs="Arial"/>
          <w:lang w:val="mn-MN"/>
        </w:rPr>
        <w:t>………</w:t>
      </w:r>
      <w:r w:rsidRPr="0046672D">
        <w:rPr>
          <w:rFonts w:ascii="Arial" w:hAnsi="Arial" w:cs="Arial"/>
          <w:iCs/>
          <w:lang w:val="mn-MN"/>
        </w:rPr>
        <w:t>.....</w:t>
      </w:r>
      <w:r w:rsidRPr="0046672D">
        <w:rPr>
          <w:rFonts w:ascii="Arial" w:hAnsi="Arial" w:cs="Arial"/>
          <w:lang w:val="mn-MN"/>
        </w:rPr>
        <w:t>…...</w:t>
      </w:r>
      <w:r w:rsidR="00524366" w:rsidRPr="0046672D">
        <w:rPr>
          <w:rFonts w:ascii="Arial" w:hAnsi="Arial" w:cs="Arial"/>
          <w:lang w:val="mn-MN"/>
        </w:rPr>
        <w:t>...</w:t>
      </w:r>
      <w:r w:rsidRPr="0046672D">
        <w:rPr>
          <w:rFonts w:ascii="Arial" w:hAnsi="Arial" w:cs="Arial"/>
          <w:lang w:val="mn-MN"/>
        </w:rPr>
        <w:tab/>
      </w:r>
      <w:r w:rsidRPr="0046672D">
        <w:rPr>
          <w:rFonts w:ascii="Arial" w:hAnsi="Arial" w:cs="Arial"/>
          <w:iCs/>
          <w:lang w:val="mn-MN"/>
        </w:rPr>
        <w:t>7</w:t>
      </w:r>
    </w:p>
    <w:p w14:paraId="54F8F4E8" w14:textId="77777777" w:rsidR="00B052FA" w:rsidRPr="0046672D" w:rsidRDefault="00B052FA" w:rsidP="00B052FA">
      <w:pPr>
        <w:tabs>
          <w:tab w:val="left" w:pos="1590"/>
        </w:tabs>
        <w:ind w:left="5760"/>
        <w:jc w:val="right"/>
        <w:rPr>
          <w:rFonts w:ascii="Times New Roman" w:hAnsi="Times New Roman" w:cs="Times New Roman"/>
          <w:color w:val="000000" w:themeColor="text1"/>
          <w:sz w:val="24"/>
          <w:szCs w:val="24"/>
          <w:lang w:val="mn-MN"/>
        </w:rPr>
      </w:pPr>
    </w:p>
    <w:p w14:paraId="0C117098" w14:textId="77777777" w:rsidR="00A5346E" w:rsidRPr="0046672D" w:rsidRDefault="00A5346E" w:rsidP="000B6A0A">
      <w:pPr>
        <w:jc w:val="right"/>
        <w:rPr>
          <w:rFonts w:ascii="Arial" w:hAnsi="Arial" w:cs="Arial"/>
          <w:b/>
          <w:i/>
          <w:sz w:val="24"/>
          <w:szCs w:val="28"/>
          <w:u w:val="single"/>
          <w:lang w:val="mn-MN"/>
        </w:rPr>
      </w:pPr>
    </w:p>
    <w:p w14:paraId="27D7BA30" w14:textId="77777777" w:rsidR="00A5346E" w:rsidRPr="0046672D" w:rsidRDefault="00A5346E" w:rsidP="000B6A0A">
      <w:pPr>
        <w:jc w:val="right"/>
        <w:rPr>
          <w:rFonts w:ascii="Arial" w:hAnsi="Arial" w:cs="Arial"/>
          <w:b/>
          <w:i/>
          <w:sz w:val="24"/>
          <w:szCs w:val="28"/>
          <w:u w:val="single"/>
          <w:lang w:val="mn-MN"/>
        </w:rPr>
      </w:pPr>
    </w:p>
    <w:p w14:paraId="39AC8CE5" w14:textId="77777777" w:rsidR="00A5346E" w:rsidRPr="0046672D" w:rsidRDefault="00A5346E" w:rsidP="000B6A0A">
      <w:pPr>
        <w:jc w:val="right"/>
        <w:rPr>
          <w:rFonts w:ascii="Arial" w:hAnsi="Arial" w:cs="Arial"/>
          <w:b/>
          <w:i/>
          <w:sz w:val="24"/>
          <w:szCs w:val="28"/>
          <w:u w:val="single"/>
          <w:lang w:val="mn-MN"/>
        </w:rPr>
      </w:pPr>
    </w:p>
    <w:p w14:paraId="18D64D32" w14:textId="77777777" w:rsidR="00A5346E" w:rsidRPr="0046672D" w:rsidRDefault="00A5346E" w:rsidP="000B6A0A">
      <w:pPr>
        <w:jc w:val="right"/>
        <w:rPr>
          <w:rFonts w:ascii="Arial" w:hAnsi="Arial" w:cs="Arial"/>
          <w:b/>
          <w:i/>
          <w:sz w:val="24"/>
          <w:szCs w:val="28"/>
          <w:u w:val="single"/>
          <w:lang w:val="mn-MN"/>
        </w:rPr>
      </w:pPr>
    </w:p>
    <w:p w14:paraId="1E3DE053" w14:textId="77777777" w:rsidR="00A5346E" w:rsidRPr="0046672D" w:rsidRDefault="00A5346E" w:rsidP="000B6A0A">
      <w:pPr>
        <w:jc w:val="right"/>
        <w:rPr>
          <w:rFonts w:ascii="Arial" w:hAnsi="Arial" w:cs="Arial"/>
          <w:b/>
          <w:i/>
          <w:sz w:val="24"/>
          <w:szCs w:val="28"/>
          <w:u w:val="single"/>
          <w:lang w:val="mn-MN"/>
        </w:rPr>
      </w:pPr>
    </w:p>
    <w:p w14:paraId="3F335DB5" w14:textId="77777777" w:rsidR="00A5346E" w:rsidRPr="0046672D" w:rsidRDefault="00A5346E" w:rsidP="000B6A0A">
      <w:pPr>
        <w:jc w:val="right"/>
        <w:rPr>
          <w:rFonts w:ascii="Arial" w:hAnsi="Arial" w:cs="Arial"/>
          <w:b/>
          <w:i/>
          <w:sz w:val="24"/>
          <w:szCs w:val="28"/>
          <w:u w:val="single"/>
          <w:lang w:val="mn-MN"/>
        </w:rPr>
      </w:pPr>
    </w:p>
    <w:p w14:paraId="5500D9E0" w14:textId="77777777" w:rsidR="00A5346E" w:rsidRPr="0046672D" w:rsidRDefault="00A5346E" w:rsidP="000B6A0A">
      <w:pPr>
        <w:jc w:val="right"/>
        <w:rPr>
          <w:rFonts w:ascii="Arial" w:hAnsi="Arial" w:cs="Arial"/>
          <w:b/>
          <w:i/>
          <w:sz w:val="24"/>
          <w:szCs w:val="28"/>
          <w:u w:val="single"/>
          <w:lang w:val="mn-MN"/>
        </w:rPr>
      </w:pPr>
    </w:p>
    <w:p w14:paraId="227CDD9F" w14:textId="77777777" w:rsidR="00A5346E" w:rsidRPr="0046672D" w:rsidRDefault="00A5346E" w:rsidP="000B6A0A">
      <w:pPr>
        <w:jc w:val="right"/>
        <w:rPr>
          <w:rFonts w:ascii="Arial" w:hAnsi="Arial" w:cs="Arial"/>
          <w:b/>
          <w:i/>
          <w:sz w:val="24"/>
          <w:szCs w:val="28"/>
          <w:u w:val="single"/>
          <w:lang w:val="mn-MN"/>
        </w:rPr>
      </w:pPr>
    </w:p>
    <w:p w14:paraId="0CFB9EC7" w14:textId="77777777" w:rsidR="00A5346E" w:rsidRPr="0046672D" w:rsidRDefault="00A5346E" w:rsidP="000B6A0A">
      <w:pPr>
        <w:jc w:val="right"/>
        <w:rPr>
          <w:rFonts w:ascii="Arial" w:hAnsi="Arial" w:cs="Arial"/>
          <w:b/>
          <w:i/>
          <w:sz w:val="24"/>
          <w:szCs w:val="28"/>
          <w:u w:val="single"/>
          <w:lang w:val="mn-MN"/>
        </w:rPr>
      </w:pPr>
    </w:p>
    <w:p w14:paraId="23B49207" w14:textId="77777777" w:rsidR="00A5346E" w:rsidRPr="0046672D" w:rsidRDefault="00A5346E" w:rsidP="000B6A0A">
      <w:pPr>
        <w:jc w:val="right"/>
        <w:rPr>
          <w:rFonts w:ascii="Arial" w:hAnsi="Arial" w:cs="Arial"/>
          <w:b/>
          <w:i/>
          <w:sz w:val="24"/>
          <w:szCs w:val="28"/>
          <w:u w:val="single"/>
          <w:lang w:val="mn-MN"/>
        </w:rPr>
      </w:pPr>
    </w:p>
    <w:p w14:paraId="45587739" w14:textId="77777777" w:rsidR="00A5346E" w:rsidRPr="0046672D" w:rsidRDefault="00A5346E" w:rsidP="000B6A0A">
      <w:pPr>
        <w:jc w:val="right"/>
        <w:rPr>
          <w:rFonts w:ascii="Arial" w:hAnsi="Arial" w:cs="Arial"/>
          <w:b/>
          <w:i/>
          <w:sz w:val="24"/>
          <w:szCs w:val="28"/>
          <w:u w:val="single"/>
          <w:lang w:val="mn-MN"/>
        </w:rPr>
      </w:pPr>
    </w:p>
    <w:p w14:paraId="29A81430" w14:textId="77777777" w:rsidR="00A5346E" w:rsidRPr="0046672D" w:rsidRDefault="00A5346E" w:rsidP="000B6A0A">
      <w:pPr>
        <w:jc w:val="right"/>
        <w:rPr>
          <w:rFonts w:ascii="Arial" w:hAnsi="Arial" w:cs="Arial"/>
          <w:b/>
          <w:i/>
          <w:sz w:val="24"/>
          <w:szCs w:val="28"/>
          <w:u w:val="single"/>
          <w:lang w:val="mn-MN"/>
        </w:rPr>
      </w:pPr>
    </w:p>
    <w:p w14:paraId="21EE31C7" w14:textId="77777777" w:rsidR="00A5346E" w:rsidRPr="0046672D" w:rsidRDefault="00A5346E" w:rsidP="000B6A0A">
      <w:pPr>
        <w:jc w:val="right"/>
        <w:rPr>
          <w:rFonts w:ascii="Arial" w:hAnsi="Arial" w:cs="Arial"/>
          <w:b/>
          <w:i/>
          <w:sz w:val="24"/>
          <w:szCs w:val="28"/>
          <w:u w:val="single"/>
          <w:lang w:val="mn-MN"/>
        </w:rPr>
      </w:pPr>
    </w:p>
    <w:p w14:paraId="5AB3B163" w14:textId="77777777" w:rsidR="00A5346E" w:rsidRPr="0046672D" w:rsidRDefault="00A5346E" w:rsidP="000B6A0A">
      <w:pPr>
        <w:jc w:val="right"/>
        <w:rPr>
          <w:rFonts w:ascii="Arial" w:hAnsi="Arial" w:cs="Arial"/>
          <w:b/>
          <w:i/>
          <w:sz w:val="24"/>
          <w:szCs w:val="28"/>
          <w:u w:val="single"/>
          <w:lang w:val="mn-MN"/>
        </w:rPr>
      </w:pPr>
    </w:p>
    <w:p w14:paraId="2E822D69" w14:textId="77777777" w:rsidR="00524366" w:rsidRPr="0046672D" w:rsidRDefault="00524366" w:rsidP="000B6A0A">
      <w:pPr>
        <w:jc w:val="right"/>
        <w:rPr>
          <w:rFonts w:ascii="Arial" w:hAnsi="Arial" w:cs="Arial"/>
          <w:b/>
          <w:i/>
          <w:sz w:val="24"/>
          <w:szCs w:val="28"/>
          <w:u w:val="single"/>
          <w:lang w:val="mn-MN"/>
        </w:rPr>
      </w:pPr>
    </w:p>
    <w:p w14:paraId="4B0841EB" w14:textId="77777777" w:rsidR="00524366" w:rsidRPr="0046672D" w:rsidRDefault="00524366" w:rsidP="000B6A0A">
      <w:pPr>
        <w:jc w:val="right"/>
        <w:rPr>
          <w:rFonts w:ascii="Arial" w:hAnsi="Arial" w:cs="Arial"/>
          <w:b/>
          <w:i/>
          <w:sz w:val="24"/>
          <w:szCs w:val="28"/>
          <w:u w:val="single"/>
          <w:lang w:val="mn-MN"/>
        </w:rPr>
      </w:pPr>
    </w:p>
    <w:p w14:paraId="2FB4DDE6" w14:textId="77777777" w:rsidR="00A5346E" w:rsidRPr="0046672D" w:rsidRDefault="00A5346E" w:rsidP="000B6A0A">
      <w:pPr>
        <w:jc w:val="right"/>
        <w:rPr>
          <w:rFonts w:ascii="Arial" w:hAnsi="Arial" w:cs="Arial"/>
          <w:b/>
          <w:i/>
          <w:sz w:val="24"/>
          <w:szCs w:val="28"/>
          <w:u w:val="single"/>
          <w:lang w:val="mn-MN"/>
        </w:rPr>
      </w:pPr>
    </w:p>
    <w:p w14:paraId="5C247869" w14:textId="77777777" w:rsidR="00A5346E" w:rsidRPr="0046672D" w:rsidRDefault="00A5346E" w:rsidP="000B6A0A">
      <w:pPr>
        <w:jc w:val="right"/>
        <w:rPr>
          <w:rFonts w:ascii="Arial" w:hAnsi="Arial" w:cs="Arial"/>
          <w:b/>
          <w:i/>
          <w:sz w:val="24"/>
          <w:szCs w:val="28"/>
          <w:u w:val="single"/>
          <w:lang w:val="mn-MN"/>
        </w:rPr>
      </w:pPr>
    </w:p>
    <w:p w14:paraId="0325E91B" w14:textId="77777777" w:rsidR="00A5346E" w:rsidRPr="0046672D" w:rsidRDefault="00A5346E" w:rsidP="000B6A0A">
      <w:pPr>
        <w:jc w:val="right"/>
        <w:rPr>
          <w:rFonts w:ascii="Arial" w:hAnsi="Arial" w:cs="Arial"/>
          <w:b/>
          <w:i/>
          <w:sz w:val="24"/>
          <w:szCs w:val="28"/>
          <w:u w:val="single"/>
          <w:lang w:val="mn-MN"/>
        </w:rPr>
      </w:pPr>
    </w:p>
    <w:p w14:paraId="7EC692C1" w14:textId="7E2C437C" w:rsidR="000B6A0A" w:rsidRPr="0046672D" w:rsidRDefault="000B6A0A" w:rsidP="000B6A0A">
      <w:pPr>
        <w:jc w:val="right"/>
        <w:rPr>
          <w:rFonts w:ascii="Arial" w:hAnsi="Arial" w:cs="Arial"/>
          <w:b/>
          <w:i/>
          <w:sz w:val="24"/>
          <w:szCs w:val="28"/>
          <w:u w:val="single"/>
          <w:lang w:val="mn-MN"/>
        </w:rPr>
      </w:pPr>
      <w:r w:rsidRPr="0046672D">
        <w:rPr>
          <w:rFonts w:ascii="Arial" w:hAnsi="Arial" w:cs="Arial"/>
          <w:b/>
          <w:i/>
          <w:sz w:val="24"/>
          <w:szCs w:val="28"/>
          <w:u w:val="single"/>
          <w:lang w:val="mn-MN"/>
        </w:rPr>
        <w:lastRenderedPageBreak/>
        <w:t>Төсөл</w:t>
      </w:r>
    </w:p>
    <w:p w14:paraId="22F8FD83" w14:textId="77777777" w:rsidR="000B6A0A" w:rsidRPr="0046672D" w:rsidRDefault="000B6A0A" w:rsidP="000B6A0A">
      <w:pPr>
        <w:jc w:val="center"/>
        <w:rPr>
          <w:rFonts w:ascii="Arial" w:hAnsi="Arial" w:cs="Arial"/>
          <w:b/>
          <w:sz w:val="24"/>
          <w:szCs w:val="28"/>
          <w:lang w:val="mn-MN"/>
        </w:rPr>
      </w:pPr>
      <w:r w:rsidRPr="0046672D">
        <w:rPr>
          <w:rFonts w:ascii="Arial" w:hAnsi="Arial" w:cs="Arial"/>
          <w:b/>
          <w:sz w:val="24"/>
          <w:szCs w:val="28"/>
          <w:lang w:val="mn-MN"/>
        </w:rPr>
        <w:t>МОНГОЛ УЛСЫН ИХ ХУРЛЫН ТОГТООЛ</w:t>
      </w:r>
    </w:p>
    <w:p w14:paraId="452246C2" w14:textId="77777777" w:rsidR="000B6A0A" w:rsidRPr="0046672D" w:rsidRDefault="000B6A0A" w:rsidP="000B6A0A">
      <w:pPr>
        <w:jc w:val="center"/>
        <w:rPr>
          <w:rFonts w:ascii="Arial" w:hAnsi="Arial" w:cs="Arial"/>
          <w:sz w:val="24"/>
          <w:szCs w:val="28"/>
          <w:lang w:val="mn-MN"/>
        </w:rPr>
      </w:pPr>
    </w:p>
    <w:p w14:paraId="4F0154D8" w14:textId="77777777" w:rsidR="000B6A0A" w:rsidRPr="0046672D" w:rsidRDefault="000B6A0A" w:rsidP="000B6A0A">
      <w:pPr>
        <w:jc w:val="center"/>
        <w:rPr>
          <w:rFonts w:ascii="Arial" w:hAnsi="Arial" w:cs="Arial"/>
          <w:sz w:val="24"/>
          <w:szCs w:val="28"/>
          <w:lang w:val="mn-MN"/>
        </w:rPr>
      </w:pPr>
    </w:p>
    <w:p w14:paraId="0120D08B" w14:textId="77777777" w:rsidR="000B6A0A" w:rsidRPr="0046672D" w:rsidRDefault="000B6A0A" w:rsidP="000B6A0A">
      <w:pPr>
        <w:spacing w:after="0"/>
        <w:rPr>
          <w:rFonts w:ascii="Arial" w:hAnsi="Arial" w:cs="Arial"/>
          <w:sz w:val="24"/>
          <w:szCs w:val="28"/>
          <w:lang w:val="mn-MN"/>
        </w:rPr>
      </w:pPr>
      <w:r w:rsidRPr="0046672D">
        <w:rPr>
          <w:rFonts w:ascii="Arial" w:hAnsi="Arial" w:cs="Arial"/>
          <w:sz w:val="24"/>
          <w:szCs w:val="28"/>
          <w:lang w:val="mn-MN"/>
        </w:rPr>
        <w:t>2022 оны .... дугаар</w:t>
      </w:r>
      <w:r w:rsidRPr="0046672D">
        <w:rPr>
          <w:rFonts w:ascii="Arial" w:hAnsi="Arial" w:cs="Arial"/>
          <w:b/>
          <w:i/>
          <w:sz w:val="24"/>
          <w:szCs w:val="28"/>
          <w:lang w:val="mn-MN"/>
        </w:rPr>
        <w:tab/>
        <w:t xml:space="preserve">  </w:t>
      </w:r>
      <w:r w:rsidRPr="0046672D">
        <w:rPr>
          <w:rFonts w:ascii="Arial" w:hAnsi="Arial" w:cs="Arial"/>
          <w:b/>
          <w:i/>
          <w:sz w:val="24"/>
          <w:szCs w:val="28"/>
          <w:lang w:val="mn-MN"/>
        </w:rPr>
        <w:tab/>
      </w:r>
      <w:r w:rsidRPr="0046672D">
        <w:rPr>
          <w:rFonts w:ascii="Arial" w:hAnsi="Arial" w:cs="Arial"/>
          <w:b/>
          <w:i/>
          <w:sz w:val="24"/>
          <w:szCs w:val="28"/>
          <w:lang w:val="mn-MN"/>
        </w:rPr>
        <w:tab/>
        <w:t xml:space="preserve">                                                    </w:t>
      </w:r>
      <w:r w:rsidRPr="0046672D">
        <w:rPr>
          <w:rFonts w:ascii="Arial" w:hAnsi="Arial" w:cs="Arial"/>
          <w:sz w:val="24"/>
          <w:szCs w:val="28"/>
          <w:lang w:val="mn-MN"/>
        </w:rPr>
        <w:t>Улаанбаатар</w:t>
      </w:r>
    </w:p>
    <w:p w14:paraId="62ED1174" w14:textId="77777777" w:rsidR="000B6A0A" w:rsidRPr="0046672D" w:rsidRDefault="000B6A0A" w:rsidP="000B6A0A">
      <w:pPr>
        <w:spacing w:after="0"/>
        <w:rPr>
          <w:rFonts w:ascii="Arial" w:hAnsi="Arial" w:cs="Arial"/>
          <w:sz w:val="24"/>
          <w:szCs w:val="28"/>
          <w:lang w:val="mn-MN"/>
        </w:rPr>
      </w:pPr>
      <w:r w:rsidRPr="0046672D">
        <w:rPr>
          <w:rFonts w:ascii="Arial" w:hAnsi="Arial" w:cs="Arial"/>
          <w:b/>
          <w:i/>
          <w:sz w:val="24"/>
          <w:szCs w:val="28"/>
          <w:lang w:val="mn-MN"/>
        </w:rPr>
        <w:t xml:space="preserve"> </w:t>
      </w:r>
      <w:r w:rsidRPr="0046672D">
        <w:rPr>
          <w:rFonts w:ascii="Arial" w:hAnsi="Arial" w:cs="Arial"/>
          <w:sz w:val="24"/>
          <w:szCs w:val="28"/>
          <w:lang w:val="mn-MN"/>
        </w:rPr>
        <w:t xml:space="preserve">сарын ....- </w:t>
      </w:r>
      <w:r w:rsidRPr="0046672D">
        <w:rPr>
          <w:rFonts w:ascii="Arial" w:hAnsi="Arial" w:cs="Arial"/>
          <w:sz w:val="24"/>
          <w:szCs w:val="28"/>
          <w:u w:color="FF0000"/>
          <w:lang w:val="mn-MN"/>
        </w:rPr>
        <w:t>ны</w:t>
      </w:r>
      <w:r w:rsidRPr="0046672D">
        <w:rPr>
          <w:rFonts w:ascii="Arial" w:hAnsi="Arial" w:cs="Arial"/>
          <w:b/>
          <w:i/>
          <w:sz w:val="24"/>
          <w:szCs w:val="28"/>
          <w:lang w:val="mn-MN"/>
        </w:rPr>
        <w:t xml:space="preserve"> </w:t>
      </w:r>
      <w:r w:rsidRPr="0046672D">
        <w:rPr>
          <w:rFonts w:ascii="Arial" w:hAnsi="Arial" w:cs="Arial"/>
          <w:sz w:val="24"/>
          <w:szCs w:val="28"/>
          <w:lang w:val="mn-MN"/>
        </w:rPr>
        <w:t>өдөр</w:t>
      </w:r>
      <w:r w:rsidRPr="0046672D">
        <w:rPr>
          <w:rFonts w:ascii="Arial" w:hAnsi="Arial" w:cs="Arial"/>
          <w:sz w:val="24"/>
          <w:szCs w:val="28"/>
          <w:lang w:val="mn-MN"/>
        </w:rPr>
        <w:tab/>
      </w:r>
      <w:r w:rsidRPr="0046672D">
        <w:rPr>
          <w:rFonts w:ascii="Arial" w:hAnsi="Arial" w:cs="Arial"/>
          <w:sz w:val="24"/>
          <w:szCs w:val="28"/>
          <w:lang w:val="mn-MN"/>
        </w:rPr>
        <w:tab/>
        <w:t xml:space="preserve">                         Дугаар ....                                         хот</w:t>
      </w:r>
    </w:p>
    <w:p w14:paraId="3BC36862" w14:textId="77777777" w:rsidR="000B6A0A" w:rsidRPr="0046672D" w:rsidRDefault="000B6A0A" w:rsidP="000B6A0A">
      <w:pPr>
        <w:rPr>
          <w:rFonts w:ascii="Arial" w:hAnsi="Arial" w:cs="Arial"/>
          <w:sz w:val="24"/>
          <w:szCs w:val="28"/>
          <w:lang w:val="mn-MN"/>
        </w:rPr>
      </w:pPr>
    </w:p>
    <w:p w14:paraId="5288435A" w14:textId="77777777" w:rsidR="000B6A0A" w:rsidRPr="0046672D" w:rsidRDefault="000B6A0A" w:rsidP="000B6A0A">
      <w:pPr>
        <w:spacing w:after="120"/>
        <w:jc w:val="center"/>
        <w:rPr>
          <w:rFonts w:ascii="Arial" w:hAnsi="Arial" w:cs="Arial"/>
          <w:sz w:val="24"/>
          <w:szCs w:val="28"/>
          <w:lang w:val="mn-MN"/>
        </w:rPr>
      </w:pPr>
    </w:p>
    <w:p w14:paraId="508CC609" w14:textId="77777777" w:rsidR="000B6A0A" w:rsidRPr="0046672D" w:rsidRDefault="000B6A0A" w:rsidP="000B6A0A">
      <w:pPr>
        <w:spacing w:after="0"/>
        <w:jc w:val="center"/>
        <w:rPr>
          <w:rFonts w:ascii="Arial" w:hAnsi="Arial" w:cs="Arial"/>
          <w:b/>
          <w:sz w:val="24"/>
          <w:szCs w:val="28"/>
          <w:lang w:val="mn-MN"/>
        </w:rPr>
      </w:pPr>
      <w:r w:rsidRPr="0046672D">
        <w:rPr>
          <w:rFonts w:ascii="Arial" w:hAnsi="Arial" w:cs="Arial"/>
          <w:b/>
          <w:sz w:val="24"/>
          <w:szCs w:val="28"/>
          <w:lang w:val="mn-MN"/>
        </w:rPr>
        <w:t>Засгийн газрын өрийн удирдлагын 2023-2025 оны</w:t>
      </w:r>
    </w:p>
    <w:p w14:paraId="43962827" w14:textId="77777777" w:rsidR="000B6A0A" w:rsidRPr="0046672D" w:rsidRDefault="000B6A0A" w:rsidP="000B6A0A">
      <w:pPr>
        <w:spacing w:after="0"/>
        <w:jc w:val="center"/>
        <w:rPr>
          <w:rFonts w:ascii="Arial" w:hAnsi="Arial" w:cs="Arial"/>
          <w:b/>
          <w:caps/>
          <w:sz w:val="24"/>
          <w:szCs w:val="28"/>
          <w:lang w:val="mn-MN"/>
        </w:rPr>
      </w:pPr>
      <w:r w:rsidRPr="0046672D">
        <w:rPr>
          <w:rFonts w:ascii="Arial" w:hAnsi="Arial" w:cs="Arial"/>
          <w:b/>
          <w:sz w:val="24"/>
          <w:szCs w:val="28"/>
          <w:lang w:val="mn-MN"/>
        </w:rPr>
        <w:t xml:space="preserve"> стратегийн баримт бичиг батлах тухай</w:t>
      </w:r>
    </w:p>
    <w:p w14:paraId="728F34AF" w14:textId="77777777" w:rsidR="000B6A0A" w:rsidRPr="0046672D" w:rsidRDefault="000B6A0A" w:rsidP="000B6A0A">
      <w:pPr>
        <w:ind w:firstLine="567"/>
        <w:rPr>
          <w:rFonts w:ascii="Arial" w:hAnsi="Arial" w:cs="Arial"/>
          <w:sz w:val="24"/>
          <w:szCs w:val="28"/>
          <w:lang w:val="mn-MN"/>
        </w:rPr>
      </w:pPr>
    </w:p>
    <w:p w14:paraId="7AE51994" w14:textId="77777777" w:rsidR="000B6A0A" w:rsidRPr="0046672D" w:rsidRDefault="000B6A0A" w:rsidP="000B6A0A">
      <w:pPr>
        <w:spacing w:line="240" w:lineRule="auto"/>
        <w:ind w:firstLine="567"/>
        <w:jc w:val="both"/>
        <w:rPr>
          <w:rFonts w:ascii="Arial" w:hAnsi="Arial" w:cs="Arial"/>
          <w:sz w:val="24"/>
          <w:szCs w:val="28"/>
          <w:lang w:val="mn-MN"/>
        </w:rPr>
      </w:pPr>
    </w:p>
    <w:p w14:paraId="42133448" w14:textId="77777777" w:rsidR="000B6A0A" w:rsidRPr="0046672D" w:rsidRDefault="000B6A0A" w:rsidP="000B6A0A">
      <w:pPr>
        <w:spacing w:line="240" w:lineRule="auto"/>
        <w:ind w:firstLine="567"/>
        <w:jc w:val="both"/>
        <w:rPr>
          <w:rFonts w:ascii="Arial" w:hAnsi="Arial" w:cs="Arial"/>
          <w:sz w:val="24"/>
          <w:szCs w:val="28"/>
          <w:lang w:val="mn-MN"/>
        </w:rPr>
      </w:pPr>
      <w:r w:rsidRPr="0046672D">
        <w:rPr>
          <w:rFonts w:ascii="Arial" w:hAnsi="Arial" w:cs="Arial"/>
          <w:sz w:val="24"/>
          <w:szCs w:val="28"/>
          <w:lang w:val="mn-MN"/>
        </w:rPr>
        <w:t>Монгол Улсын Их Хурлын тухай хуулийн 43 дугаар зүйлийн 43.1 дэх хэсэг, Өрийн удирдлагын тухай хуулийн 7 дугаар зүйлийн 7.1.1 дэх заалтыг тус тус үндэслэн Монгол Улсын Их Хурлаас ТОГТООХ нь:</w:t>
      </w:r>
    </w:p>
    <w:p w14:paraId="75C98F2F" w14:textId="77777777" w:rsidR="000B6A0A" w:rsidRPr="0046672D" w:rsidRDefault="000B6A0A" w:rsidP="000B6A0A">
      <w:pPr>
        <w:ind w:firstLine="567"/>
        <w:jc w:val="both"/>
        <w:rPr>
          <w:rFonts w:ascii="Arial" w:hAnsi="Arial" w:cs="Arial"/>
          <w:sz w:val="24"/>
          <w:szCs w:val="28"/>
          <w:lang w:val="mn-MN"/>
        </w:rPr>
      </w:pPr>
    </w:p>
    <w:p w14:paraId="508706E5" w14:textId="77777777" w:rsidR="000B6A0A" w:rsidRPr="0046672D" w:rsidRDefault="000B6A0A" w:rsidP="000B6A0A">
      <w:pPr>
        <w:spacing w:line="240" w:lineRule="auto"/>
        <w:ind w:firstLine="567"/>
        <w:jc w:val="both"/>
        <w:rPr>
          <w:rFonts w:ascii="Arial" w:hAnsi="Arial" w:cs="Arial"/>
          <w:sz w:val="24"/>
          <w:szCs w:val="24"/>
          <w:lang w:val="mn-MN"/>
        </w:rPr>
      </w:pPr>
      <w:r w:rsidRPr="0046672D">
        <w:rPr>
          <w:rFonts w:ascii="Arial" w:hAnsi="Arial" w:cs="Arial"/>
          <w:sz w:val="24"/>
          <w:szCs w:val="24"/>
          <w:lang w:val="mn-MN"/>
        </w:rPr>
        <w:t xml:space="preserve">1.Засгийн газрын өрийн удирдлагын 2023-2025 оны стратегийн баримт бичиг (Цаашид “Стратегийн баримт бичиг” гэх)-ийг хавсралтаар баталсугай. </w:t>
      </w:r>
    </w:p>
    <w:p w14:paraId="67204CBD" w14:textId="77777777" w:rsidR="000B6A0A" w:rsidRPr="0046672D" w:rsidRDefault="000B6A0A" w:rsidP="000B6A0A">
      <w:pPr>
        <w:ind w:firstLine="567"/>
        <w:jc w:val="both"/>
        <w:rPr>
          <w:rFonts w:ascii="Arial" w:hAnsi="Arial" w:cs="Arial"/>
          <w:sz w:val="24"/>
          <w:szCs w:val="28"/>
          <w:lang w:val="mn-MN"/>
        </w:rPr>
      </w:pPr>
    </w:p>
    <w:p w14:paraId="5D2CEEC9" w14:textId="77777777" w:rsidR="000B6A0A" w:rsidRPr="0046672D" w:rsidRDefault="000B6A0A" w:rsidP="000B6A0A">
      <w:pPr>
        <w:spacing w:line="240" w:lineRule="auto"/>
        <w:ind w:firstLine="567"/>
        <w:jc w:val="both"/>
        <w:rPr>
          <w:rFonts w:ascii="Arial" w:hAnsi="Arial" w:cs="Arial"/>
          <w:sz w:val="24"/>
          <w:szCs w:val="28"/>
          <w:lang w:val="mn-MN"/>
        </w:rPr>
      </w:pPr>
      <w:r w:rsidRPr="0046672D">
        <w:rPr>
          <w:rFonts w:ascii="Arial" w:hAnsi="Arial" w:cs="Arial"/>
          <w:sz w:val="24"/>
          <w:szCs w:val="28"/>
          <w:lang w:val="mn-MN"/>
        </w:rPr>
        <w:t>2.Стратегийн баримт бичгийн хэрэгжилтийг хангаж ажиллахыг Монгол Улсын Засгийн газар /Л.Оюун-Эрдэнэ/-т үүрэг болгосугай.</w:t>
      </w:r>
    </w:p>
    <w:p w14:paraId="1FD18617" w14:textId="77777777" w:rsidR="000B6A0A" w:rsidRPr="0046672D" w:rsidRDefault="000B6A0A" w:rsidP="000B6A0A">
      <w:pPr>
        <w:ind w:firstLine="567"/>
        <w:jc w:val="both"/>
        <w:rPr>
          <w:rFonts w:ascii="Arial" w:hAnsi="Arial" w:cs="Arial"/>
          <w:sz w:val="24"/>
          <w:szCs w:val="28"/>
          <w:lang w:val="mn-MN"/>
        </w:rPr>
      </w:pPr>
    </w:p>
    <w:p w14:paraId="4411D781" w14:textId="77777777" w:rsidR="000B6A0A" w:rsidRPr="0046672D" w:rsidRDefault="000B6A0A" w:rsidP="000B6A0A">
      <w:pPr>
        <w:pStyle w:val="ListParagraph"/>
        <w:rPr>
          <w:rFonts w:ascii="Arial" w:hAnsi="Arial" w:cs="Arial"/>
          <w:sz w:val="24"/>
          <w:szCs w:val="28"/>
          <w:lang w:val="mn-MN"/>
        </w:rPr>
      </w:pPr>
    </w:p>
    <w:p w14:paraId="7B853DB6" w14:textId="77777777" w:rsidR="000B6A0A" w:rsidRPr="0046672D" w:rsidRDefault="000B6A0A" w:rsidP="000B6A0A">
      <w:pPr>
        <w:tabs>
          <w:tab w:val="left" w:pos="851"/>
        </w:tabs>
        <w:rPr>
          <w:rFonts w:ascii="Arial" w:hAnsi="Arial" w:cs="Arial"/>
          <w:sz w:val="24"/>
          <w:szCs w:val="28"/>
          <w:lang w:val="mn-MN"/>
        </w:rPr>
      </w:pPr>
    </w:p>
    <w:p w14:paraId="419D64C1" w14:textId="77777777" w:rsidR="000B6A0A" w:rsidRPr="0046672D" w:rsidRDefault="000B6A0A" w:rsidP="000B6A0A">
      <w:pPr>
        <w:tabs>
          <w:tab w:val="left" w:pos="851"/>
        </w:tabs>
        <w:rPr>
          <w:rFonts w:ascii="Arial" w:hAnsi="Arial" w:cs="Arial"/>
          <w:sz w:val="24"/>
          <w:szCs w:val="28"/>
          <w:lang w:val="mn-MN"/>
        </w:rPr>
      </w:pPr>
    </w:p>
    <w:p w14:paraId="4E2F20D8" w14:textId="77777777" w:rsidR="000B6A0A" w:rsidRPr="0046672D" w:rsidRDefault="000B6A0A" w:rsidP="000B6A0A">
      <w:pPr>
        <w:tabs>
          <w:tab w:val="left" w:pos="851"/>
          <w:tab w:val="left" w:pos="1276"/>
        </w:tabs>
        <w:rPr>
          <w:rFonts w:ascii="Arial" w:hAnsi="Arial" w:cs="Arial"/>
          <w:b/>
          <w:strike/>
          <w:sz w:val="24"/>
          <w:szCs w:val="28"/>
          <w:lang w:val="mn-MN"/>
        </w:rPr>
      </w:pPr>
      <w:r w:rsidRPr="0046672D">
        <w:rPr>
          <w:rFonts w:ascii="Arial" w:hAnsi="Arial" w:cs="Arial"/>
          <w:sz w:val="24"/>
          <w:szCs w:val="28"/>
          <w:lang w:val="mn-MN"/>
        </w:rPr>
        <w:tab/>
      </w:r>
      <w:r w:rsidRPr="0046672D">
        <w:rPr>
          <w:rFonts w:ascii="Arial" w:hAnsi="Arial" w:cs="Arial"/>
          <w:sz w:val="24"/>
          <w:szCs w:val="28"/>
          <w:lang w:val="mn-MN"/>
        </w:rPr>
        <w:tab/>
      </w:r>
    </w:p>
    <w:p w14:paraId="010BEB6B" w14:textId="77777777" w:rsidR="000B6A0A" w:rsidRPr="0046672D" w:rsidRDefault="000B6A0A" w:rsidP="000B6A0A">
      <w:pPr>
        <w:tabs>
          <w:tab w:val="left" w:pos="851"/>
          <w:tab w:val="left" w:pos="1276"/>
        </w:tabs>
        <w:jc w:val="center"/>
        <w:rPr>
          <w:rFonts w:ascii="Arial" w:hAnsi="Arial" w:cs="Arial"/>
          <w:sz w:val="24"/>
          <w:szCs w:val="28"/>
          <w:lang w:val="mn-MN"/>
        </w:rPr>
      </w:pPr>
      <w:r w:rsidRPr="0046672D">
        <w:rPr>
          <w:rFonts w:ascii="Arial" w:hAnsi="Arial" w:cs="Arial"/>
          <w:sz w:val="24"/>
          <w:szCs w:val="28"/>
          <w:lang w:val="mn-MN"/>
        </w:rPr>
        <w:t>Гарын үсэг</w:t>
      </w:r>
    </w:p>
    <w:p w14:paraId="41531F65" w14:textId="77777777" w:rsidR="000B6A0A" w:rsidRPr="0046672D" w:rsidRDefault="000B6A0A" w:rsidP="000B6A0A">
      <w:pPr>
        <w:spacing w:line="276" w:lineRule="auto"/>
        <w:rPr>
          <w:rFonts w:ascii="Times New Roman" w:hAnsi="Times New Roman" w:cs="Times New Roman"/>
          <w:color w:val="4472C4" w:themeColor="accent1"/>
          <w:sz w:val="24"/>
          <w:szCs w:val="24"/>
          <w:lang w:val="mn-MN"/>
        </w:rPr>
      </w:pPr>
    </w:p>
    <w:sdt>
      <w:sdtPr>
        <w:rPr>
          <w:rFonts w:ascii="Arial" w:hAnsi="Arial" w:cs="Arial"/>
          <w:color w:val="4472C4" w:themeColor="accent1"/>
          <w:sz w:val="24"/>
          <w:szCs w:val="24"/>
          <w:lang w:val="mn-MN"/>
        </w:rPr>
        <w:id w:val="1354844931"/>
        <w:docPartObj>
          <w:docPartGallery w:val="Cover Pages"/>
          <w:docPartUnique/>
        </w:docPartObj>
      </w:sdtPr>
      <w:sdtEndPr>
        <w:rPr>
          <w:color w:val="auto"/>
        </w:rPr>
      </w:sdtEndPr>
      <w:sdtContent>
        <w:p w14:paraId="2CE83006" w14:textId="77777777" w:rsidR="000B6A0A" w:rsidRPr="0046672D" w:rsidRDefault="000B6A0A" w:rsidP="000B6A0A">
          <w:pPr>
            <w:spacing w:line="276" w:lineRule="auto"/>
            <w:rPr>
              <w:rFonts w:ascii="Arial" w:hAnsi="Arial" w:cs="Arial"/>
              <w:color w:val="4472C4" w:themeColor="accent1"/>
              <w:sz w:val="24"/>
              <w:szCs w:val="24"/>
              <w:lang w:val="mn-MN"/>
            </w:rPr>
          </w:pPr>
        </w:p>
        <w:p w14:paraId="62871C50" w14:textId="77777777" w:rsidR="000B6A0A" w:rsidRPr="0046672D" w:rsidRDefault="000B6A0A" w:rsidP="000B6A0A">
          <w:pPr>
            <w:spacing w:line="276" w:lineRule="auto"/>
            <w:rPr>
              <w:rFonts w:ascii="Arial" w:hAnsi="Arial" w:cs="Arial"/>
              <w:sz w:val="24"/>
              <w:lang w:val="mn-MN"/>
            </w:rPr>
          </w:pPr>
        </w:p>
        <w:p w14:paraId="74560380" w14:textId="77777777" w:rsidR="000B6A0A" w:rsidRPr="0046672D" w:rsidRDefault="000B6A0A" w:rsidP="000B6A0A">
          <w:pPr>
            <w:spacing w:line="276" w:lineRule="auto"/>
            <w:jc w:val="center"/>
            <w:rPr>
              <w:rFonts w:ascii="Arial" w:hAnsi="Arial" w:cs="Arial"/>
              <w:b/>
              <w:sz w:val="24"/>
              <w:szCs w:val="24"/>
              <w:lang w:val="mn-MN"/>
            </w:rPr>
          </w:pPr>
        </w:p>
        <w:p w14:paraId="22D1288F" w14:textId="77777777" w:rsidR="000B6A0A" w:rsidRPr="0046672D" w:rsidRDefault="000B6A0A" w:rsidP="000B6A0A">
          <w:pPr>
            <w:spacing w:line="276" w:lineRule="auto"/>
            <w:jc w:val="center"/>
            <w:rPr>
              <w:rFonts w:ascii="Arial" w:hAnsi="Arial" w:cs="Arial"/>
              <w:b/>
              <w:sz w:val="24"/>
              <w:szCs w:val="24"/>
              <w:lang w:val="mn-MN"/>
            </w:rPr>
          </w:pPr>
        </w:p>
        <w:p w14:paraId="4D0DAE85" w14:textId="77777777" w:rsidR="000B6A0A" w:rsidRPr="0046672D" w:rsidRDefault="000B6A0A" w:rsidP="000B6A0A">
          <w:pPr>
            <w:spacing w:line="276" w:lineRule="auto"/>
            <w:jc w:val="center"/>
            <w:rPr>
              <w:rFonts w:ascii="Arial" w:hAnsi="Arial" w:cs="Arial"/>
              <w:b/>
              <w:sz w:val="24"/>
              <w:szCs w:val="24"/>
              <w:lang w:val="mn-MN"/>
            </w:rPr>
          </w:pPr>
        </w:p>
        <w:p w14:paraId="20ED037A" w14:textId="77777777" w:rsidR="000B6A0A" w:rsidRPr="0046672D" w:rsidRDefault="000B6A0A" w:rsidP="000B6A0A">
          <w:pPr>
            <w:spacing w:line="276" w:lineRule="auto"/>
            <w:jc w:val="center"/>
            <w:rPr>
              <w:rFonts w:ascii="Arial" w:hAnsi="Arial" w:cs="Arial"/>
              <w:b/>
              <w:sz w:val="24"/>
              <w:szCs w:val="24"/>
              <w:lang w:val="mn-MN"/>
            </w:rPr>
          </w:pPr>
        </w:p>
        <w:p w14:paraId="3FAB2D05" w14:textId="77777777" w:rsidR="000B6A0A" w:rsidRPr="0046672D" w:rsidRDefault="000B6A0A" w:rsidP="000B6A0A">
          <w:pPr>
            <w:spacing w:line="276" w:lineRule="auto"/>
            <w:jc w:val="center"/>
            <w:rPr>
              <w:rFonts w:ascii="Arial" w:hAnsi="Arial" w:cs="Arial"/>
              <w:b/>
              <w:sz w:val="24"/>
              <w:szCs w:val="24"/>
              <w:lang w:val="mn-MN"/>
            </w:rPr>
          </w:pPr>
        </w:p>
        <w:p w14:paraId="24EB0085" w14:textId="77777777" w:rsidR="000B6A0A" w:rsidRPr="0046672D" w:rsidRDefault="000B6A0A" w:rsidP="000B6A0A">
          <w:pPr>
            <w:pStyle w:val="Heading1"/>
            <w:pBdr>
              <w:bottom w:val="single" w:sz="8" w:space="22" w:color="4472C4" w:themeColor="accent1"/>
            </w:pBdr>
            <w:jc w:val="center"/>
          </w:pPr>
          <w:r w:rsidRPr="0046672D">
            <w:rPr>
              <w:rFonts w:eastAsia="Times New Roman"/>
              <w:b w:val="0"/>
            </w:rPr>
            <w:t>ТАНИЛЦУУЛГА</w:t>
          </w:r>
        </w:p>
        <w:p w14:paraId="667FB0C7" w14:textId="77777777" w:rsidR="000B6A0A" w:rsidRPr="0046672D" w:rsidRDefault="000B6A0A" w:rsidP="000B6A0A">
          <w:pPr>
            <w:pStyle w:val="Heading1"/>
            <w:jc w:val="center"/>
            <w:rPr>
              <w:rFonts w:eastAsia="Times New Roman"/>
            </w:rPr>
          </w:pPr>
          <w:r w:rsidRPr="0046672D">
            <w:rPr>
              <w:rFonts w:eastAsia="Times New Roman"/>
            </w:rPr>
            <w:t xml:space="preserve">ЗАСГИЙН ГАЗРЫН ӨРИЙН УДИРДЛАГЫН 2023-2025 ОНЫ </w:t>
          </w:r>
        </w:p>
        <w:p w14:paraId="4BADA08D" w14:textId="77777777" w:rsidR="000B6A0A" w:rsidRPr="0046672D" w:rsidRDefault="000B6A0A" w:rsidP="000B6A0A">
          <w:pPr>
            <w:pStyle w:val="Heading1"/>
            <w:jc w:val="center"/>
            <w:rPr>
              <w:rFonts w:eastAsia="Times New Roman"/>
            </w:rPr>
          </w:pPr>
          <w:r w:rsidRPr="0046672D">
            <w:rPr>
              <w:rFonts w:eastAsia="Times New Roman"/>
            </w:rPr>
            <w:t>СТРАТЕГИЙН БАРИМТ БИЧИГ</w:t>
          </w:r>
        </w:p>
        <w:p w14:paraId="5EF52E64" w14:textId="77777777" w:rsidR="000B6A0A" w:rsidRPr="0046672D" w:rsidRDefault="000B6A0A" w:rsidP="000B6A0A">
          <w:pPr>
            <w:pStyle w:val="NormalWeb"/>
            <w:jc w:val="both"/>
            <w:rPr>
              <w:rFonts w:ascii="Arial" w:eastAsiaTheme="minorEastAsia" w:hAnsi="Arial" w:cs="Arial"/>
              <w:lang w:val="mn-MN"/>
            </w:rPr>
          </w:pPr>
          <w:r w:rsidRPr="0046672D">
            <w:rPr>
              <w:rFonts w:ascii="Arial" w:hAnsi="Arial" w:cs="Arial"/>
              <w:lang w:val="mn-MN"/>
            </w:rPr>
            <w:t>Засгийн газрын өрийн удирдлагын стратеги нь Засгийн газрын өрийн удирдлагын дунд хугацааны зорилт, түүнийг хэрэгжүүлэх арга замыг тодорхойлсон бодлогын баримт бичиг юм.</w:t>
          </w:r>
        </w:p>
        <w:p w14:paraId="7F01A51D" w14:textId="3780D42D" w:rsidR="000B6A0A" w:rsidRPr="0046672D" w:rsidRDefault="000B6A0A" w:rsidP="000B6A0A">
          <w:pPr>
            <w:pStyle w:val="NormalWeb"/>
            <w:jc w:val="both"/>
            <w:rPr>
              <w:rFonts w:ascii="Arial" w:hAnsi="Arial" w:cs="Arial"/>
              <w:lang w:val="mn-MN"/>
            </w:rPr>
          </w:pPr>
          <w:r w:rsidRPr="0046672D">
            <w:rPr>
              <w:rFonts w:ascii="Arial" w:hAnsi="Arial" w:cs="Arial"/>
              <w:lang w:val="mn-MN"/>
            </w:rPr>
            <w:t>Өрийн удирдлагын тухай хуулийн 14 дүгээр зүйлийн 14.2 дахь хэсэгт “Санхүү, төсвийн асуудал эрхэлсэн төрийн захиргааны төв байгууллага нь стратегийн баримт бичгийг боловсруулж, тухайн төсвийн жилийн дунд хугaцааны төсвийн хүрээний мэдэгдлийн хамт гурван жилд нэг удаа Төсвийн тухай хуулийн 8.1-д заасан цаглабрын дагуу батлуулна” гэж заасныг үндэслэн Засгийн газрын өрийн удирдлагын 2023-2025 оны стратегийн баримт бичиг /цаашид “Стратегийн баримт бичиг” гэх/-ийг боловсруулсан.</w:t>
          </w:r>
        </w:p>
        <w:p w14:paraId="7D285439" w14:textId="77777777" w:rsidR="000B6A0A" w:rsidRPr="0046672D" w:rsidRDefault="000B6A0A" w:rsidP="000B6A0A">
          <w:pPr>
            <w:pStyle w:val="NormalWeb"/>
            <w:jc w:val="both"/>
            <w:rPr>
              <w:rFonts w:ascii="Arial" w:hAnsi="Arial" w:cs="Arial"/>
              <w:lang w:val="mn-MN"/>
            </w:rPr>
          </w:pPr>
          <w:r w:rsidRPr="0046672D">
            <w:rPr>
              <w:rFonts w:ascii="Arial" w:hAnsi="Arial" w:cs="Arial"/>
              <w:lang w:val="mn-MN"/>
            </w:rPr>
            <w:t>Өрийн удирдлагын тухай хуулийн дагуу 2019 онд баталсан Засгийн газрын өрийн удирдлагын 2019-2022 оны стратегийн баримт бичгийн хэрэгжилтийн хугацаа 2022 оноор дуусгавар болох бөгөөд тус хуулийн 14 дүгээр зүйлийн 14.6 дахь хэсэг, 15 дугаар зүйлийн 15.4 дэх хэсэгт заасныг үндэслэн стратегийн баримт бичгийг өмнөх стратегийн баримт бичгийн хэрэгжилтийн тайлангийн хамт Улсын Их Хуралд өргөн мэдүүлэхээр заасан.</w:t>
          </w:r>
        </w:p>
        <w:p w14:paraId="0F34174E" w14:textId="77777777" w:rsidR="000B6A0A" w:rsidRPr="0046672D" w:rsidRDefault="000B6A0A" w:rsidP="000B6A0A">
          <w:pPr>
            <w:pStyle w:val="NormalWeb"/>
            <w:jc w:val="both"/>
            <w:rPr>
              <w:rFonts w:ascii="Arial" w:hAnsi="Arial" w:cs="Arial"/>
              <w:lang w:val="mn-MN"/>
            </w:rPr>
          </w:pPr>
          <w:r w:rsidRPr="0046672D">
            <w:rPr>
              <w:rFonts w:ascii="Arial" w:hAnsi="Arial" w:cs="Arial"/>
              <w:lang w:val="mn-MN"/>
            </w:rPr>
            <w:t>Засгийн газраас төсвийн сахилга батыг сайжруулж, Төрийн сангийн мөнгөн хөрөнгийн удирдлага, өрийн зохицуулалтын зохистой арга хэмжээг авч хэрэгжүүлсний үр дүнд Засгийн газрын өрийн удирдлагын 2019-2022 оны стратегийн баримт бичигт тусгасан үр дүнгийн үзүүлэлтүүдийн биелэлтийг 2021 оны жилийн эцсийн байдлаар бүрэн хангасан.</w:t>
          </w:r>
        </w:p>
        <w:p w14:paraId="5C6EC3E8" w14:textId="2CDBF9DA" w:rsidR="000B6A0A" w:rsidRPr="0046672D" w:rsidRDefault="000B6A0A" w:rsidP="000B6A0A">
          <w:pPr>
            <w:pStyle w:val="NormalWeb"/>
            <w:jc w:val="both"/>
            <w:rPr>
              <w:rFonts w:ascii="Arial" w:hAnsi="Arial" w:cs="Arial"/>
              <w:lang w:val="mn-MN"/>
            </w:rPr>
          </w:pPr>
          <w:r w:rsidRPr="0046672D">
            <w:rPr>
              <w:rFonts w:ascii="Arial" w:hAnsi="Arial" w:cs="Arial"/>
              <w:lang w:val="mn-MN"/>
            </w:rPr>
            <w:t xml:space="preserve">Засгийн газрын өрийн удирдлагын 2023-2025 оны стратегийн баримт бичигт дараах </w:t>
          </w:r>
          <w:r w:rsidR="00596D1B" w:rsidRPr="0046672D">
            <w:rPr>
              <w:rFonts w:ascii="Arial" w:hAnsi="Arial" w:cs="Arial"/>
              <w:lang w:val="mn-MN"/>
            </w:rPr>
            <w:t>үндс</w:t>
          </w:r>
          <w:r w:rsidR="005A74F7" w:rsidRPr="0046672D">
            <w:rPr>
              <w:rFonts w:ascii="Arial" w:hAnsi="Arial" w:cs="Arial"/>
              <w:lang w:val="mn-MN"/>
            </w:rPr>
            <w:t>эн зорилтуудыг</w:t>
          </w:r>
          <w:r w:rsidRPr="0046672D">
            <w:rPr>
              <w:rFonts w:ascii="Arial" w:hAnsi="Arial" w:cs="Arial"/>
              <w:lang w:val="mn-MN"/>
            </w:rPr>
            <w:t xml:space="preserve"> тусгасан. Үүнд:</w:t>
          </w:r>
        </w:p>
        <w:p w14:paraId="6EA83D23" w14:textId="77777777" w:rsidR="0091217C" w:rsidRPr="0046672D" w:rsidRDefault="0091217C" w:rsidP="00FE3633">
          <w:pPr>
            <w:pStyle w:val="ListParagraph"/>
            <w:numPr>
              <w:ilvl w:val="0"/>
              <w:numId w:val="8"/>
            </w:numPr>
            <w:spacing w:after="0"/>
            <w:jc w:val="both"/>
            <w:rPr>
              <w:rFonts w:ascii="Arial" w:eastAsia="Times New Roman" w:hAnsi="Arial" w:cs="Arial"/>
              <w:bCs/>
              <w:sz w:val="24"/>
              <w:szCs w:val="24"/>
              <w:lang w:val="mn-MN"/>
            </w:rPr>
          </w:pPr>
          <w:r w:rsidRPr="0046672D">
            <w:rPr>
              <w:rFonts w:ascii="Arial" w:hAnsi="Arial" w:cs="Arial"/>
              <w:bCs/>
              <w:sz w:val="24"/>
              <w:szCs w:val="24"/>
              <w:lang w:val="mn-MN"/>
            </w:rPr>
            <w:t>Засгийн газрын гадаад зээлийн хөрөнгөөр хэрэгжих төслүүдийн үр ашгийг нэмэгдүүлэх, гадаад зээлийн өрийн үйлчилгээний төсөвт үзүүлэх төлбөрийн дарамтыг бууруулна;</w:t>
          </w:r>
        </w:p>
        <w:p w14:paraId="473E5137" w14:textId="6EC757FD" w:rsidR="0091217C" w:rsidRPr="0046672D" w:rsidRDefault="0091217C" w:rsidP="00FE3633">
          <w:pPr>
            <w:pStyle w:val="NoSpacing"/>
            <w:numPr>
              <w:ilvl w:val="0"/>
              <w:numId w:val="8"/>
            </w:numPr>
            <w:spacing w:after="0" w:line="240" w:lineRule="auto"/>
            <w:rPr>
              <w:rFonts w:ascii="Arial" w:hAnsi="Arial" w:cs="Arial"/>
              <w:bCs/>
              <w:sz w:val="24"/>
              <w:szCs w:val="24"/>
            </w:rPr>
          </w:pPr>
          <w:r w:rsidRPr="0046672D">
            <w:rPr>
              <w:rFonts w:ascii="Arial" w:hAnsi="Arial" w:cs="Arial"/>
              <w:bCs/>
              <w:sz w:val="24"/>
              <w:szCs w:val="24"/>
            </w:rPr>
            <w:t>Засгийн газрын гадаад үнэт цаасны төлбөрүүдийг эдийн засаг, төсөвт дарамт учруулахгүйгээр төлж, дахин санхүүжилтийн эрсдэлийг бууруулна;</w:t>
          </w:r>
        </w:p>
        <w:p w14:paraId="3CBE7B3B" w14:textId="60593DCC" w:rsidR="0091217C" w:rsidRPr="0046672D" w:rsidRDefault="0091217C" w:rsidP="00FE3633">
          <w:pPr>
            <w:pStyle w:val="NoSpacing"/>
            <w:numPr>
              <w:ilvl w:val="0"/>
              <w:numId w:val="8"/>
            </w:numPr>
            <w:spacing w:after="0" w:line="240" w:lineRule="auto"/>
            <w:rPr>
              <w:rFonts w:ascii="Arial" w:eastAsia="Times New Roman" w:hAnsi="Arial" w:cs="Arial"/>
              <w:bCs/>
              <w:sz w:val="24"/>
              <w:szCs w:val="24"/>
            </w:rPr>
          </w:pPr>
          <w:r w:rsidRPr="0046672D">
            <w:rPr>
              <w:rFonts w:ascii="Arial" w:hAnsi="Arial" w:cs="Arial"/>
              <w:bCs/>
              <w:sz w:val="24"/>
              <w:szCs w:val="24"/>
            </w:rPr>
            <w:t xml:space="preserve">Засгийн газрын өрийн удирдлагын тогтолцоог сайжруулж орчин үеийн чиг хандлагад нийцүүлэх, </w:t>
          </w:r>
          <w:r w:rsidRPr="0046672D">
            <w:rPr>
              <w:rFonts w:ascii="Arial" w:eastAsia="Times New Roman" w:hAnsi="Arial" w:cs="Arial"/>
              <w:bCs/>
              <w:sz w:val="24"/>
              <w:szCs w:val="24"/>
            </w:rPr>
            <w:t>Засгийн газрын өрийн багц дахь зах зээлийн эрсдэлээс сэргийлэх зорилгоор үүсмэл арга хэрэгслийг өрийн зохицуулалтын үйл ажиллагаанд нэвтрүүл</w:t>
          </w:r>
          <w:r w:rsidR="00596D1B" w:rsidRPr="0046672D">
            <w:rPr>
              <w:rFonts w:ascii="Arial" w:eastAsia="Times New Roman" w:hAnsi="Arial" w:cs="Arial"/>
              <w:bCs/>
              <w:sz w:val="24"/>
              <w:szCs w:val="24"/>
            </w:rPr>
            <w:t>нэ</w:t>
          </w:r>
          <w:r w:rsidRPr="0046672D">
            <w:rPr>
              <w:rFonts w:ascii="Arial" w:eastAsia="Times New Roman" w:hAnsi="Arial" w:cs="Arial"/>
              <w:bCs/>
              <w:sz w:val="24"/>
              <w:szCs w:val="24"/>
            </w:rPr>
            <w:t>;</w:t>
          </w:r>
        </w:p>
        <w:p w14:paraId="728A4E83" w14:textId="22798199" w:rsidR="0091217C" w:rsidRPr="0046672D" w:rsidRDefault="0091217C" w:rsidP="00FE3633">
          <w:pPr>
            <w:pStyle w:val="ListParagraph"/>
            <w:numPr>
              <w:ilvl w:val="0"/>
              <w:numId w:val="8"/>
            </w:numPr>
            <w:jc w:val="both"/>
            <w:rPr>
              <w:rFonts w:ascii="Arial" w:eastAsia="Times New Roman" w:hAnsi="Arial" w:cs="Arial"/>
              <w:bCs/>
              <w:sz w:val="24"/>
              <w:szCs w:val="24"/>
              <w:lang w:val="mn-MN"/>
            </w:rPr>
          </w:pPr>
          <w:r w:rsidRPr="0046672D">
            <w:rPr>
              <w:rFonts w:ascii="Arial" w:hAnsi="Arial" w:cs="Arial"/>
              <w:bCs/>
              <w:sz w:val="24"/>
              <w:szCs w:val="24"/>
              <w:lang w:val="mn-MN"/>
            </w:rPr>
            <w:t>Засгийн газрын дотоод үнэт цаасны зах зээлийн хөгжлийг дэмжих, үнэт цаасны арилжааг тогтмолжуул</w:t>
          </w:r>
          <w:r w:rsidR="00596D1B" w:rsidRPr="0046672D">
            <w:rPr>
              <w:rFonts w:ascii="Arial" w:hAnsi="Arial" w:cs="Arial"/>
              <w:bCs/>
              <w:sz w:val="24"/>
              <w:szCs w:val="24"/>
              <w:lang w:val="mn-MN"/>
            </w:rPr>
            <w:t>н</w:t>
          </w:r>
          <w:r w:rsidR="005A74F7" w:rsidRPr="0046672D">
            <w:rPr>
              <w:rFonts w:ascii="Arial" w:hAnsi="Arial" w:cs="Arial"/>
              <w:bCs/>
              <w:sz w:val="24"/>
              <w:szCs w:val="24"/>
              <w:lang w:val="mn-MN"/>
            </w:rPr>
            <w:t>а</w:t>
          </w:r>
          <w:r w:rsidRPr="0046672D">
            <w:rPr>
              <w:rFonts w:ascii="Arial" w:hAnsi="Arial" w:cs="Arial"/>
              <w:bCs/>
              <w:sz w:val="24"/>
              <w:szCs w:val="24"/>
              <w:lang w:val="mn-MN"/>
            </w:rPr>
            <w:t>;</w:t>
          </w:r>
        </w:p>
        <w:p w14:paraId="3EF2EDC1" w14:textId="4A74DE7A" w:rsidR="0091217C" w:rsidRPr="0046672D" w:rsidRDefault="0091217C" w:rsidP="00FE3633">
          <w:pPr>
            <w:pStyle w:val="ListParagraph"/>
            <w:numPr>
              <w:ilvl w:val="0"/>
              <w:numId w:val="8"/>
            </w:numPr>
            <w:jc w:val="both"/>
            <w:rPr>
              <w:rFonts w:ascii="Arial" w:eastAsia="Times New Roman" w:hAnsi="Arial" w:cs="Arial"/>
              <w:sz w:val="24"/>
              <w:szCs w:val="24"/>
              <w:lang w:val="mn-MN"/>
            </w:rPr>
          </w:pPr>
          <w:r w:rsidRPr="0046672D">
            <w:rPr>
              <w:rFonts w:ascii="Arial" w:eastAsia="Times New Roman" w:hAnsi="Arial" w:cs="Arial"/>
              <w:sz w:val="24"/>
              <w:szCs w:val="24"/>
              <w:lang w:val="mn-MN"/>
            </w:rPr>
            <w:t>Улсын стратегийн томоохон төслүүдэд Засгийн газрын өрийн баталгаа гаргах, хувийн хэвшлийн компаниудад дэмжлэг үзүүлэх байдлаар Монгол Улсын эдийн засгийн урт хугацааны зорилтыг хангаж, болзошгүй өр төлбөрийн эрсдэлийг бууруул</w:t>
          </w:r>
          <w:r w:rsidR="00596D1B" w:rsidRPr="0046672D">
            <w:rPr>
              <w:rFonts w:ascii="Arial" w:eastAsia="Times New Roman" w:hAnsi="Arial" w:cs="Arial"/>
              <w:sz w:val="24"/>
              <w:szCs w:val="24"/>
              <w:lang w:val="mn-MN"/>
            </w:rPr>
            <w:t>н</w:t>
          </w:r>
          <w:r w:rsidR="005A74F7" w:rsidRPr="0046672D">
            <w:rPr>
              <w:rFonts w:ascii="Arial" w:eastAsia="Times New Roman" w:hAnsi="Arial" w:cs="Arial"/>
              <w:sz w:val="24"/>
              <w:szCs w:val="24"/>
              <w:lang w:val="mn-MN"/>
            </w:rPr>
            <w:t>а</w:t>
          </w:r>
          <w:r w:rsidRPr="0046672D">
            <w:rPr>
              <w:rFonts w:ascii="Arial" w:eastAsia="Times New Roman" w:hAnsi="Arial" w:cs="Arial"/>
              <w:sz w:val="24"/>
              <w:szCs w:val="24"/>
              <w:lang w:val="mn-MN"/>
            </w:rPr>
            <w:t>;</w:t>
          </w:r>
        </w:p>
        <w:p w14:paraId="0897C9D4" w14:textId="7ED2D2B2" w:rsidR="0091217C" w:rsidRPr="0046672D" w:rsidRDefault="0091217C" w:rsidP="00FE3633">
          <w:pPr>
            <w:pStyle w:val="ListParagraph"/>
            <w:numPr>
              <w:ilvl w:val="0"/>
              <w:numId w:val="8"/>
            </w:numPr>
            <w:jc w:val="both"/>
            <w:rPr>
              <w:rFonts w:ascii="Arial" w:hAnsi="Arial" w:cs="Arial"/>
              <w:lang w:val="mn-MN"/>
            </w:rPr>
          </w:pPr>
          <w:r w:rsidRPr="0046672D">
            <w:rPr>
              <w:rFonts w:ascii="Arial" w:eastAsia="Times New Roman" w:hAnsi="Arial" w:cs="Arial"/>
              <w:sz w:val="24"/>
              <w:szCs w:val="24"/>
              <w:lang w:val="mn-MN"/>
            </w:rPr>
            <w:t>Засгийн газрын өрийн ил тод байдлыг сайжруул</w:t>
          </w:r>
          <w:r w:rsidR="00596D1B" w:rsidRPr="0046672D">
            <w:rPr>
              <w:rFonts w:ascii="Arial" w:eastAsia="Times New Roman" w:hAnsi="Arial" w:cs="Arial"/>
              <w:sz w:val="24"/>
              <w:szCs w:val="24"/>
              <w:lang w:val="mn-MN"/>
            </w:rPr>
            <w:t>на</w:t>
          </w:r>
          <w:r w:rsidRPr="0046672D">
            <w:rPr>
              <w:rFonts w:ascii="Arial" w:eastAsia="Times New Roman" w:hAnsi="Arial" w:cs="Arial"/>
              <w:sz w:val="24"/>
              <w:szCs w:val="24"/>
              <w:lang w:val="mn-MN"/>
            </w:rPr>
            <w:t>.</w:t>
          </w:r>
        </w:p>
        <w:p w14:paraId="4411F33E" w14:textId="77777777" w:rsidR="000B6A0A" w:rsidRPr="0046672D" w:rsidRDefault="000B6A0A" w:rsidP="000B6A0A">
          <w:pPr>
            <w:pStyle w:val="NormalWeb"/>
            <w:jc w:val="both"/>
            <w:rPr>
              <w:rFonts w:ascii="Arial" w:eastAsiaTheme="minorEastAsia" w:hAnsi="Arial" w:cs="Arial"/>
              <w:lang w:val="mn-MN"/>
            </w:rPr>
          </w:pPr>
          <w:r w:rsidRPr="0046672D">
            <w:rPr>
              <w:rFonts w:ascii="Arial" w:hAnsi="Arial" w:cs="Arial"/>
              <w:lang w:val="mn-MN"/>
            </w:rPr>
            <w:lastRenderedPageBreak/>
            <w:t>Өрийн удирдлагын тухай хуулийн 14 дүгээр зүйлийн 14.3 дахь хэсэгт заасны дагуу Засгийн газрын өрийн удирдлагын 2023-2025 оны стратегийн баримт бичигт дараах агуулгыг тусгасан. Үүнд:</w:t>
          </w:r>
        </w:p>
        <w:p w14:paraId="7FAD5AF3"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Улсын нийт гадаад өр, Засгийн газрын өрийн тухайн үеийн нөхцөл байдал;</w:t>
          </w:r>
        </w:p>
        <w:p w14:paraId="38871CC8"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Засгийн газрын өрийн шалгуур үзүүлэлтийн дунд хугацааны төсөөлөл;</w:t>
          </w:r>
        </w:p>
        <w:p w14:paraId="3267EBEA"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Санхүүжилтийн боломжит эх үүсвэр;</w:t>
          </w:r>
        </w:p>
        <w:p w14:paraId="57D23FE1"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Засгийн газрын өрийн багцад дунд хугацаанд нөлөөлөх хүчин зүйлс;</w:t>
          </w:r>
        </w:p>
        <w:p w14:paraId="37E98CB4"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Засгийн газрын өрийн багц дахь зардал, эрсдэлд үзүүлэх нөлөөлөл, тэдгээрийн таамаглал;</w:t>
          </w:r>
        </w:p>
        <w:p w14:paraId="15C7B9CC"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Засгийн газрын өрийн баталгааны багцын тухайн үеийн нөхцөл байдал, өрийн багц дахь зардал, эрсдэлд үзүүлэх нөлөөлөл, эрсдэлийн таамаглал;</w:t>
          </w:r>
        </w:p>
        <w:p w14:paraId="2A2F89DF"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Засгийн газрын өрийн багцын дунд хугацааны зорилтот бүтэц;</w:t>
          </w:r>
        </w:p>
        <w:p w14:paraId="7CC903C7" w14:textId="77777777" w:rsidR="000B6A0A" w:rsidRPr="0046672D" w:rsidRDefault="000B6A0A" w:rsidP="00FE3633">
          <w:pPr>
            <w:numPr>
              <w:ilvl w:val="0"/>
              <w:numId w:val="8"/>
            </w:num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Өрийн удирдлагын дунд хугацааны стратегийн зорилт, түүнийг хэрэгжүүлэх арга зам, өрийн зохицуулалтын үйл ажиллагаа.</w:t>
          </w:r>
        </w:p>
        <w:p w14:paraId="46A2EC58" w14:textId="4C15A1D3" w:rsidR="000B6A0A" w:rsidRPr="0046672D" w:rsidRDefault="000B6A0A" w:rsidP="000B6A0A">
          <w:pPr>
            <w:pStyle w:val="NormalWeb"/>
            <w:jc w:val="both"/>
            <w:rPr>
              <w:rFonts w:ascii="Arial" w:hAnsi="Arial" w:cs="Arial"/>
              <w:lang w:val="mn-MN"/>
            </w:rPr>
          </w:pPr>
          <w:r w:rsidRPr="0046672D">
            <w:rPr>
              <w:rFonts w:ascii="Arial" w:hAnsi="Arial" w:cs="Arial"/>
              <w:lang w:val="mn-MN"/>
            </w:rPr>
            <w:t>Дэлхийн банкнаас боловсруулсан дунд хугацааны өрийн</w:t>
          </w:r>
          <w:r w:rsidR="007542D5" w:rsidRPr="0046672D">
            <w:rPr>
              <w:rFonts w:ascii="Arial" w:hAnsi="Arial" w:cs="Arial"/>
              <w:lang w:val="mn-MN"/>
            </w:rPr>
            <w:t xml:space="preserve"> удирдлагын</w:t>
          </w:r>
          <w:r w:rsidRPr="0046672D">
            <w:rPr>
              <w:rFonts w:ascii="Arial" w:hAnsi="Arial" w:cs="Arial"/>
              <w:lang w:val="mn-MN"/>
            </w:rPr>
            <w:t xml:space="preserve"> стратегийн </w:t>
          </w:r>
          <w:r w:rsidR="00112303" w:rsidRPr="0046672D">
            <w:rPr>
              <w:rFonts w:ascii="Arial" w:hAnsi="Arial" w:cs="Arial"/>
              <w:lang w:val="mn-MN"/>
            </w:rPr>
            <w:t xml:space="preserve">баримт бичгийг боловсруулах санхүүгийн шинжилгээний модельд </w:t>
          </w:r>
          <w:r w:rsidRPr="0046672D">
            <w:rPr>
              <w:rFonts w:ascii="Arial" w:hAnsi="Arial" w:cs="Arial"/>
              <w:lang w:val="mn-MN"/>
            </w:rPr>
            <w:t xml:space="preserve"> тулгуурлан </w:t>
          </w:r>
          <w:r w:rsidR="00112303" w:rsidRPr="0046672D">
            <w:rPr>
              <w:rFonts w:ascii="Arial" w:hAnsi="Arial" w:cs="Arial"/>
              <w:lang w:val="mn-MN"/>
            </w:rPr>
            <w:t>Засгийн газрын өрийн багц да</w:t>
          </w:r>
          <w:r w:rsidR="00D67B26" w:rsidRPr="0046672D">
            <w:rPr>
              <w:rFonts w:ascii="Arial" w:hAnsi="Arial" w:cs="Arial"/>
              <w:lang w:val="mn-MN"/>
            </w:rPr>
            <w:t xml:space="preserve">хь дунд хугацааны зардал, эрсдэлийн шинжилгээг боловсруулж, </w:t>
          </w:r>
          <w:r w:rsidRPr="0046672D">
            <w:rPr>
              <w:rFonts w:ascii="Arial" w:hAnsi="Arial" w:cs="Arial"/>
              <w:lang w:val="mn-MN"/>
            </w:rPr>
            <w:t>Стратегийн баримт бичгийг хэрэгжүүлэх арга зам, хүрэх үр дүнгийн үзүүлэлтүүдийг тодорхойлсон болно.</w:t>
          </w:r>
        </w:p>
        <w:p w14:paraId="7351B9F7" w14:textId="77777777" w:rsidR="000B6A0A" w:rsidRPr="0046672D" w:rsidRDefault="000B6A0A" w:rsidP="000B6A0A">
          <w:pPr>
            <w:spacing w:line="276" w:lineRule="auto"/>
            <w:jc w:val="center"/>
            <w:rPr>
              <w:rFonts w:ascii="Arial" w:hAnsi="Arial" w:cs="Arial"/>
              <w:sz w:val="24"/>
              <w:szCs w:val="24"/>
              <w:lang w:val="mn-MN"/>
            </w:rPr>
          </w:pPr>
          <w:r w:rsidRPr="0046672D">
            <w:rPr>
              <w:rFonts w:ascii="Arial" w:hAnsi="Arial" w:cs="Arial"/>
              <w:sz w:val="24"/>
              <w:szCs w:val="24"/>
              <w:lang w:val="mn-MN"/>
            </w:rPr>
            <w:t>САНГИЙН ЯАМ</w:t>
          </w:r>
        </w:p>
        <w:p w14:paraId="21583C4F" w14:textId="77777777" w:rsidR="000B6A0A" w:rsidRPr="0046672D" w:rsidRDefault="000B6A0A" w:rsidP="000B6A0A">
          <w:pPr>
            <w:spacing w:line="276" w:lineRule="auto"/>
            <w:jc w:val="center"/>
            <w:rPr>
              <w:rFonts w:ascii="Arial" w:hAnsi="Arial" w:cs="Arial"/>
              <w:b/>
              <w:sz w:val="24"/>
              <w:szCs w:val="24"/>
              <w:lang w:val="mn-MN"/>
            </w:rPr>
          </w:pPr>
        </w:p>
        <w:p w14:paraId="510E54AD" w14:textId="77777777" w:rsidR="000B6A0A" w:rsidRPr="0046672D" w:rsidRDefault="000B6A0A" w:rsidP="000B6A0A">
          <w:pPr>
            <w:spacing w:line="276" w:lineRule="auto"/>
            <w:jc w:val="center"/>
            <w:rPr>
              <w:rFonts w:ascii="Arial" w:hAnsi="Arial" w:cs="Arial"/>
              <w:b/>
              <w:sz w:val="24"/>
              <w:szCs w:val="24"/>
              <w:lang w:val="mn-MN"/>
            </w:rPr>
          </w:pPr>
        </w:p>
        <w:p w14:paraId="2DD3509C" w14:textId="77777777" w:rsidR="000B6A0A" w:rsidRPr="0046672D" w:rsidRDefault="000B6A0A" w:rsidP="000B6A0A">
          <w:pPr>
            <w:spacing w:line="276" w:lineRule="auto"/>
            <w:jc w:val="center"/>
            <w:rPr>
              <w:rFonts w:ascii="Arial" w:hAnsi="Arial" w:cs="Arial"/>
              <w:b/>
              <w:sz w:val="24"/>
              <w:szCs w:val="24"/>
              <w:lang w:val="mn-MN"/>
            </w:rPr>
          </w:pPr>
        </w:p>
        <w:p w14:paraId="1EC82965" w14:textId="77777777" w:rsidR="000B6A0A" w:rsidRPr="0046672D" w:rsidRDefault="000B6A0A" w:rsidP="000B6A0A">
          <w:pPr>
            <w:spacing w:line="276" w:lineRule="auto"/>
            <w:jc w:val="center"/>
            <w:rPr>
              <w:rFonts w:ascii="Arial" w:hAnsi="Arial" w:cs="Arial"/>
              <w:b/>
              <w:sz w:val="24"/>
              <w:szCs w:val="24"/>
              <w:lang w:val="mn-MN"/>
            </w:rPr>
          </w:pPr>
        </w:p>
        <w:p w14:paraId="7FE8CE6C" w14:textId="77777777" w:rsidR="000B6A0A" w:rsidRPr="0046672D" w:rsidRDefault="000B6A0A" w:rsidP="000B6A0A">
          <w:pPr>
            <w:spacing w:line="276" w:lineRule="auto"/>
            <w:jc w:val="center"/>
            <w:rPr>
              <w:rFonts w:ascii="Arial" w:hAnsi="Arial" w:cs="Arial"/>
              <w:b/>
              <w:sz w:val="24"/>
              <w:szCs w:val="24"/>
              <w:lang w:val="mn-MN"/>
            </w:rPr>
          </w:pPr>
        </w:p>
        <w:p w14:paraId="2143F10F" w14:textId="77777777" w:rsidR="000B6A0A" w:rsidRPr="0046672D" w:rsidRDefault="000B6A0A" w:rsidP="000B6A0A">
          <w:pPr>
            <w:spacing w:line="276" w:lineRule="auto"/>
            <w:jc w:val="center"/>
            <w:rPr>
              <w:rFonts w:ascii="Arial" w:hAnsi="Arial" w:cs="Arial"/>
              <w:b/>
              <w:sz w:val="24"/>
              <w:szCs w:val="24"/>
              <w:lang w:val="mn-MN"/>
            </w:rPr>
          </w:pPr>
        </w:p>
        <w:p w14:paraId="46838E9C" w14:textId="77777777" w:rsidR="000B6A0A" w:rsidRPr="0046672D" w:rsidRDefault="000B6A0A" w:rsidP="000B6A0A">
          <w:pPr>
            <w:spacing w:line="276" w:lineRule="auto"/>
            <w:jc w:val="center"/>
            <w:rPr>
              <w:rFonts w:ascii="Arial" w:hAnsi="Arial" w:cs="Arial"/>
              <w:b/>
              <w:sz w:val="24"/>
              <w:szCs w:val="24"/>
              <w:lang w:val="mn-MN"/>
            </w:rPr>
          </w:pPr>
        </w:p>
        <w:p w14:paraId="4002DF6C" w14:textId="77777777" w:rsidR="000B6A0A" w:rsidRPr="0046672D" w:rsidRDefault="000B6A0A" w:rsidP="000B6A0A">
          <w:pPr>
            <w:spacing w:line="276" w:lineRule="auto"/>
            <w:jc w:val="center"/>
            <w:rPr>
              <w:rFonts w:ascii="Arial" w:hAnsi="Arial" w:cs="Arial"/>
              <w:b/>
              <w:sz w:val="24"/>
              <w:szCs w:val="24"/>
              <w:lang w:val="mn-MN"/>
            </w:rPr>
          </w:pPr>
        </w:p>
        <w:p w14:paraId="49420987" w14:textId="77777777" w:rsidR="000B6A0A" w:rsidRPr="0046672D" w:rsidRDefault="000B6A0A" w:rsidP="000B6A0A">
          <w:pPr>
            <w:spacing w:line="276" w:lineRule="auto"/>
            <w:jc w:val="center"/>
            <w:rPr>
              <w:rFonts w:ascii="Arial" w:hAnsi="Arial" w:cs="Arial"/>
              <w:b/>
              <w:sz w:val="24"/>
              <w:szCs w:val="24"/>
              <w:lang w:val="mn-MN"/>
            </w:rPr>
          </w:pPr>
        </w:p>
        <w:p w14:paraId="05744AFA" w14:textId="77777777" w:rsidR="000B6A0A" w:rsidRPr="0046672D" w:rsidRDefault="000B6A0A" w:rsidP="000B6A0A">
          <w:pPr>
            <w:spacing w:line="276" w:lineRule="auto"/>
            <w:jc w:val="center"/>
            <w:rPr>
              <w:rFonts w:ascii="Arial" w:hAnsi="Arial" w:cs="Arial"/>
              <w:b/>
              <w:sz w:val="24"/>
              <w:szCs w:val="24"/>
              <w:lang w:val="mn-MN"/>
            </w:rPr>
          </w:pPr>
        </w:p>
        <w:p w14:paraId="596CFE82" w14:textId="77777777" w:rsidR="000B6A0A" w:rsidRPr="0046672D" w:rsidRDefault="000B6A0A" w:rsidP="000B6A0A">
          <w:pPr>
            <w:spacing w:line="276" w:lineRule="auto"/>
            <w:jc w:val="center"/>
            <w:rPr>
              <w:rFonts w:ascii="Arial" w:hAnsi="Arial" w:cs="Arial"/>
              <w:b/>
              <w:sz w:val="24"/>
              <w:szCs w:val="24"/>
              <w:lang w:val="mn-MN"/>
            </w:rPr>
          </w:pPr>
        </w:p>
        <w:p w14:paraId="456CA914" w14:textId="77777777" w:rsidR="000B6A0A" w:rsidRPr="0046672D" w:rsidRDefault="000B6A0A" w:rsidP="000B6A0A">
          <w:pPr>
            <w:spacing w:line="276" w:lineRule="auto"/>
            <w:jc w:val="center"/>
            <w:rPr>
              <w:rFonts w:ascii="Arial" w:hAnsi="Arial" w:cs="Arial"/>
              <w:b/>
              <w:sz w:val="24"/>
              <w:szCs w:val="24"/>
              <w:lang w:val="mn-MN"/>
            </w:rPr>
          </w:pPr>
        </w:p>
        <w:p w14:paraId="749F34A9" w14:textId="77777777" w:rsidR="000B6A0A" w:rsidRPr="0046672D" w:rsidRDefault="000B6A0A" w:rsidP="000B6A0A">
          <w:pPr>
            <w:spacing w:line="276" w:lineRule="auto"/>
            <w:jc w:val="center"/>
            <w:rPr>
              <w:rFonts w:ascii="Arial" w:hAnsi="Arial" w:cs="Arial"/>
              <w:b/>
              <w:sz w:val="24"/>
              <w:szCs w:val="24"/>
              <w:lang w:val="mn-MN"/>
            </w:rPr>
          </w:pPr>
        </w:p>
        <w:p w14:paraId="1AB433C7" w14:textId="77777777" w:rsidR="000B6A0A" w:rsidRPr="0046672D" w:rsidRDefault="000B6A0A" w:rsidP="000B6A0A">
          <w:pPr>
            <w:spacing w:line="276" w:lineRule="auto"/>
            <w:jc w:val="center"/>
            <w:rPr>
              <w:rFonts w:ascii="Arial" w:hAnsi="Arial" w:cs="Arial"/>
              <w:b/>
              <w:sz w:val="24"/>
              <w:szCs w:val="24"/>
              <w:lang w:val="mn-MN"/>
            </w:rPr>
          </w:pPr>
        </w:p>
        <w:p w14:paraId="0E3320DA" w14:textId="77777777" w:rsidR="000B6A0A" w:rsidRPr="0046672D" w:rsidRDefault="000B6A0A" w:rsidP="000B6A0A">
          <w:pPr>
            <w:spacing w:line="276" w:lineRule="auto"/>
            <w:jc w:val="center"/>
            <w:rPr>
              <w:rFonts w:ascii="Arial" w:hAnsi="Arial" w:cs="Arial"/>
              <w:b/>
              <w:sz w:val="24"/>
              <w:szCs w:val="24"/>
              <w:lang w:val="mn-MN"/>
            </w:rPr>
          </w:pPr>
        </w:p>
        <w:p w14:paraId="7DF37E4E" w14:textId="77777777" w:rsidR="000B6A0A" w:rsidRPr="0046672D" w:rsidRDefault="000B6A0A" w:rsidP="000B6A0A">
          <w:pPr>
            <w:spacing w:line="276" w:lineRule="auto"/>
            <w:jc w:val="center"/>
            <w:rPr>
              <w:rFonts w:ascii="Arial" w:hAnsi="Arial" w:cs="Arial"/>
              <w:b/>
              <w:sz w:val="24"/>
              <w:szCs w:val="24"/>
              <w:lang w:val="mn-MN"/>
            </w:rPr>
          </w:pPr>
        </w:p>
        <w:p w14:paraId="3BAC7602" w14:textId="77777777" w:rsidR="000B6A0A" w:rsidRPr="0046672D" w:rsidRDefault="000B6A0A" w:rsidP="000B6A0A">
          <w:pPr>
            <w:spacing w:line="276" w:lineRule="auto"/>
            <w:jc w:val="center"/>
            <w:rPr>
              <w:rFonts w:ascii="Arial" w:hAnsi="Arial" w:cs="Arial"/>
              <w:b/>
              <w:sz w:val="24"/>
              <w:szCs w:val="24"/>
              <w:lang w:val="mn-MN"/>
            </w:rPr>
          </w:pPr>
          <w:r w:rsidRPr="0046672D">
            <w:rPr>
              <w:rFonts w:ascii="Arial" w:hAnsi="Arial" w:cs="Arial"/>
              <w:b/>
              <w:sz w:val="24"/>
              <w:szCs w:val="24"/>
              <w:lang w:val="mn-MN"/>
            </w:rPr>
            <w:lastRenderedPageBreak/>
            <w:t>МОНГОЛ УЛСЫН ЗАСГИЙН ГАЗАР</w:t>
          </w:r>
        </w:p>
        <w:p w14:paraId="62380DA1" w14:textId="77777777" w:rsidR="000B6A0A" w:rsidRPr="0046672D" w:rsidRDefault="000B6A0A" w:rsidP="000B6A0A">
          <w:pPr>
            <w:spacing w:line="276" w:lineRule="auto"/>
            <w:jc w:val="center"/>
            <w:rPr>
              <w:rFonts w:ascii="Arial" w:hAnsi="Arial" w:cs="Arial"/>
              <w:b/>
              <w:sz w:val="48"/>
              <w:szCs w:val="48"/>
              <w:lang w:val="mn-MN"/>
            </w:rPr>
          </w:pPr>
        </w:p>
        <w:p w14:paraId="1B6FD0B4" w14:textId="77777777" w:rsidR="000B6A0A" w:rsidRPr="0046672D" w:rsidRDefault="000B6A0A" w:rsidP="000B6A0A">
          <w:pPr>
            <w:spacing w:line="276" w:lineRule="auto"/>
            <w:rPr>
              <w:rFonts w:ascii="Arial" w:hAnsi="Arial" w:cs="Arial"/>
              <w:b/>
              <w:sz w:val="40"/>
              <w:szCs w:val="40"/>
              <w:lang w:val="mn-MN"/>
            </w:rPr>
          </w:pPr>
        </w:p>
        <w:p w14:paraId="2BA63C7E" w14:textId="77777777" w:rsidR="000B6A0A" w:rsidRPr="0046672D" w:rsidRDefault="000B6A0A" w:rsidP="000B6A0A">
          <w:pPr>
            <w:spacing w:after="0" w:line="276" w:lineRule="auto"/>
            <w:jc w:val="center"/>
            <w:rPr>
              <w:rFonts w:ascii="Arial" w:hAnsi="Arial" w:cs="Arial"/>
              <w:b/>
              <w:sz w:val="44"/>
              <w:szCs w:val="44"/>
              <w:lang w:val="mn-MN"/>
            </w:rPr>
          </w:pPr>
          <w:r w:rsidRPr="0046672D">
            <w:rPr>
              <w:rFonts w:ascii="Arial" w:hAnsi="Arial" w:cs="Arial"/>
              <w:b/>
              <w:sz w:val="44"/>
              <w:szCs w:val="44"/>
              <w:lang w:val="mn-MN"/>
            </w:rPr>
            <w:t>ЗАСГИЙН ГАЗРЫН ӨРИЙН УДИРДЛАГЫН 2023-2025 ОНЫ СТРАТЕГИЙН БАРИМТ БИЧИГ</w:t>
          </w:r>
        </w:p>
        <w:p w14:paraId="236B82F8" w14:textId="77777777" w:rsidR="000B6A0A" w:rsidRPr="0046672D" w:rsidRDefault="000B6A0A" w:rsidP="000B6A0A">
          <w:pPr>
            <w:spacing w:after="0" w:line="276" w:lineRule="auto"/>
            <w:jc w:val="center"/>
            <w:rPr>
              <w:rFonts w:ascii="Arial" w:hAnsi="Arial" w:cs="Arial"/>
              <w:b/>
              <w:sz w:val="44"/>
              <w:szCs w:val="44"/>
              <w:lang w:val="mn-MN"/>
            </w:rPr>
          </w:pPr>
        </w:p>
        <w:p w14:paraId="6E8C2BB9" w14:textId="77777777" w:rsidR="000B6A0A" w:rsidRPr="0046672D" w:rsidRDefault="000B6A0A" w:rsidP="000B6A0A">
          <w:pPr>
            <w:spacing w:after="0" w:line="276" w:lineRule="auto"/>
            <w:jc w:val="center"/>
            <w:rPr>
              <w:rFonts w:ascii="Arial" w:hAnsi="Arial" w:cs="Arial"/>
              <w:b/>
              <w:sz w:val="44"/>
              <w:szCs w:val="44"/>
              <w:lang w:val="mn-MN"/>
            </w:rPr>
          </w:pPr>
          <w:r w:rsidRPr="0046672D">
            <w:rPr>
              <w:rFonts w:ascii="Arial" w:hAnsi="Arial" w:cs="Arial"/>
              <w:noProof/>
              <w:sz w:val="36"/>
              <w:szCs w:val="36"/>
            </w:rPr>
            <w:drawing>
              <wp:inline distT="0" distB="0" distL="0" distR="0" wp14:anchorId="22341E79" wp14:editId="4481D6DC">
                <wp:extent cx="3162300" cy="234681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7241" cy="2357903"/>
                        </a:xfrm>
                        <a:prstGeom prst="rect">
                          <a:avLst/>
                        </a:prstGeom>
                      </pic:spPr>
                    </pic:pic>
                  </a:graphicData>
                </a:graphic>
              </wp:inline>
            </w:drawing>
          </w:r>
        </w:p>
        <w:p w14:paraId="12764AED" w14:textId="77777777" w:rsidR="000B6A0A" w:rsidRPr="0046672D" w:rsidRDefault="000B6A0A" w:rsidP="000B6A0A">
          <w:pPr>
            <w:spacing w:line="276" w:lineRule="auto"/>
            <w:jc w:val="center"/>
            <w:rPr>
              <w:rFonts w:ascii="Arial" w:hAnsi="Arial" w:cs="Arial"/>
              <w:sz w:val="36"/>
              <w:szCs w:val="36"/>
              <w:lang w:val="mn-MN"/>
            </w:rPr>
          </w:pPr>
        </w:p>
        <w:p w14:paraId="5F251D2B" w14:textId="77777777" w:rsidR="000B6A0A" w:rsidRPr="0046672D" w:rsidRDefault="000B6A0A" w:rsidP="000B6A0A">
          <w:pPr>
            <w:spacing w:line="276" w:lineRule="auto"/>
            <w:jc w:val="center"/>
            <w:rPr>
              <w:rFonts w:ascii="Arial" w:hAnsi="Arial" w:cs="Arial"/>
              <w:sz w:val="36"/>
              <w:szCs w:val="36"/>
              <w:lang w:val="mn-MN"/>
            </w:rPr>
          </w:pPr>
        </w:p>
        <w:p w14:paraId="2DDCE7DE" w14:textId="77777777" w:rsidR="000B6A0A" w:rsidRPr="0046672D" w:rsidRDefault="000B6A0A" w:rsidP="000B6A0A">
          <w:pPr>
            <w:spacing w:line="276" w:lineRule="auto"/>
            <w:jc w:val="center"/>
            <w:rPr>
              <w:rFonts w:ascii="Arial" w:hAnsi="Arial" w:cs="Arial"/>
              <w:sz w:val="36"/>
              <w:szCs w:val="36"/>
              <w:lang w:val="mn-MN"/>
            </w:rPr>
          </w:pPr>
        </w:p>
        <w:p w14:paraId="0EB8030C" w14:textId="77777777" w:rsidR="000B6A0A" w:rsidRPr="0046672D" w:rsidRDefault="000B6A0A" w:rsidP="000B6A0A">
          <w:pPr>
            <w:spacing w:line="276" w:lineRule="auto"/>
            <w:jc w:val="center"/>
            <w:rPr>
              <w:rFonts w:ascii="Arial" w:hAnsi="Arial" w:cs="Arial"/>
              <w:sz w:val="36"/>
              <w:szCs w:val="36"/>
              <w:lang w:val="mn-MN"/>
            </w:rPr>
          </w:pPr>
        </w:p>
        <w:p w14:paraId="44599D34" w14:textId="77777777" w:rsidR="000B6A0A" w:rsidRPr="0046672D" w:rsidRDefault="000B6A0A" w:rsidP="000B6A0A">
          <w:pPr>
            <w:spacing w:line="276" w:lineRule="auto"/>
            <w:rPr>
              <w:rFonts w:ascii="Arial" w:hAnsi="Arial" w:cs="Arial"/>
              <w:sz w:val="36"/>
              <w:szCs w:val="36"/>
              <w:lang w:val="mn-MN"/>
            </w:rPr>
          </w:pPr>
        </w:p>
        <w:p w14:paraId="3CF0B66C" w14:textId="77777777" w:rsidR="000B6A0A" w:rsidRPr="0046672D" w:rsidRDefault="000B6A0A" w:rsidP="000B6A0A">
          <w:pPr>
            <w:spacing w:line="276" w:lineRule="auto"/>
            <w:rPr>
              <w:rFonts w:ascii="Arial" w:hAnsi="Arial" w:cs="Arial"/>
              <w:sz w:val="36"/>
              <w:szCs w:val="36"/>
              <w:lang w:val="mn-MN"/>
            </w:rPr>
          </w:pPr>
        </w:p>
        <w:p w14:paraId="7993219A" w14:textId="77777777" w:rsidR="000B6A0A" w:rsidRPr="0046672D" w:rsidRDefault="000B6A0A" w:rsidP="000B6A0A">
          <w:pPr>
            <w:spacing w:line="276" w:lineRule="auto"/>
            <w:rPr>
              <w:rFonts w:ascii="Arial" w:hAnsi="Arial" w:cs="Arial"/>
              <w:sz w:val="36"/>
              <w:szCs w:val="36"/>
              <w:lang w:val="mn-MN"/>
            </w:rPr>
          </w:pPr>
        </w:p>
        <w:p w14:paraId="1C7CFF04" w14:textId="77777777" w:rsidR="000B6A0A" w:rsidRPr="0046672D" w:rsidRDefault="000B6A0A" w:rsidP="000B6A0A">
          <w:pPr>
            <w:spacing w:line="276" w:lineRule="auto"/>
            <w:rPr>
              <w:rFonts w:ascii="Arial" w:hAnsi="Arial" w:cs="Arial"/>
              <w:sz w:val="36"/>
              <w:szCs w:val="36"/>
              <w:lang w:val="mn-MN"/>
            </w:rPr>
          </w:pPr>
        </w:p>
        <w:p w14:paraId="02500FDA" w14:textId="77777777" w:rsidR="000B6A0A" w:rsidRPr="0046672D" w:rsidRDefault="000B6A0A" w:rsidP="000B6A0A">
          <w:pPr>
            <w:spacing w:line="276" w:lineRule="auto"/>
            <w:jc w:val="center"/>
            <w:rPr>
              <w:rFonts w:ascii="Arial" w:hAnsi="Arial" w:cs="Arial"/>
              <w:sz w:val="36"/>
              <w:szCs w:val="36"/>
              <w:lang w:val="mn-MN"/>
            </w:rPr>
          </w:pPr>
          <w:r w:rsidRPr="0046672D">
            <w:rPr>
              <w:rFonts w:ascii="Arial" w:hAnsi="Arial" w:cs="Arial"/>
              <w:sz w:val="28"/>
              <w:szCs w:val="36"/>
              <w:lang w:val="mn-MN"/>
            </w:rPr>
            <w:t xml:space="preserve">УЛААНБААТАР ХОТ </w:t>
          </w:r>
        </w:p>
        <w:p w14:paraId="547CD80A" w14:textId="77777777" w:rsidR="000B6A0A" w:rsidRPr="0046672D" w:rsidRDefault="000B6A0A" w:rsidP="000B6A0A">
          <w:pPr>
            <w:spacing w:line="276" w:lineRule="auto"/>
            <w:jc w:val="center"/>
            <w:rPr>
              <w:rFonts w:ascii="Arial" w:hAnsi="Arial" w:cs="Arial"/>
              <w:sz w:val="32"/>
              <w:szCs w:val="32"/>
              <w:lang w:val="mn-MN"/>
            </w:rPr>
          </w:pPr>
          <w:r w:rsidRPr="0046672D">
            <w:rPr>
              <w:rFonts w:ascii="Arial" w:hAnsi="Arial" w:cs="Arial"/>
              <w:sz w:val="32"/>
              <w:szCs w:val="32"/>
              <w:lang w:val="mn-MN"/>
            </w:rPr>
            <w:t>2022 он</w:t>
          </w:r>
        </w:p>
        <w:p w14:paraId="5478DA2A" w14:textId="77777777" w:rsidR="000B6A0A" w:rsidRPr="0046672D" w:rsidRDefault="00BA587A" w:rsidP="000B6A0A">
          <w:pPr>
            <w:spacing w:line="276" w:lineRule="auto"/>
            <w:rPr>
              <w:rFonts w:ascii="Arial" w:hAnsi="Arial" w:cs="Arial"/>
              <w:sz w:val="24"/>
              <w:szCs w:val="24"/>
              <w:lang w:val="mn-MN"/>
            </w:rPr>
          </w:pPr>
        </w:p>
      </w:sdtContent>
    </w:sdt>
    <w:p w14:paraId="3B5668A1" w14:textId="77777777" w:rsidR="000B6A0A" w:rsidRPr="0046672D" w:rsidRDefault="000B6A0A" w:rsidP="000B6A0A">
      <w:pPr>
        <w:pStyle w:val="Heading1"/>
        <w:pBdr>
          <w:bottom w:val="none" w:sz="0" w:space="0" w:color="auto"/>
        </w:pBdr>
        <w:jc w:val="right"/>
        <w:rPr>
          <w:b w:val="0"/>
          <w:sz w:val="22"/>
          <w:szCs w:val="22"/>
        </w:rPr>
      </w:pPr>
      <w:r w:rsidRPr="0046672D">
        <w:rPr>
          <w:b w:val="0"/>
          <w:sz w:val="22"/>
          <w:szCs w:val="22"/>
        </w:rPr>
        <w:t>Монгол Улсын Их Хурлын 2022 оны</w:t>
      </w:r>
    </w:p>
    <w:p w14:paraId="7CF8CD7D" w14:textId="77777777" w:rsidR="000B6A0A" w:rsidRPr="0046672D" w:rsidRDefault="000B6A0A" w:rsidP="000B6A0A">
      <w:pPr>
        <w:spacing w:after="0" w:line="240" w:lineRule="auto"/>
        <w:jc w:val="right"/>
        <w:rPr>
          <w:lang w:val="mn-MN"/>
        </w:rPr>
      </w:pPr>
      <w:r w:rsidRPr="0046672D">
        <w:rPr>
          <w:rFonts w:ascii="Arial" w:hAnsi="Arial" w:cs="Arial"/>
          <w:lang w:val="mn-MN"/>
        </w:rPr>
        <w:t>... дугаар тогтоолын хавсралт</w:t>
      </w:r>
    </w:p>
    <w:p w14:paraId="6FF02EEA" w14:textId="77777777" w:rsidR="000B6A0A" w:rsidRPr="0046672D" w:rsidRDefault="000B6A0A" w:rsidP="000B6A0A">
      <w:pPr>
        <w:pStyle w:val="Heading1"/>
        <w:pBdr>
          <w:bottom w:val="none" w:sz="0" w:space="0" w:color="auto"/>
        </w:pBdr>
        <w:jc w:val="center"/>
      </w:pPr>
    </w:p>
    <w:p w14:paraId="6C44C69C" w14:textId="77777777" w:rsidR="000B6A0A" w:rsidRPr="0046672D" w:rsidRDefault="000B6A0A" w:rsidP="000B6A0A">
      <w:pPr>
        <w:pStyle w:val="Heading1"/>
        <w:pBdr>
          <w:bottom w:val="none" w:sz="0" w:space="0" w:color="auto"/>
        </w:pBdr>
        <w:jc w:val="center"/>
      </w:pPr>
      <w:r w:rsidRPr="0046672D">
        <w:t>ЗАСГИЙН ГАЗРЫН ӨРИЙН УДИРДЛАГЫН</w:t>
      </w:r>
    </w:p>
    <w:p w14:paraId="25843567" w14:textId="77777777" w:rsidR="000B6A0A" w:rsidRPr="0046672D" w:rsidRDefault="000B6A0A" w:rsidP="000B6A0A">
      <w:pPr>
        <w:pStyle w:val="Heading1"/>
        <w:pBdr>
          <w:bottom w:val="none" w:sz="0" w:space="0" w:color="auto"/>
        </w:pBdr>
        <w:jc w:val="center"/>
      </w:pPr>
      <w:r w:rsidRPr="0046672D">
        <w:t>2023-2025 ОНЫ СТРАТЕГИЙН БАРИМТ БИЧИГ</w:t>
      </w:r>
    </w:p>
    <w:p w14:paraId="5C016517" w14:textId="77777777" w:rsidR="000B6A0A" w:rsidRPr="0046672D" w:rsidRDefault="000B6A0A" w:rsidP="000B6A0A">
      <w:pPr>
        <w:rPr>
          <w:lang w:val="mn-MN"/>
        </w:rPr>
      </w:pPr>
    </w:p>
    <w:p w14:paraId="3C9017CB" w14:textId="77777777" w:rsidR="000B6A0A" w:rsidRPr="0046672D" w:rsidRDefault="000B6A0A" w:rsidP="00FE3633">
      <w:pPr>
        <w:pStyle w:val="Heading1"/>
        <w:numPr>
          <w:ilvl w:val="0"/>
          <w:numId w:val="12"/>
        </w:numPr>
        <w:pBdr>
          <w:bottom w:val="none" w:sz="0" w:space="0" w:color="auto"/>
        </w:pBdr>
        <w:rPr>
          <w:b w:val="0"/>
          <w:u w:val="single"/>
        </w:rPr>
      </w:pPr>
      <w:r w:rsidRPr="0046672D">
        <w:t>УЛСЫН НИЙТ ГАДААД ӨР, ЗАСГИЙН ГАЗРЫН ӨРИЙН ӨНӨӨГИЙН НӨХЦӨЛ, БАЙДАЛ</w:t>
      </w:r>
      <w:r w:rsidRPr="0046672D">
        <w:rPr>
          <w:b w:val="0"/>
          <w:u w:val="single"/>
        </w:rPr>
        <w:t xml:space="preserve"> </w:t>
      </w:r>
    </w:p>
    <w:p w14:paraId="7EEDAAEC" w14:textId="77777777" w:rsidR="000B6A0A" w:rsidRPr="0046672D" w:rsidRDefault="000B6A0A" w:rsidP="000B6A0A">
      <w:pPr>
        <w:pStyle w:val="NoSpacing"/>
        <w:spacing w:after="0"/>
      </w:pPr>
    </w:p>
    <w:p w14:paraId="7EC31A50" w14:textId="77777777" w:rsidR="000B6A0A" w:rsidRPr="0046672D" w:rsidRDefault="000B6A0A" w:rsidP="000B6A0A">
      <w:pPr>
        <w:pStyle w:val="Heading2"/>
        <w:numPr>
          <w:ilvl w:val="0"/>
          <w:numId w:val="0"/>
        </w:numPr>
        <w:ind w:left="180"/>
        <w:rPr>
          <w:vertAlign w:val="superscript"/>
        </w:rPr>
      </w:pPr>
      <w:r w:rsidRPr="0046672D">
        <w:tab/>
      </w:r>
      <w:r w:rsidRPr="0046672D">
        <w:tab/>
        <w:t>1.1.Улсын нийт гадаад өр</w:t>
      </w:r>
      <w:r w:rsidRPr="0046672D">
        <w:rPr>
          <w:rStyle w:val="FootnoteReference"/>
          <w:szCs w:val="24"/>
        </w:rPr>
        <w:footnoteReference w:id="2"/>
      </w:r>
    </w:p>
    <w:p w14:paraId="1DD57590" w14:textId="77777777" w:rsidR="000B6A0A" w:rsidRPr="0046672D" w:rsidRDefault="000B6A0A" w:rsidP="000B6A0A">
      <w:pPr>
        <w:pStyle w:val="ListParagraph"/>
        <w:tabs>
          <w:tab w:val="left" w:pos="709"/>
        </w:tabs>
        <w:spacing w:before="240" w:line="22" w:lineRule="atLeast"/>
        <w:ind w:left="0"/>
        <w:jc w:val="both"/>
        <w:rPr>
          <w:rFonts w:ascii="Arial" w:hAnsi="Arial" w:cs="Arial"/>
          <w:lang w:val="mn-MN" w:eastAsia="zh-CN" w:bidi="mn-Mong-CN"/>
        </w:rPr>
      </w:pPr>
      <w:r w:rsidRPr="0046672D">
        <w:rPr>
          <w:rFonts w:ascii="Arial" w:hAnsi="Arial" w:cs="Arial"/>
          <w:sz w:val="24"/>
          <w:szCs w:val="24"/>
          <w:lang w:val="mn-MN"/>
        </w:rPr>
        <w:tab/>
      </w:r>
      <w:r w:rsidRPr="0046672D">
        <w:rPr>
          <w:rFonts w:ascii="Arial" w:hAnsi="Arial" w:cs="Arial"/>
          <w:sz w:val="24"/>
          <w:szCs w:val="24"/>
          <w:lang w:val="mn-MN" w:bidi="mn-Mong-CN"/>
        </w:rPr>
        <w:t>Улсын нийт гадаад өрийн үлдэгдэл 2021 оны жилийн эцсийн байдлаар 33.2 тэрбум ам.доллартой тэнцэж байна. Үүнээс Засгийн газрын гадаад өр 8.5 тэрбум ам.доллар (25.6%), төв банкны гадаад өр 2.6 тэрбум ам.доллар (7.8%), бусад салбаруудын өр 8.2 тэрбум ам.доллар (24.7%), төв банкнаас бусад хадгаламжийн байгууллагын өр 1.6 тэрбум ам.доллар (4.8%) байгаа бол компани хоорондын зээллэг 12.3 тэрбум ам.долларыг (37.0%) тус тус эзэлж байна.</w:t>
      </w:r>
    </w:p>
    <w:p w14:paraId="210BCA97" w14:textId="77777777" w:rsidR="000B6A0A" w:rsidRPr="0046672D" w:rsidRDefault="000B6A0A" w:rsidP="000B6A0A">
      <w:pPr>
        <w:pStyle w:val="Caption"/>
        <w:keepNext/>
        <w:spacing w:after="0"/>
        <w:rPr>
          <w:rFonts w:ascii="Arial" w:hAnsi="Arial" w:cs="Arial"/>
          <w:i w:val="0"/>
          <w:color w:val="000000" w:themeColor="text1"/>
          <w:sz w:val="22"/>
          <w:szCs w:val="22"/>
          <w:lang w:val="mn-MN"/>
        </w:rPr>
      </w:pPr>
      <w:r w:rsidRPr="0046672D">
        <w:rPr>
          <w:rFonts w:ascii="Arial" w:hAnsi="Arial" w:cs="Arial"/>
          <w:color w:val="000000" w:themeColor="text1"/>
          <w:sz w:val="24"/>
          <w:szCs w:val="24"/>
          <w:lang w:val="mn-MN"/>
        </w:rPr>
        <w:tab/>
      </w:r>
      <w:r w:rsidRPr="0046672D">
        <w:rPr>
          <w:rFonts w:ascii="Arial" w:hAnsi="Arial" w:cs="Arial"/>
          <w:color w:val="000000" w:themeColor="text1"/>
          <w:sz w:val="20"/>
          <w:szCs w:val="20"/>
          <w:lang w:val="mn-MN"/>
        </w:rPr>
        <w:t xml:space="preserve">Хүснэгm № 1: Улсын нийт гадаад өрийн үлдэгдэл, 2019-2021 он </w:t>
      </w:r>
      <w:r w:rsidRPr="0046672D">
        <w:rPr>
          <w:rFonts w:ascii="Arial" w:hAnsi="Arial" w:cs="Arial"/>
          <w:color w:val="000000" w:themeColor="text1"/>
          <w:sz w:val="20"/>
          <w:szCs w:val="20"/>
          <w:lang w:val="mn-MN"/>
        </w:rPr>
        <w:tab/>
      </w:r>
      <w:r w:rsidRPr="0046672D">
        <w:rPr>
          <w:rFonts w:ascii="Arial" w:hAnsi="Arial" w:cs="Arial"/>
          <w:color w:val="000000" w:themeColor="text1"/>
          <w:sz w:val="20"/>
          <w:szCs w:val="20"/>
          <w:lang w:val="mn-MN"/>
        </w:rPr>
        <w:tab/>
        <w:t>/сая ам.доллар/</w:t>
      </w:r>
    </w:p>
    <w:tbl>
      <w:tblPr>
        <w:tblStyle w:val="LightShading-Accent1"/>
        <w:tblW w:w="9086" w:type="dxa"/>
        <w:jc w:val="center"/>
        <w:tblLook w:val="04A0" w:firstRow="1" w:lastRow="0" w:firstColumn="1" w:lastColumn="0" w:noHBand="0" w:noVBand="1"/>
      </w:tblPr>
      <w:tblGrid>
        <w:gridCol w:w="4056"/>
        <w:gridCol w:w="1710"/>
        <w:gridCol w:w="1660"/>
        <w:gridCol w:w="1660"/>
      </w:tblGrid>
      <w:tr w:rsidR="000B6A0A" w:rsidRPr="0046672D" w14:paraId="299B75D8" w14:textId="77777777" w:rsidTr="00F51A8E">
        <w:trPr>
          <w:cnfStyle w:val="100000000000" w:firstRow="1" w:lastRow="0" w:firstColumn="0" w:lastColumn="0" w:oddVBand="0" w:evenVBand="0" w:oddHBand="0"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002060"/>
            <w:vAlign w:val="center"/>
            <w:hideMark/>
          </w:tcPr>
          <w:p w14:paraId="5C67BBF3" w14:textId="77777777" w:rsidR="000B6A0A" w:rsidRPr="0046672D" w:rsidRDefault="000B6A0A" w:rsidP="00F51A8E">
            <w:pPr>
              <w:rPr>
                <w:rFonts w:ascii="Arial" w:hAnsi="Arial" w:cs="Arial"/>
                <w:color w:val="auto"/>
                <w:lang w:val="mn-MN"/>
              </w:rPr>
            </w:pPr>
            <w:r w:rsidRPr="0046672D">
              <w:rPr>
                <w:rFonts w:ascii="Arial" w:hAnsi="Arial" w:cs="Arial"/>
                <w:color w:val="FFFFFF" w:themeColor="background1"/>
                <w:lang w:val="mn-MN"/>
              </w:rPr>
              <w:t>САЛБАРЫН</w:t>
            </w:r>
            <w:r w:rsidRPr="0046672D">
              <w:rPr>
                <w:rFonts w:ascii="Arial" w:hAnsi="Arial" w:cs="Arial"/>
                <w:lang w:val="mn-MN"/>
              </w:rPr>
              <w:t xml:space="preserve"> АНГИЛАЛ</w:t>
            </w:r>
          </w:p>
        </w:tc>
        <w:tc>
          <w:tcPr>
            <w:tcW w:w="0" w:type="dxa"/>
            <w:tcBorders>
              <w:top w:val="single" w:sz="4" w:space="0" w:color="auto"/>
              <w:bottom w:val="single" w:sz="4" w:space="0" w:color="auto"/>
            </w:tcBorders>
            <w:shd w:val="clear" w:color="auto" w:fill="002060"/>
            <w:vAlign w:val="center"/>
            <w:hideMark/>
          </w:tcPr>
          <w:p w14:paraId="12A242DB" w14:textId="77777777" w:rsidR="000B6A0A" w:rsidRPr="0046672D" w:rsidRDefault="000B6A0A" w:rsidP="00F51A8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lang w:val="mn-MN"/>
              </w:rPr>
            </w:pPr>
            <w:r w:rsidRPr="0046672D">
              <w:rPr>
                <w:rFonts w:ascii="Arial" w:hAnsi="Arial" w:cs="Arial"/>
                <w:color w:val="FFFFFF" w:themeColor="background1"/>
                <w:lang w:val="mn-MN"/>
              </w:rPr>
              <w:t xml:space="preserve">2019 </w:t>
            </w:r>
          </w:p>
        </w:tc>
        <w:tc>
          <w:tcPr>
            <w:tcW w:w="0" w:type="dxa"/>
            <w:tcBorders>
              <w:top w:val="single" w:sz="4" w:space="0" w:color="auto"/>
              <w:bottom w:val="single" w:sz="4" w:space="0" w:color="auto"/>
            </w:tcBorders>
            <w:shd w:val="clear" w:color="auto" w:fill="002060"/>
            <w:vAlign w:val="center"/>
            <w:hideMark/>
          </w:tcPr>
          <w:p w14:paraId="75EB7C69" w14:textId="77777777" w:rsidR="000B6A0A" w:rsidRPr="0046672D" w:rsidRDefault="000B6A0A" w:rsidP="00F51A8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lang w:val="mn-MN"/>
              </w:rPr>
            </w:pPr>
            <w:r w:rsidRPr="0046672D">
              <w:rPr>
                <w:rFonts w:ascii="Arial" w:hAnsi="Arial" w:cs="Arial"/>
                <w:color w:val="FFFFFF" w:themeColor="background1"/>
                <w:lang w:val="mn-MN"/>
              </w:rPr>
              <w:t xml:space="preserve">2020 </w:t>
            </w:r>
          </w:p>
        </w:tc>
        <w:tc>
          <w:tcPr>
            <w:tcW w:w="0" w:type="dxa"/>
            <w:tcBorders>
              <w:top w:val="single" w:sz="4" w:space="0" w:color="auto"/>
              <w:bottom w:val="single" w:sz="4" w:space="0" w:color="auto"/>
            </w:tcBorders>
            <w:shd w:val="clear" w:color="auto" w:fill="002060"/>
            <w:vAlign w:val="center"/>
            <w:hideMark/>
          </w:tcPr>
          <w:p w14:paraId="6610B277" w14:textId="77777777" w:rsidR="000B6A0A" w:rsidRPr="0046672D" w:rsidRDefault="000B6A0A" w:rsidP="00F51A8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lang w:val="mn-MN"/>
              </w:rPr>
            </w:pPr>
            <w:r w:rsidRPr="0046672D">
              <w:rPr>
                <w:rFonts w:ascii="Arial" w:hAnsi="Arial" w:cs="Arial"/>
                <w:color w:val="FFFFFF" w:themeColor="background1"/>
                <w:lang w:val="mn-MN"/>
              </w:rPr>
              <w:t xml:space="preserve">2021 </w:t>
            </w:r>
          </w:p>
        </w:tc>
      </w:tr>
      <w:tr w:rsidR="000B6A0A" w:rsidRPr="0046672D" w14:paraId="2D36FEBE" w14:textId="77777777" w:rsidTr="00F51A8E">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056" w:type="dxa"/>
            <w:tcBorders>
              <w:top w:val="single" w:sz="4" w:space="0" w:color="auto"/>
            </w:tcBorders>
            <w:shd w:val="clear" w:color="auto" w:fill="FFFFFF" w:themeFill="background1"/>
            <w:vAlign w:val="center"/>
            <w:hideMark/>
          </w:tcPr>
          <w:p w14:paraId="4C04A78D" w14:textId="77777777" w:rsidR="000B6A0A" w:rsidRPr="0046672D" w:rsidRDefault="000B6A0A" w:rsidP="00F51A8E">
            <w:pPr>
              <w:rPr>
                <w:rFonts w:ascii="Arial" w:hAnsi="Arial" w:cs="Arial"/>
                <w:b w:val="0"/>
                <w:color w:val="auto"/>
                <w:lang w:val="mn-MN"/>
              </w:rPr>
            </w:pPr>
            <w:r w:rsidRPr="0046672D">
              <w:rPr>
                <w:rFonts w:ascii="Arial" w:hAnsi="Arial" w:cs="Arial"/>
                <w:lang w:val="mn-MN"/>
              </w:rPr>
              <w:t xml:space="preserve">Засгийн газар </w:t>
            </w:r>
          </w:p>
        </w:tc>
        <w:tc>
          <w:tcPr>
            <w:tcW w:w="1710" w:type="dxa"/>
            <w:tcBorders>
              <w:top w:val="single" w:sz="4" w:space="0" w:color="auto"/>
            </w:tcBorders>
            <w:shd w:val="clear" w:color="auto" w:fill="FFFFFF" w:themeFill="background1"/>
            <w:noWrap/>
            <w:vAlign w:val="center"/>
            <w:hideMark/>
          </w:tcPr>
          <w:p w14:paraId="699C9C05"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7,806.2</w:t>
            </w:r>
          </w:p>
        </w:tc>
        <w:tc>
          <w:tcPr>
            <w:tcW w:w="1660" w:type="dxa"/>
            <w:tcBorders>
              <w:top w:val="single" w:sz="4" w:space="0" w:color="auto"/>
            </w:tcBorders>
            <w:shd w:val="clear" w:color="auto" w:fill="FFFFFF" w:themeFill="background1"/>
            <w:noWrap/>
            <w:vAlign w:val="center"/>
            <w:hideMark/>
          </w:tcPr>
          <w:p w14:paraId="381A56D1"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8,653.8</w:t>
            </w:r>
          </w:p>
        </w:tc>
        <w:tc>
          <w:tcPr>
            <w:tcW w:w="1660" w:type="dxa"/>
            <w:tcBorders>
              <w:top w:val="single" w:sz="4" w:space="0" w:color="auto"/>
            </w:tcBorders>
            <w:shd w:val="clear" w:color="auto" w:fill="FFFFFF" w:themeFill="background1"/>
            <w:noWrap/>
            <w:vAlign w:val="center"/>
            <w:hideMark/>
          </w:tcPr>
          <w:p w14:paraId="65815216"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8,482.6</w:t>
            </w:r>
          </w:p>
        </w:tc>
      </w:tr>
      <w:tr w:rsidR="000B6A0A" w:rsidRPr="0046672D" w14:paraId="709C6B93" w14:textId="77777777" w:rsidTr="00F51A8E">
        <w:trPr>
          <w:trHeight w:val="331"/>
          <w:jc w:val="center"/>
        </w:trPr>
        <w:tc>
          <w:tcPr>
            <w:cnfStyle w:val="001000000000" w:firstRow="0" w:lastRow="0" w:firstColumn="1" w:lastColumn="0" w:oddVBand="0" w:evenVBand="0" w:oddHBand="0" w:evenHBand="0" w:firstRowFirstColumn="0" w:firstRowLastColumn="0" w:lastRowFirstColumn="0" w:lastRowLastColumn="0"/>
            <w:tcW w:w="4056" w:type="dxa"/>
            <w:tcBorders>
              <w:left w:val="nil"/>
            </w:tcBorders>
            <w:shd w:val="clear" w:color="auto" w:fill="FFFFFF" w:themeFill="background1"/>
            <w:vAlign w:val="center"/>
            <w:hideMark/>
          </w:tcPr>
          <w:p w14:paraId="31D79651" w14:textId="77777777" w:rsidR="000B6A0A" w:rsidRPr="0046672D" w:rsidRDefault="000B6A0A" w:rsidP="00F51A8E">
            <w:pPr>
              <w:rPr>
                <w:rFonts w:ascii="Arial" w:hAnsi="Arial" w:cs="Arial"/>
                <w:b w:val="0"/>
                <w:color w:val="auto"/>
                <w:lang w:val="mn-MN"/>
              </w:rPr>
            </w:pPr>
            <w:r w:rsidRPr="0046672D">
              <w:rPr>
                <w:rFonts w:ascii="Arial" w:hAnsi="Arial" w:cs="Arial"/>
                <w:lang w:val="mn-MN"/>
              </w:rPr>
              <w:t xml:space="preserve">Төвбанк </w:t>
            </w:r>
          </w:p>
        </w:tc>
        <w:tc>
          <w:tcPr>
            <w:tcW w:w="1710" w:type="dxa"/>
            <w:shd w:val="clear" w:color="auto" w:fill="FFFFFF" w:themeFill="background1"/>
            <w:noWrap/>
            <w:vAlign w:val="center"/>
            <w:hideMark/>
          </w:tcPr>
          <w:p w14:paraId="36AE6C5B"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lang w:val="mn-MN"/>
              </w:rPr>
              <w:t>1,984.7</w:t>
            </w:r>
          </w:p>
        </w:tc>
        <w:tc>
          <w:tcPr>
            <w:tcW w:w="1660" w:type="dxa"/>
            <w:shd w:val="clear" w:color="auto" w:fill="FFFFFF" w:themeFill="background1"/>
            <w:noWrap/>
            <w:vAlign w:val="center"/>
            <w:hideMark/>
          </w:tcPr>
          <w:p w14:paraId="5C7FAB1C"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lang w:val="mn-MN"/>
              </w:rPr>
              <w:t>2,220.9</w:t>
            </w:r>
          </w:p>
        </w:tc>
        <w:tc>
          <w:tcPr>
            <w:tcW w:w="1660" w:type="dxa"/>
            <w:tcBorders>
              <w:right w:val="nil"/>
            </w:tcBorders>
            <w:shd w:val="clear" w:color="auto" w:fill="FFFFFF" w:themeFill="background1"/>
            <w:noWrap/>
            <w:vAlign w:val="center"/>
            <w:hideMark/>
          </w:tcPr>
          <w:p w14:paraId="28D43906"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lang w:val="mn-MN"/>
              </w:rPr>
              <w:t>2,561.8</w:t>
            </w:r>
          </w:p>
        </w:tc>
      </w:tr>
      <w:tr w:rsidR="000B6A0A" w:rsidRPr="0046672D" w14:paraId="3035086C" w14:textId="77777777" w:rsidTr="00F51A8E">
        <w:trPr>
          <w:cnfStyle w:val="000000100000" w:firstRow="0" w:lastRow="0" w:firstColumn="0" w:lastColumn="0" w:oddVBand="0" w:evenVBand="0" w:oddHBand="1" w:evenHBand="0" w:firstRowFirstColumn="0" w:firstRowLastColumn="0" w:lastRowFirstColumn="0" w:lastRowLastColumn="0"/>
          <w:trHeight w:val="588"/>
          <w:jc w:val="center"/>
        </w:trPr>
        <w:tc>
          <w:tcPr>
            <w:cnfStyle w:val="001000000000" w:firstRow="0" w:lastRow="0" w:firstColumn="1" w:lastColumn="0" w:oddVBand="0" w:evenVBand="0" w:oddHBand="0" w:evenHBand="0" w:firstRowFirstColumn="0" w:firstRowLastColumn="0" w:lastRowFirstColumn="0" w:lastRowLastColumn="0"/>
            <w:tcW w:w="4056" w:type="dxa"/>
            <w:shd w:val="clear" w:color="auto" w:fill="FFFFFF" w:themeFill="background1"/>
            <w:vAlign w:val="center"/>
            <w:hideMark/>
          </w:tcPr>
          <w:p w14:paraId="3BD7E2C9" w14:textId="77777777" w:rsidR="000B6A0A" w:rsidRPr="0046672D" w:rsidRDefault="000B6A0A" w:rsidP="00F51A8E">
            <w:pPr>
              <w:rPr>
                <w:rFonts w:ascii="Arial" w:hAnsi="Arial" w:cs="Arial"/>
                <w:b w:val="0"/>
                <w:color w:val="auto"/>
                <w:lang w:val="mn-MN"/>
              </w:rPr>
            </w:pPr>
            <w:r w:rsidRPr="0046672D">
              <w:rPr>
                <w:rFonts w:ascii="Arial" w:hAnsi="Arial" w:cs="Arial"/>
                <w:lang w:val="mn-MN"/>
              </w:rPr>
              <w:t>Хадгаламжийн байгууллага (Төв банкнаас бусад)</w:t>
            </w:r>
          </w:p>
        </w:tc>
        <w:tc>
          <w:tcPr>
            <w:tcW w:w="1710" w:type="dxa"/>
            <w:shd w:val="clear" w:color="auto" w:fill="FFFFFF" w:themeFill="background1"/>
            <w:noWrap/>
            <w:vAlign w:val="center"/>
            <w:hideMark/>
          </w:tcPr>
          <w:p w14:paraId="64240093"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2,137.9</w:t>
            </w:r>
          </w:p>
        </w:tc>
        <w:tc>
          <w:tcPr>
            <w:tcW w:w="1660" w:type="dxa"/>
            <w:shd w:val="clear" w:color="auto" w:fill="FFFFFF" w:themeFill="background1"/>
            <w:noWrap/>
            <w:vAlign w:val="center"/>
            <w:hideMark/>
          </w:tcPr>
          <w:p w14:paraId="5436F326"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1,650.9</w:t>
            </w:r>
          </w:p>
        </w:tc>
        <w:tc>
          <w:tcPr>
            <w:tcW w:w="1660" w:type="dxa"/>
            <w:shd w:val="clear" w:color="auto" w:fill="FFFFFF" w:themeFill="background1"/>
            <w:noWrap/>
            <w:vAlign w:val="center"/>
            <w:hideMark/>
          </w:tcPr>
          <w:p w14:paraId="5B1ADA49"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1,651.3</w:t>
            </w:r>
          </w:p>
        </w:tc>
      </w:tr>
      <w:tr w:rsidR="000B6A0A" w:rsidRPr="0046672D" w14:paraId="2F220DE5" w14:textId="77777777" w:rsidTr="00F51A8E">
        <w:trPr>
          <w:trHeight w:val="331"/>
          <w:jc w:val="center"/>
        </w:trPr>
        <w:tc>
          <w:tcPr>
            <w:cnfStyle w:val="001000000000" w:firstRow="0" w:lastRow="0" w:firstColumn="1" w:lastColumn="0" w:oddVBand="0" w:evenVBand="0" w:oddHBand="0" w:evenHBand="0" w:firstRowFirstColumn="0" w:firstRowLastColumn="0" w:lastRowFirstColumn="0" w:lastRowLastColumn="0"/>
            <w:tcW w:w="4056" w:type="dxa"/>
            <w:tcBorders>
              <w:left w:val="nil"/>
            </w:tcBorders>
            <w:shd w:val="clear" w:color="auto" w:fill="FFFFFF" w:themeFill="background1"/>
            <w:vAlign w:val="center"/>
            <w:hideMark/>
          </w:tcPr>
          <w:p w14:paraId="7D90F245" w14:textId="77777777" w:rsidR="000B6A0A" w:rsidRPr="0046672D" w:rsidRDefault="000B6A0A" w:rsidP="00F51A8E">
            <w:pPr>
              <w:rPr>
                <w:rFonts w:ascii="Arial" w:hAnsi="Arial" w:cs="Arial"/>
                <w:b w:val="0"/>
                <w:color w:val="auto"/>
                <w:lang w:val="mn-MN"/>
              </w:rPr>
            </w:pPr>
            <w:r w:rsidRPr="0046672D">
              <w:rPr>
                <w:rFonts w:ascii="Arial" w:hAnsi="Arial" w:cs="Arial"/>
                <w:lang w:val="mn-MN"/>
              </w:rPr>
              <w:t xml:space="preserve">Бусад салбарууд </w:t>
            </w:r>
          </w:p>
        </w:tc>
        <w:tc>
          <w:tcPr>
            <w:tcW w:w="1710" w:type="dxa"/>
            <w:shd w:val="clear" w:color="auto" w:fill="FFFFFF" w:themeFill="background1"/>
            <w:noWrap/>
            <w:vAlign w:val="center"/>
            <w:hideMark/>
          </w:tcPr>
          <w:p w14:paraId="3CAB3581"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lang w:val="mn-MN"/>
              </w:rPr>
              <w:t>8,517.4</w:t>
            </w:r>
          </w:p>
        </w:tc>
        <w:tc>
          <w:tcPr>
            <w:tcW w:w="1660" w:type="dxa"/>
            <w:shd w:val="clear" w:color="auto" w:fill="FFFFFF" w:themeFill="background1"/>
            <w:noWrap/>
            <w:vAlign w:val="center"/>
            <w:hideMark/>
          </w:tcPr>
          <w:p w14:paraId="0F307A32"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lang w:val="mn-MN"/>
              </w:rPr>
              <w:t>8,254.2</w:t>
            </w:r>
          </w:p>
        </w:tc>
        <w:tc>
          <w:tcPr>
            <w:tcW w:w="1660" w:type="dxa"/>
            <w:tcBorders>
              <w:right w:val="nil"/>
            </w:tcBorders>
            <w:shd w:val="clear" w:color="auto" w:fill="FFFFFF" w:themeFill="background1"/>
            <w:noWrap/>
            <w:vAlign w:val="center"/>
            <w:hideMark/>
          </w:tcPr>
          <w:p w14:paraId="51CC8BF5"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lang w:val="mn-MN"/>
              </w:rPr>
            </w:pPr>
            <w:r w:rsidRPr="0046672D">
              <w:rPr>
                <w:rFonts w:ascii="Arial" w:hAnsi="Arial" w:cs="Arial"/>
                <w:lang w:val="mn-MN"/>
              </w:rPr>
              <w:t>8,222.0</w:t>
            </w:r>
          </w:p>
        </w:tc>
      </w:tr>
      <w:tr w:rsidR="000B6A0A" w:rsidRPr="0046672D" w14:paraId="45F47468" w14:textId="77777777" w:rsidTr="00F51A8E">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056" w:type="dxa"/>
            <w:shd w:val="clear" w:color="auto" w:fill="FFFFFF" w:themeFill="background1"/>
            <w:vAlign w:val="center"/>
            <w:hideMark/>
          </w:tcPr>
          <w:p w14:paraId="487BE681" w14:textId="77777777" w:rsidR="000B6A0A" w:rsidRPr="0046672D" w:rsidRDefault="000B6A0A" w:rsidP="00F51A8E">
            <w:pPr>
              <w:rPr>
                <w:rFonts w:ascii="Arial" w:hAnsi="Arial" w:cs="Arial"/>
                <w:b w:val="0"/>
                <w:color w:val="auto"/>
                <w:lang w:val="mn-MN"/>
              </w:rPr>
            </w:pPr>
            <w:r w:rsidRPr="0046672D">
              <w:rPr>
                <w:rFonts w:ascii="Arial" w:hAnsi="Arial" w:cs="Arial"/>
                <w:lang w:val="mn-MN"/>
              </w:rPr>
              <w:t>Шууд хөрөнгө оруулалт: Компани хоорондын зээллэг</w:t>
            </w:r>
          </w:p>
        </w:tc>
        <w:tc>
          <w:tcPr>
            <w:tcW w:w="1710" w:type="dxa"/>
            <w:shd w:val="clear" w:color="auto" w:fill="FFFFFF" w:themeFill="background1"/>
            <w:noWrap/>
            <w:vAlign w:val="center"/>
            <w:hideMark/>
          </w:tcPr>
          <w:p w14:paraId="5446B44F"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10,366.2</w:t>
            </w:r>
          </w:p>
        </w:tc>
        <w:tc>
          <w:tcPr>
            <w:tcW w:w="1660" w:type="dxa"/>
            <w:shd w:val="clear" w:color="auto" w:fill="FFFFFF" w:themeFill="background1"/>
            <w:noWrap/>
            <w:vAlign w:val="center"/>
            <w:hideMark/>
          </w:tcPr>
          <w:p w14:paraId="3780258C"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11,405.8</w:t>
            </w:r>
          </w:p>
        </w:tc>
        <w:tc>
          <w:tcPr>
            <w:tcW w:w="1660" w:type="dxa"/>
            <w:shd w:val="clear" w:color="auto" w:fill="FFFFFF" w:themeFill="background1"/>
            <w:noWrap/>
            <w:vAlign w:val="center"/>
            <w:hideMark/>
          </w:tcPr>
          <w:p w14:paraId="4A2D4673" w14:textId="77777777" w:rsidR="000B6A0A" w:rsidRPr="0046672D" w:rsidRDefault="000B6A0A" w:rsidP="00F51A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lang w:val="mn-MN"/>
              </w:rPr>
            </w:pPr>
            <w:r w:rsidRPr="0046672D">
              <w:rPr>
                <w:rFonts w:ascii="Arial" w:hAnsi="Arial" w:cs="Arial"/>
                <w:lang w:val="mn-MN"/>
              </w:rPr>
              <w:t>12,272.7</w:t>
            </w:r>
          </w:p>
        </w:tc>
      </w:tr>
      <w:tr w:rsidR="000B6A0A" w:rsidRPr="0046672D" w14:paraId="5BAEC845" w14:textId="77777777" w:rsidTr="00F51A8E">
        <w:trPr>
          <w:trHeight w:val="410"/>
          <w:jc w:val="center"/>
        </w:trPr>
        <w:tc>
          <w:tcPr>
            <w:cnfStyle w:val="001000000000" w:firstRow="0" w:lastRow="0" w:firstColumn="1" w:lastColumn="0" w:oddVBand="0" w:evenVBand="0" w:oddHBand="0" w:evenHBand="0" w:firstRowFirstColumn="0" w:firstRowLastColumn="0" w:lastRowFirstColumn="0" w:lastRowLastColumn="0"/>
            <w:tcW w:w="4056" w:type="dxa"/>
            <w:tcBorders>
              <w:left w:val="nil"/>
              <w:bottom w:val="single" w:sz="4" w:space="0" w:color="auto"/>
            </w:tcBorders>
            <w:shd w:val="clear" w:color="auto" w:fill="FFFFFF" w:themeFill="background1"/>
            <w:vAlign w:val="center"/>
            <w:hideMark/>
          </w:tcPr>
          <w:p w14:paraId="4E229053" w14:textId="77777777" w:rsidR="000B6A0A" w:rsidRPr="0046672D" w:rsidRDefault="000B6A0A" w:rsidP="00F51A8E">
            <w:pPr>
              <w:rPr>
                <w:rFonts w:ascii="Arial" w:hAnsi="Arial" w:cs="Arial"/>
                <w:color w:val="auto"/>
                <w:lang w:val="mn-MN"/>
              </w:rPr>
            </w:pPr>
            <w:r w:rsidRPr="0046672D">
              <w:rPr>
                <w:rFonts w:ascii="Arial" w:hAnsi="Arial" w:cs="Arial"/>
                <w:lang w:val="mn-MN"/>
              </w:rPr>
              <w:t>Нийт гадаад өрийн үлдэгдэл</w:t>
            </w:r>
          </w:p>
        </w:tc>
        <w:tc>
          <w:tcPr>
            <w:tcW w:w="1710" w:type="dxa"/>
            <w:tcBorders>
              <w:bottom w:val="single" w:sz="4" w:space="0" w:color="auto"/>
            </w:tcBorders>
            <w:shd w:val="clear" w:color="auto" w:fill="FFFFFF" w:themeFill="background1"/>
            <w:noWrap/>
            <w:vAlign w:val="center"/>
            <w:hideMark/>
          </w:tcPr>
          <w:p w14:paraId="1F079220"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lang w:val="mn-MN"/>
              </w:rPr>
            </w:pPr>
            <w:r w:rsidRPr="0046672D">
              <w:rPr>
                <w:rFonts w:ascii="Arial" w:hAnsi="Arial" w:cs="Arial"/>
                <w:b/>
                <w:lang w:val="mn-MN"/>
              </w:rPr>
              <w:t>30,702.3</w:t>
            </w:r>
          </w:p>
        </w:tc>
        <w:tc>
          <w:tcPr>
            <w:tcW w:w="1660" w:type="dxa"/>
            <w:tcBorders>
              <w:bottom w:val="single" w:sz="4" w:space="0" w:color="auto"/>
            </w:tcBorders>
            <w:shd w:val="clear" w:color="auto" w:fill="FFFFFF" w:themeFill="background1"/>
            <w:noWrap/>
            <w:vAlign w:val="center"/>
            <w:hideMark/>
          </w:tcPr>
          <w:p w14:paraId="007DA487"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lang w:val="mn-MN"/>
              </w:rPr>
            </w:pPr>
            <w:r w:rsidRPr="0046672D">
              <w:rPr>
                <w:rFonts w:ascii="Arial" w:hAnsi="Arial" w:cs="Arial"/>
                <w:b/>
                <w:lang w:val="mn-MN"/>
              </w:rPr>
              <w:t>32,361.8</w:t>
            </w:r>
          </w:p>
        </w:tc>
        <w:tc>
          <w:tcPr>
            <w:tcW w:w="1660" w:type="dxa"/>
            <w:tcBorders>
              <w:bottom w:val="single" w:sz="4" w:space="0" w:color="auto"/>
              <w:right w:val="nil"/>
            </w:tcBorders>
            <w:shd w:val="clear" w:color="auto" w:fill="FFFFFF" w:themeFill="background1"/>
            <w:noWrap/>
            <w:vAlign w:val="center"/>
            <w:hideMark/>
          </w:tcPr>
          <w:p w14:paraId="6F1D8CC8" w14:textId="77777777" w:rsidR="000B6A0A" w:rsidRPr="0046672D" w:rsidRDefault="000B6A0A" w:rsidP="00F51A8E">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lang w:val="mn-MN"/>
              </w:rPr>
            </w:pPr>
            <w:r w:rsidRPr="0046672D">
              <w:rPr>
                <w:rFonts w:ascii="Arial" w:hAnsi="Arial" w:cs="Arial"/>
                <w:b/>
                <w:lang w:val="mn-MN"/>
              </w:rPr>
              <w:t>33,190.4</w:t>
            </w:r>
          </w:p>
        </w:tc>
      </w:tr>
    </w:tbl>
    <w:p w14:paraId="5B45EEEF" w14:textId="77777777" w:rsidR="000B6A0A" w:rsidRPr="0046672D" w:rsidRDefault="000B6A0A" w:rsidP="000B6A0A">
      <w:pPr>
        <w:pStyle w:val="ListParagraph"/>
        <w:ind w:left="5760" w:firstLine="720"/>
        <w:jc w:val="center"/>
        <w:rPr>
          <w:rFonts w:ascii="Arial" w:hAnsi="Arial" w:cs="Arial"/>
          <w:i/>
          <w:sz w:val="20"/>
          <w:szCs w:val="20"/>
          <w:lang w:val="mn-MN"/>
        </w:rPr>
      </w:pPr>
      <w:r w:rsidRPr="0046672D">
        <w:rPr>
          <w:rFonts w:ascii="Arial" w:hAnsi="Arial" w:cs="Arial"/>
          <w:i/>
          <w:sz w:val="20"/>
          <w:szCs w:val="20"/>
          <w:lang w:val="mn-MN"/>
        </w:rPr>
        <w:t>Эх сурвалж: Монголбанк</w:t>
      </w:r>
    </w:p>
    <w:p w14:paraId="24EC27EF" w14:textId="77777777" w:rsidR="000B6A0A" w:rsidRPr="0046672D" w:rsidRDefault="000B6A0A" w:rsidP="000B6A0A">
      <w:pPr>
        <w:pStyle w:val="ListParagraph"/>
        <w:ind w:left="0"/>
        <w:jc w:val="center"/>
        <w:rPr>
          <w:rFonts w:ascii="Arial" w:hAnsi="Arial" w:cs="Arial"/>
          <w:i/>
          <w:sz w:val="20"/>
          <w:szCs w:val="20"/>
          <w:lang w:val="mn-MN"/>
        </w:rPr>
      </w:pPr>
    </w:p>
    <w:p w14:paraId="12C4BEE3" w14:textId="77777777" w:rsidR="000B6A0A" w:rsidRPr="0046672D" w:rsidRDefault="000B6A0A" w:rsidP="000B6A0A">
      <w:pPr>
        <w:pStyle w:val="Caption"/>
        <w:keepNext/>
        <w:spacing w:after="0"/>
        <w:rPr>
          <w:rFonts w:ascii="Arial" w:hAnsi="Arial" w:cs="Arial"/>
          <w:i w:val="0"/>
          <w:color w:val="000000" w:themeColor="text1"/>
          <w:sz w:val="20"/>
          <w:szCs w:val="20"/>
          <w:lang w:val="mn-MN"/>
        </w:rPr>
      </w:pPr>
      <w:r w:rsidRPr="0046672D">
        <w:rPr>
          <w:rFonts w:ascii="Arial" w:hAnsi="Arial" w:cs="Arial"/>
          <w:color w:val="000000" w:themeColor="text1"/>
          <w:sz w:val="20"/>
          <w:szCs w:val="20"/>
          <w:lang w:val="mn-MN"/>
        </w:rPr>
        <w:lastRenderedPageBreak/>
        <w:tab/>
        <w:t>График</w:t>
      </w:r>
      <w:r w:rsidRPr="0046672D" w:rsidDel="00315F1E">
        <w:rPr>
          <w:rFonts w:ascii="Arial" w:hAnsi="Arial" w:cs="Arial"/>
          <w:color w:val="000000" w:themeColor="text1"/>
          <w:sz w:val="20"/>
          <w:szCs w:val="20"/>
          <w:lang w:val="mn-MN"/>
        </w:rPr>
        <w:t xml:space="preserve"> </w:t>
      </w:r>
      <w:r w:rsidRPr="0046672D">
        <w:rPr>
          <w:rFonts w:ascii="Arial" w:hAnsi="Arial" w:cs="Arial"/>
          <w:color w:val="000000" w:themeColor="text1"/>
          <w:sz w:val="20"/>
          <w:szCs w:val="20"/>
          <w:lang w:val="mn-MN"/>
        </w:rPr>
        <w:t>№ 1: Улсын нийт гадаад өрийн бүтэц, 2021 он</w:t>
      </w:r>
    </w:p>
    <w:p w14:paraId="20DBD3BF" w14:textId="77777777" w:rsidR="000B6A0A" w:rsidRPr="0046672D" w:rsidRDefault="000B6A0A" w:rsidP="000B6A0A">
      <w:pPr>
        <w:pStyle w:val="NoSpacing"/>
      </w:pPr>
      <w:r w:rsidRPr="0046672D">
        <w:rPr>
          <w:noProof/>
          <w:lang w:val="en-US"/>
        </w:rPr>
        <w:drawing>
          <wp:inline distT="0" distB="0" distL="0" distR="0" wp14:anchorId="441C8AAA" wp14:editId="5E286518">
            <wp:extent cx="5810250" cy="2047875"/>
            <wp:effectExtent l="0" t="0" r="0" b="0"/>
            <wp:docPr id="5" name="Chart 5">
              <a:extLst xmlns:a="http://schemas.openxmlformats.org/drawingml/2006/main">
                <a:ext uri="{FF2B5EF4-FFF2-40B4-BE49-F238E27FC236}">
                  <a16:creationId xmlns:a16="http://schemas.microsoft.com/office/drawing/2014/main" id="{6B0A1181-66D3-4B65-99F7-A002F746B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571297" w14:textId="77777777" w:rsidR="000B6A0A" w:rsidRPr="0046672D" w:rsidRDefault="000B6A0A" w:rsidP="000B6A0A">
      <w:pPr>
        <w:ind w:firstLine="720"/>
        <w:jc w:val="both"/>
        <w:rPr>
          <w:rFonts w:ascii="Arial" w:hAnsi="Arial" w:cs="Arial"/>
          <w:i/>
          <w:color w:val="000000"/>
          <w:sz w:val="20"/>
          <w:szCs w:val="20"/>
          <w:shd w:val="clear" w:color="auto" w:fill="FFFFFF"/>
          <w:lang w:val="mn-MN"/>
        </w:rPr>
      </w:pPr>
    </w:p>
    <w:p w14:paraId="2370FA48" w14:textId="77777777" w:rsidR="000B6A0A" w:rsidRPr="0046672D" w:rsidRDefault="000B6A0A" w:rsidP="000B6A0A">
      <w:pPr>
        <w:pStyle w:val="Heading2"/>
        <w:numPr>
          <w:ilvl w:val="0"/>
          <w:numId w:val="0"/>
        </w:numPr>
        <w:spacing w:after="240"/>
        <w:ind w:left="540"/>
      </w:pPr>
      <w:r w:rsidRPr="0046672D">
        <w:tab/>
        <w:t>1.2.Засгийн газрын өр</w:t>
      </w:r>
      <w:r w:rsidRPr="0046672D">
        <w:rPr>
          <w:vertAlign w:val="superscript"/>
        </w:rPr>
        <w:footnoteReference w:id="3"/>
      </w:r>
    </w:p>
    <w:p w14:paraId="403E6450" w14:textId="77777777" w:rsidR="000B6A0A" w:rsidRPr="0046672D" w:rsidRDefault="000B6A0A" w:rsidP="000B6A0A">
      <w:pPr>
        <w:ind w:firstLine="720"/>
        <w:jc w:val="both"/>
        <w:rPr>
          <w:rFonts w:ascii="Arial" w:hAnsi="Arial" w:cs="Arial"/>
          <w:sz w:val="24"/>
          <w:szCs w:val="24"/>
          <w:lang w:val="mn-MN"/>
        </w:rPr>
      </w:pPr>
      <w:r w:rsidRPr="0046672D">
        <w:rPr>
          <w:rFonts w:ascii="Arial" w:hAnsi="Arial" w:cs="Arial"/>
          <w:sz w:val="24"/>
          <w:szCs w:val="24"/>
          <w:lang w:val="mn-MN"/>
        </w:rPr>
        <w:t>Засгийн газрын өрийн үлдэгдэл 2021 оны жилийн эцсийн урьдчилсан гүйцэтгэлээр 26,918.1 тэрбум төгрөг байгаа бөгөөд өнөөгийн үнэ цэнээр илэрхийлсэн Засгийн газрын өр болон ДНБ-ний харьцаа 50.7 хувьд хүрч, 2019 оны мөн үеэс 4.4 хувиар буурсан үзүүлэлттэй байна.</w:t>
      </w:r>
    </w:p>
    <w:p w14:paraId="349B27D5" w14:textId="77777777" w:rsidR="000B6A0A" w:rsidRPr="0046672D" w:rsidRDefault="000B6A0A" w:rsidP="000B6A0A">
      <w:pPr>
        <w:spacing w:after="0"/>
        <w:rPr>
          <w:rFonts w:ascii="Arial" w:hAnsi="Arial" w:cs="Arial"/>
          <w:b/>
          <w:i/>
          <w:sz w:val="24"/>
          <w:szCs w:val="24"/>
          <w:lang w:val="mn-MN"/>
        </w:rPr>
      </w:pPr>
      <w:r w:rsidRPr="0046672D">
        <w:rPr>
          <w:rFonts w:ascii="Arial" w:hAnsi="Arial" w:cs="Arial"/>
          <w:i/>
          <w:sz w:val="24"/>
          <w:szCs w:val="24"/>
          <w:lang w:val="mn-MN"/>
        </w:rPr>
        <w:tab/>
      </w:r>
      <w:r w:rsidRPr="0046672D">
        <w:rPr>
          <w:rFonts w:ascii="Arial" w:hAnsi="Arial" w:cs="Arial"/>
          <w:i/>
          <w:sz w:val="20"/>
          <w:szCs w:val="20"/>
          <w:lang w:val="mn-MN"/>
        </w:rPr>
        <w:t>Хүснэгт № 2: Засгийн газрын өр, 2019-2022 он</w:t>
      </w:r>
      <w:r w:rsidRPr="0046672D">
        <w:rPr>
          <w:rFonts w:ascii="Arial" w:hAnsi="Arial" w:cs="Arial"/>
          <w:b/>
          <w:i/>
          <w:sz w:val="20"/>
          <w:szCs w:val="20"/>
          <w:lang w:val="mn-MN"/>
        </w:rPr>
        <w:t xml:space="preserve"> </w:t>
      </w:r>
      <w:r w:rsidRPr="0046672D">
        <w:rPr>
          <w:rFonts w:ascii="Arial" w:hAnsi="Arial" w:cs="Arial"/>
          <w:b/>
          <w:i/>
          <w:sz w:val="20"/>
          <w:szCs w:val="20"/>
          <w:lang w:val="mn-MN"/>
        </w:rPr>
        <w:tab/>
      </w:r>
      <w:r w:rsidRPr="0046672D">
        <w:rPr>
          <w:rFonts w:ascii="Arial" w:hAnsi="Arial" w:cs="Arial"/>
          <w:b/>
          <w:i/>
          <w:sz w:val="20"/>
          <w:szCs w:val="20"/>
          <w:lang w:val="mn-MN"/>
        </w:rPr>
        <w:tab/>
      </w:r>
      <w:r w:rsidRPr="0046672D">
        <w:rPr>
          <w:rFonts w:ascii="Arial" w:hAnsi="Arial" w:cs="Arial"/>
          <w:b/>
          <w:i/>
          <w:sz w:val="20"/>
          <w:szCs w:val="20"/>
          <w:lang w:val="mn-MN"/>
        </w:rPr>
        <w:tab/>
      </w:r>
      <w:r w:rsidRPr="0046672D">
        <w:rPr>
          <w:rFonts w:ascii="Arial" w:hAnsi="Arial" w:cs="Arial"/>
          <w:b/>
          <w:i/>
          <w:sz w:val="20"/>
          <w:szCs w:val="20"/>
          <w:lang w:val="mn-MN"/>
        </w:rPr>
        <w:tab/>
      </w:r>
      <w:r w:rsidRPr="0046672D">
        <w:rPr>
          <w:rFonts w:ascii="Arial" w:hAnsi="Arial" w:cs="Arial"/>
          <w:i/>
          <w:sz w:val="20"/>
          <w:szCs w:val="20"/>
          <w:lang w:val="mn-MN"/>
        </w:rPr>
        <w:t>/тэрбум төгрөг/</w:t>
      </w:r>
    </w:p>
    <w:tbl>
      <w:tblPr>
        <w:tblStyle w:val="TableGrid"/>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1"/>
        <w:gridCol w:w="1531"/>
        <w:gridCol w:w="1631"/>
        <w:gridCol w:w="1462"/>
      </w:tblGrid>
      <w:tr w:rsidR="000B6A0A" w:rsidRPr="0046672D" w14:paraId="3C2599B2" w14:textId="77777777" w:rsidTr="00F51A8E">
        <w:trPr>
          <w:trHeight w:val="426"/>
        </w:trPr>
        <w:tc>
          <w:tcPr>
            <w:tcW w:w="5111" w:type="dxa"/>
            <w:tcBorders>
              <w:top w:val="single" w:sz="4" w:space="0" w:color="auto"/>
              <w:bottom w:val="single" w:sz="4" w:space="0" w:color="auto"/>
            </w:tcBorders>
            <w:shd w:val="clear" w:color="auto" w:fill="1F3864" w:themeFill="accent1" w:themeFillShade="80"/>
            <w:vAlign w:val="center"/>
          </w:tcPr>
          <w:p w14:paraId="3F53D6E4" w14:textId="77777777" w:rsidR="000B6A0A" w:rsidRPr="0046672D" w:rsidRDefault="000B6A0A" w:rsidP="00F51A8E">
            <w:pPr>
              <w:rPr>
                <w:rFonts w:ascii="Arial" w:hAnsi="Arial" w:cs="Arial"/>
                <w:b/>
                <w:sz w:val="20"/>
                <w:szCs w:val="20"/>
                <w:lang w:val="mn-MN"/>
              </w:rPr>
            </w:pPr>
            <w:r w:rsidRPr="0046672D">
              <w:rPr>
                <w:rFonts w:ascii="Arial" w:hAnsi="Arial" w:cs="Arial"/>
                <w:b/>
                <w:sz w:val="20"/>
                <w:szCs w:val="20"/>
                <w:lang w:val="mn-MN"/>
              </w:rPr>
              <w:t>ӨРИЙН БҮТЭЦ, ӨРИЙН ХЭРЭГСЭЛ</w:t>
            </w:r>
          </w:p>
        </w:tc>
        <w:tc>
          <w:tcPr>
            <w:tcW w:w="1531" w:type="dxa"/>
            <w:tcBorders>
              <w:top w:val="single" w:sz="4" w:space="0" w:color="auto"/>
              <w:bottom w:val="single" w:sz="4" w:space="0" w:color="auto"/>
            </w:tcBorders>
            <w:shd w:val="clear" w:color="auto" w:fill="1F3864" w:themeFill="accent1" w:themeFillShade="80"/>
            <w:vAlign w:val="center"/>
          </w:tcPr>
          <w:p w14:paraId="0E67D1BB"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 xml:space="preserve">2019 </w:t>
            </w:r>
          </w:p>
        </w:tc>
        <w:tc>
          <w:tcPr>
            <w:tcW w:w="1631" w:type="dxa"/>
            <w:tcBorders>
              <w:top w:val="single" w:sz="4" w:space="0" w:color="auto"/>
              <w:bottom w:val="single" w:sz="4" w:space="0" w:color="auto"/>
            </w:tcBorders>
            <w:shd w:val="clear" w:color="auto" w:fill="1F3864" w:themeFill="accent1" w:themeFillShade="80"/>
            <w:vAlign w:val="center"/>
          </w:tcPr>
          <w:p w14:paraId="3FE5B1CC"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 xml:space="preserve">2020 </w:t>
            </w:r>
          </w:p>
        </w:tc>
        <w:tc>
          <w:tcPr>
            <w:tcW w:w="1462" w:type="dxa"/>
            <w:tcBorders>
              <w:top w:val="single" w:sz="4" w:space="0" w:color="auto"/>
              <w:bottom w:val="single" w:sz="4" w:space="0" w:color="auto"/>
            </w:tcBorders>
            <w:shd w:val="clear" w:color="auto" w:fill="1F3864" w:themeFill="accent1" w:themeFillShade="80"/>
            <w:vAlign w:val="center"/>
          </w:tcPr>
          <w:p w14:paraId="69E2C828"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 xml:space="preserve">2021 </w:t>
            </w:r>
          </w:p>
        </w:tc>
      </w:tr>
      <w:tr w:rsidR="000B6A0A" w:rsidRPr="0046672D" w14:paraId="0CF5A727" w14:textId="77777777" w:rsidTr="00F51A8E">
        <w:trPr>
          <w:trHeight w:val="279"/>
        </w:trPr>
        <w:tc>
          <w:tcPr>
            <w:tcW w:w="5111" w:type="dxa"/>
            <w:tcBorders>
              <w:top w:val="single" w:sz="4" w:space="0" w:color="auto"/>
            </w:tcBorders>
          </w:tcPr>
          <w:p w14:paraId="0986227A" w14:textId="77777777" w:rsidR="000B6A0A" w:rsidRPr="0046672D" w:rsidRDefault="000B6A0A" w:rsidP="00F51A8E">
            <w:pPr>
              <w:rPr>
                <w:rFonts w:ascii="Arial" w:hAnsi="Arial" w:cs="Arial"/>
                <w:b/>
                <w:sz w:val="20"/>
                <w:szCs w:val="20"/>
                <w:lang w:val="mn-MN"/>
              </w:rPr>
            </w:pPr>
            <w:r w:rsidRPr="0046672D">
              <w:rPr>
                <w:rFonts w:ascii="Arial" w:eastAsia="Times New Roman" w:hAnsi="Arial" w:cs="Arial"/>
                <w:b/>
                <w:sz w:val="20"/>
                <w:szCs w:val="20"/>
                <w:lang w:val="mn-MN"/>
              </w:rPr>
              <w:t>1. Засгийн газрын дотоод өр</w:t>
            </w:r>
          </w:p>
        </w:tc>
        <w:tc>
          <w:tcPr>
            <w:tcW w:w="1531" w:type="dxa"/>
            <w:tcBorders>
              <w:top w:val="single" w:sz="4" w:space="0" w:color="auto"/>
            </w:tcBorders>
            <w:vAlign w:val="center"/>
          </w:tcPr>
          <w:p w14:paraId="79E54981"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1,399.6</w:t>
            </w:r>
          </w:p>
        </w:tc>
        <w:tc>
          <w:tcPr>
            <w:tcW w:w="1631" w:type="dxa"/>
            <w:tcBorders>
              <w:top w:val="single" w:sz="4" w:space="0" w:color="auto"/>
            </w:tcBorders>
            <w:vAlign w:val="center"/>
          </w:tcPr>
          <w:p w14:paraId="6C41D9FD"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1,136.6</w:t>
            </w:r>
          </w:p>
        </w:tc>
        <w:tc>
          <w:tcPr>
            <w:tcW w:w="1462" w:type="dxa"/>
            <w:tcBorders>
              <w:top w:val="single" w:sz="4" w:space="0" w:color="auto"/>
            </w:tcBorders>
            <w:vAlign w:val="center"/>
          </w:tcPr>
          <w:p w14:paraId="3554B021"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657.3</w:t>
            </w:r>
          </w:p>
        </w:tc>
      </w:tr>
      <w:tr w:rsidR="000B6A0A" w:rsidRPr="0046672D" w14:paraId="42A26618" w14:textId="77777777" w:rsidTr="00F51A8E">
        <w:trPr>
          <w:trHeight w:val="279"/>
        </w:trPr>
        <w:tc>
          <w:tcPr>
            <w:tcW w:w="5111" w:type="dxa"/>
          </w:tcPr>
          <w:p w14:paraId="471A2962" w14:textId="77777777" w:rsidR="000B6A0A" w:rsidRPr="0046672D" w:rsidRDefault="000B6A0A" w:rsidP="00F51A8E">
            <w:pPr>
              <w:rPr>
                <w:rFonts w:ascii="Arial" w:hAnsi="Arial" w:cs="Arial"/>
                <w:sz w:val="20"/>
                <w:szCs w:val="20"/>
                <w:lang w:val="mn-MN"/>
              </w:rPr>
            </w:pPr>
            <w:r w:rsidRPr="0046672D">
              <w:rPr>
                <w:rFonts w:ascii="Arial" w:eastAsia="Times New Roman" w:hAnsi="Arial" w:cs="Arial"/>
                <w:sz w:val="20"/>
                <w:szCs w:val="20"/>
                <w:lang w:val="mn-MN"/>
              </w:rPr>
              <w:t xml:space="preserve">    1.1. Үнэт цаас</w:t>
            </w:r>
          </w:p>
        </w:tc>
        <w:tc>
          <w:tcPr>
            <w:tcW w:w="1531" w:type="dxa"/>
            <w:vAlign w:val="center"/>
          </w:tcPr>
          <w:p w14:paraId="51B26081"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1,399.6</w:t>
            </w:r>
          </w:p>
        </w:tc>
        <w:tc>
          <w:tcPr>
            <w:tcW w:w="1631" w:type="dxa"/>
            <w:vAlign w:val="center"/>
          </w:tcPr>
          <w:p w14:paraId="432D0EC7"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1,136.6</w:t>
            </w:r>
          </w:p>
        </w:tc>
        <w:tc>
          <w:tcPr>
            <w:tcW w:w="1462" w:type="dxa"/>
            <w:vAlign w:val="center"/>
          </w:tcPr>
          <w:p w14:paraId="329CC0EF"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657.3</w:t>
            </w:r>
          </w:p>
        </w:tc>
      </w:tr>
      <w:tr w:rsidR="000B6A0A" w:rsidRPr="0046672D" w14:paraId="3D3B9B18" w14:textId="77777777" w:rsidTr="00F51A8E">
        <w:trPr>
          <w:trHeight w:val="279"/>
        </w:trPr>
        <w:tc>
          <w:tcPr>
            <w:tcW w:w="5111" w:type="dxa"/>
          </w:tcPr>
          <w:p w14:paraId="6B337551" w14:textId="77777777" w:rsidR="000B6A0A" w:rsidRPr="0046672D" w:rsidRDefault="000B6A0A" w:rsidP="00F51A8E">
            <w:pPr>
              <w:rPr>
                <w:rFonts w:ascii="Arial" w:hAnsi="Arial" w:cs="Arial"/>
                <w:b/>
                <w:sz w:val="20"/>
                <w:szCs w:val="20"/>
                <w:lang w:val="mn-MN"/>
              </w:rPr>
            </w:pPr>
            <w:r w:rsidRPr="0046672D">
              <w:rPr>
                <w:rFonts w:ascii="Arial" w:eastAsia="Times New Roman" w:hAnsi="Arial" w:cs="Arial"/>
                <w:b/>
                <w:sz w:val="20"/>
                <w:szCs w:val="20"/>
                <w:lang w:val="mn-MN"/>
              </w:rPr>
              <w:t>2. Засгийн газрын гадаад өр</w:t>
            </w:r>
          </w:p>
        </w:tc>
        <w:tc>
          <w:tcPr>
            <w:tcW w:w="1531" w:type="dxa"/>
            <w:vAlign w:val="center"/>
          </w:tcPr>
          <w:p w14:paraId="30289305"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20,728.1</w:t>
            </w:r>
          </w:p>
        </w:tc>
        <w:tc>
          <w:tcPr>
            <w:tcW w:w="1631" w:type="dxa"/>
            <w:vAlign w:val="center"/>
          </w:tcPr>
          <w:p w14:paraId="1F9D048E"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24,851.4</w:t>
            </w:r>
          </w:p>
        </w:tc>
        <w:tc>
          <w:tcPr>
            <w:tcW w:w="1462" w:type="dxa"/>
            <w:vAlign w:val="center"/>
          </w:tcPr>
          <w:p w14:paraId="65C477FA"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24,693.3</w:t>
            </w:r>
          </w:p>
        </w:tc>
      </w:tr>
      <w:tr w:rsidR="000B6A0A" w:rsidRPr="0046672D" w14:paraId="60343330" w14:textId="77777777" w:rsidTr="00F51A8E">
        <w:trPr>
          <w:trHeight w:val="279"/>
        </w:trPr>
        <w:tc>
          <w:tcPr>
            <w:tcW w:w="5111" w:type="dxa"/>
          </w:tcPr>
          <w:p w14:paraId="32B9C96D" w14:textId="77777777" w:rsidR="000B6A0A" w:rsidRPr="0046672D" w:rsidRDefault="000B6A0A" w:rsidP="00F51A8E">
            <w:pPr>
              <w:rPr>
                <w:rFonts w:ascii="Arial" w:hAnsi="Arial" w:cs="Arial"/>
                <w:sz w:val="20"/>
                <w:szCs w:val="20"/>
                <w:lang w:val="mn-MN"/>
              </w:rPr>
            </w:pPr>
            <w:r w:rsidRPr="0046672D">
              <w:rPr>
                <w:rFonts w:ascii="Arial" w:eastAsia="Times New Roman" w:hAnsi="Arial" w:cs="Arial"/>
                <w:sz w:val="20"/>
                <w:szCs w:val="20"/>
                <w:lang w:val="mn-MN"/>
              </w:rPr>
              <w:t xml:space="preserve">    2.1. Үнэт цаас</w:t>
            </w:r>
          </w:p>
        </w:tc>
        <w:tc>
          <w:tcPr>
            <w:tcW w:w="1531" w:type="dxa"/>
            <w:vAlign w:val="center"/>
          </w:tcPr>
          <w:p w14:paraId="1C712F0B"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7,927.2</w:t>
            </w:r>
          </w:p>
        </w:tc>
        <w:tc>
          <w:tcPr>
            <w:tcW w:w="1631" w:type="dxa"/>
            <w:vAlign w:val="center"/>
          </w:tcPr>
          <w:p w14:paraId="3D2687AC"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8,354.0</w:t>
            </w:r>
          </w:p>
        </w:tc>
        <w:tc>
          <w:tcPr>
            <w:tcW w:w="1462" w:type="dxa"/>
            <w:vAlign w:val="center"/>
          </w:tcPr>
          <w:p w14:paraId="0A2FA0B0"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8,175.6</w:t>
            </w:r>
          </w:p>
        </w:tc>
      </w:tr>
      <w:tr w:rsidR="000B6A0A" w:rsidRPr="0046672D" w14:paraId="464A9D6B" w14:textId="77777777" w:rsidTr="00F51A8E">
        <w:trPr>
          <w:trHeight w:val="279"/>
        </w:trPr>
        <w:tc>
          <w:tcPr>
            <w:tcW w:w="5111" w:type="dxa"/>
          </w:tcPr>
          <w:p w14:paraId="4D9C9B91" w14:textId="77777777" w:rsidR="000B6A0A" w:rsidRPr="0046672D" w:rsidRDefault="000B6A0A" w:rsidP="00F51A8E">
            <w:pPr>
              <w:rPr>
                <w:rFonts w:ascii="Arial" w:hAnsi="Arial" w:cs="Arial"/>
                <w:sz w:val="20"/>
                <w:szCs w:val="20"/>
                <w:lang w:val="mn-MN"/>
              </w:rPr>
            </w:pPr>
            <w:r w:rsidRPr="0046672D">
              <w:rPr>
                <w:rFonts w:ascii="Arial" w:eastAsia="Times New Roman" w:hAnsi="Arial" w:cs="Arial"/>
                <w:sz w:val="20"/>
                <w:szCs w:val="20"/>
                <w:lang w:val="mn-MN"/>
              </w:rPr>
              <w:t xml:space="preserve">    2.2. Зээл</w:t>
            </w:r>
          </w:p>
        </w:tc>
        <w:tc>
          <w:tcPr>
            <w:tcW w:w="1531" w:type="dxa"/>
            <w:vAlign w:val="center"/>
          </w:tcPr>
          <w:p w14:paraId="0C08EF6F"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12,800.9</w:t>
            </w:r>
          </w:p>
        </w:tc>
        <w:tc>
          <w:tcPr>
            <w:tcW w:w="1631" w:type="dxa"/>
            <w:vAlign w:val="center"/>
          </w:tcPr>
          <w:p w14:paraId="4DD61C10"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16,497.4</w:t>
            </w:r>
          </w:p>
        </w:tc>
        <w:tc>
          <w:tcPr>
            <w:tcW w:w="1462" w:type="dxa"/>
            <w:vAlign w:val="center"/>
          </w:tcPr>
          <w:p w14:paraId="29FF6822"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16,517.7</w:t>
            </w:r>
          </w:p>
        </w:tc>
      </w:tr>
      <w:tr w:rsidR="000B6A0A" w:rsidRPr="0046672D" w14:paraId="362FF44C" w14:textId="77777777" w:rsidTr="00F51A8E">
        <w:trPr>
          <w:trHeight w:val="279"/>
        </w:trPr>
        <w:tc>
          <w:tcPr>
            <w:tcW w:w="5111" w:type="dxa"/>
          </w:tcPr>
          <w:p w14:paraId="3785ED22" w14:textId="77777777" w:rsidR="000B6A0A" w:rsidRPr="0046672D" w:rsidRDefault="000B6A0A" w:rsidP="00F51A8E">
            <w:pPr>
              <w:rPr>
                <w:rFonts w:ascii="Arial" w:hAnsi="Arial" w:cs="Arial"/>
                <w:b/>
                <w:sz w:val="20"/>
                <w:szCs w:val="20"/>
                <w:lang w:val="mn-MN"/>
              </w:rPr>
            </w:pPr>
            <w:r w:rsidRPr="0046672D">
              <w:rPr>
                <w:rFonts w:ascii="Arial" w:eastAsia="Times New Roman" w:hAnsi="Arial" w:cs="Arial"/>
                <w:b/>
                <w:sz w:val="20"/>
                <w:szCs w:val="20"/>
                <w:lang w:val="mn-MN"/>
              </w:rPr>
              <w:t>3. Бусад өр төлбөр</w:t>
            </w:r>
          </w:p>
        </w:tc>
        <w:tc>
          <w:tcPr>
            <w:tcW w:w="1531" w:type="dxa"/>
            <w:vAlign w:val="center"/>
          </w:tcPr>
          <w:p w14:paraId="27E71455"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2072.0</w:t>
            </w:r>
          </w:p>
        </w:tc>
        <w:tc>
          <w:tcPr>
            <w:tcW w:w="1631" w:type="dxa"/>
            <w:vAlign w:val="center"/>
          </w:tcPr>
          <w:p w14:paraId="6703D8B1"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1,910.6</w:t>
            </w:r>
          </w:p>
        </w:tc>
        <w:tc>
          <w:tcPr>
            <w:tcW w:w="1462" w:type="dxa"/>
            <w:vAlign w:val="center"/>
          </w:tcPr>
          <w:p w14:paraId="199CFA03"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1,550.4</w:t>
            </w:r>
          </w:p>
        </w:tc>
      </w:tr>
      <w:tr w:rsidR="000B6A0A" w:rsidRPr="0046672D" w14:paraId="6718A993" w14:textId="77777777" w:rsidTr="00F51A8E">
        <w:trPr>
          <w:trHeight w:val="279"/>
        </w:trPr>
        <w:tc>
          <w:tcPr>
            <w:tcW w:w="5111" w:type="dxa"/>
          </w:tcPr>
          <w:p w14:paraId="68BBCBB8" w14:textId="77777777" w:rsidR="000B6A0A" w:rsidRPr="0046672D" w:rsidRDefault="000B6A0A" w:rsidP="00F51A8E">
            <w:pPr>
              <w:rPr>
                <w:rFonts w:ascii="Arial" w:hAnsi="Arial" w:cs="Arial"/>
                <w:sz w:val="20"/>
                <w:szCs w:val="20"/>
                <w:lang w:val="mn-MN"/>
              </w:rPr>
            </w:pPr>
            <w:r w:rsidRPr="0046672D">
              <w:rPr>
                <w:rFonts w:ascii="Arial" w:eastAsia="Times New Roman" w:hAnsi="Arial" w:cs="Arial"/>
                <w:b/>
                <w:sz w:val="20"/>
                <w:szCs w:val="20"/>
                <w:lang w:val="mn-MN"/>
              </w:rPr>
              <w:t xml:space="preserve">    </w:t>
            </w:r>
            <w:r w:rsidRPr="0046672D">
              <w:rPr>
                <w:rFonts w:ascii="Arial" w:eastAsia="Times New Roman" w:hAnsi="Arial" w:cs="Arial"/>
                <w:sz w:val="20"/>
                <w:szCs w:val="20"/>
                <w:lang w:val="mn-MN"/>
              </w:rPr>
              <w:t>3.1. Засгийн газрын өрийн баталгаа</w:t>
            </w:r>
          </w:p>
        </w:tc>
        <w:tc>
          <w:tcPr>
            <w:tcW w:w="1531" w:type="dxa"/>
            <w:vAlign w:val="center"/>
          </w:tcPr>
          <w:p w14:paraId="07832FF5"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1,076.3</w:t>
            </w:r>
          </w:p>
        </w:tc>
        <w:tc>
          <w:tcPr>
            <w:tcW w:w="1631" w:type="dxa"/>
            <w:vAlign w:val="center"/>
          </w:tcPr>
          <w:p w14:paraId="4ED382E0"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1,060.4</w:t>
            </w:r>
          </w:p>
        </w:tc>
        <w:tc>
          <w:tcPr>
            <w:tcW w:w="1462" w:type="dxa"/>
            <w:vAlign w:val="center"/>
          </w:tcPr>
          <w:p w14:paraId="2350A00C" w14:textId="77777777" w:rsidR="000B6A0A" w:rsidRPr="0046672D" w:rsidRDefault="000B6A0A" w:rsidP="00F51A8E">
            <w:pPr>
              <w:tabs>
                <w:tab w:val="left" w:pos="901"/>
              </w:tabs>
              <w:ind w:left="617" w:hanging="617"/>
              <w:jc w:val="right"/>
              <w:rPr>
                <w:rFonts w:ascii="Arial" w:hAnsi="Arial" w:cs="Arial"/>
                <w:sz w:val="20"/>
                <w:szCs w:val="20"/>
                <w:lang w:val="mn-MN"/>
              </w:rPr>
            </w:pPr>
            <w:r w:rsidRPr="0046672D">
              <w:rPr>
                <w:rFonts w:ascii="Arial" w:hAnsi="Arial" w:cs="Arial"/>
                <w:sz w:val="20"/>
                <w:szCs w:val="20"/>
                <w:lang w:val="mn-MN"/>
              </w:rPr>
              <w:t>876.5</w:t>
            </w:r>
          </w:p>
        </w:tc>
      </w:tr>
      <w:tr w:rsidR="000B6A0A" w:rsidRPr="0046672D" w14:paraId="21EB0FF6" w14:textId="77777777" w:rsidTr="00F51A8E">
        <w:trPr>
          <w:trHeight w:val="279"/>
        </w:trPr>
        <w:tc>
          <w:tcPr>
            <w:tcW w:w="5111" w:type="dxa"/>
          </w:tcPr>
          <w:p w14:paraId="382E559A" w14:textId="77777777" w:rsidR="000B6A0A" w:rsidRPr="0046672D" w:rsidRDefault="000B6A0A" w:rsidP="00F51A8E">
            <w:pPr>
              <w:rPr>
                <w:rFonts w:ascii="Arial" w:hAnsi="Arial" w:cs="Arial"/>
                <w:sz w:val="20"/>
                <w:szCs w:val="20"/>
                <w:lang w:val="mn-MN"/>
              </w:rPr>
            </w:pPr>
            <w:r w:rsidRPr="0046672D">
              <w:rPr>
                <w:rFonts w:ascii="Arial" w:eastAsia="Times New Roman" w:hAnsi="Arial" w:cs="Arial"/>
                <w:sz w:val="20"/>
                <w:szCs w:val="20"/>
                <w:lang w:val="mn-MN"/>
              </w:rPr>
              <w:t xml:space="preserve">    3.2. Концесс (Барих-Шилжүүлэх)</w:t>
            </w:r>
          </w:p>
        </w:tc>
        <w:tc>
          <w:tcPr>
            <w:tcW w:w="1531" w:type="dxa"/>
            <w:vAlign w:val="center"/>
          </w:tcPr>
          <w:p w14:paraId="6496CFAE"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995.7</w:t>
            </w:r>
          </w:p>
        </w:tc>
        <w:tc>
          <w:tcPr>
            <w:tcW w:w="1631" w:type="dxa"/>
            <w:vAlign w:val="center"/>
          </w:tcPr>
          <w:p w14:paraId="08AA4525"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850.2</w:t>
            </w:r>
          </w:p>
        </w:tc>
        <w:tc>
          <w:tcPr>
            <w:tcW w:w="1462" w:type="dxa"/>
            <w:vAlign w:val="center"/>
          </w:tcPr>
          <w:p w14:paraId="072B4462"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673.9</w:t>
            </w:r>
          </w:p>
        </w:tc>
      </w:tr>
      <w:tr w:rsidR="000B6A0A" w:rsidRPr="0046672D" w14:paraId="4E982E68" w14:textId="77777777" w:rsidTr="00F51A8E">
        <w:trPr>
          <w:trHeight w:val="279"/>
        </w:trPr>
        <w:tc>
          <w:tcPr>
            <w:tcW w:w="5111" w:type="dxa"/>
            <w:tcBorders>
              <w:bottom w:val="single" w:sz="4" w:space="0" w:color="auto"/>
            </w:tcBorders>
          </w:tcPr>
          <w:p w14:paraId="51D01839" w14:textId="77777777" w:rsidR="000B6A0A" w:rsidRPr="0046672D" w:rsidRDefault="000B6A0A" w:rsidP="00F51A8E">
            <w:pPr>
              <w:rPr>
                <w:rFonts w:ascii="Arial" w:eastAsia="Times New Roman" w:hAnsi="Arial" w:cs="Arial"/>
                <w:b/>
                <w:sz w:val="20"/>
                <w:szCs w:val="20"/>
                <w:lang w:val="mn-MN"/>
              </w:rPr>
            </w:pPr>
            <w:r w:rsidRPr="0046672D">
              <w:rPr>
                <w:rFonts w:ascii="Arial" w:eastAsia="Times New Roman" w:hAnsi="Arial" w:cs="Arial"/>
                <w:b/>
                <w:sz w:val="20"/>
                <w:szCs w:val="20"/>
                <w:lang w:val="mn-MN"/>
              </w:rPr>
              <w:t xml:space="preserve">    </w:t>
            </w:r>
            <w:r w:rsidRPr="0046672D">
              <w:rPr>
                <w:rFonts w:ascii="Arial" w:eastAsia="Times New Roman" w:hAnsi="Arial" w:cs="Arial"/>
                <w:sz w:val="20"/>
                <w:szCs w:val="20"/>
                <w:lang w:val="mn-MN"/>
              </w:rPr>
              <w:t>3.3. Орон нутгийн зээллэг</w:t>
            </w:r>
          </w:p>
        </w:tc>
        <w:tc>
          <w:tcPr>
            <w:tcW w:w="1531" w:type="dxa"/>
            <w:tcBorders>
              <w:bottom w:val="single" w:sz="4" w:space="0" w:color="auto"/>
            </w:tcBorders>
            <w:vAlign w:val="center"/>
          </w:tcPr>
          <w:p w14:paraId="373E23F7"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w:t>
            </w:r>
          </w:p>
        </w:tc>
        <w:tc>
          <w:tcPr>
            <w:tcW w:w="1631" w:type="dxa"/>
            <w:tcBorders>
              <w:bottom w:val="single" w:sz="4" w:space="0" w:color="auto"/>
            </w:tcBorders>
            <w:vAlign w:val="center"/>
          </w:tcPr>
          <w:p w14:paraId="65F68BBA"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w:t>
            </w:r>
          </w:p>
        </w:tc>
        <w:tc>
          <w:tcPr>
            <w:tcW w:w="1462" w:type="dxa"/>
            <w:tcBorders>
              <w:bottom w:val="single" w:sz="4" w:space="0" w:color="auto"/>
            </w:tcBorders>
            <w:vAlign w:val="center"/>
          </w:tcPr>
          <w:p w14:paraId="3E5B45F9"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17.2</w:t>
            </w:r>
          </w:p>
        </w:tc>
      </w:tr>
      <w:tr w:rsidR="000B6A0A" w:rsidRPr="0046672D" w14:paraId="60C9B674" w14:textId="77777777" w:rsidTr="00F51A8E">
        <w:trPr>
          <w:trHeight w:val="279"/>
        </w:trPr>
        <w:tc>
          <w:tcPr>
            <w:tcW w:w="5111" w:type="dxa"/>
            <w:tcBorders>
              <w:top w:val="single" w:sz="4" w:space="0" w:color="auto"/>
              <w:bottom w:val="single" w:sz="4" w:space="0" w:color="auto"/>
            </w:tcBorders>
          </w:tcPr>
          <w:p w14:paraId="3F393A87" w14:textId="77777777" w:rsidR="000B6A0A" w:rsidRPr="0046672D" w:rsidRDefault="000B6A0A" w:rsidP="00F51A8E">
            <w:pPr>
              <w:rPr>
                <w:rFonts w:ascii="Arial" w:hAnsi="Arial" w:cs="Arial"/>
                <w:b/>
                <w:sz w:val="20"/>
                <w:szCs w:val="20"/>
                <w:lang w:val="mn-MN"/>
              </w:rPr>
            </w:pPr>
            <w:r w:rsidRPr="0046672D">
              <w:rPr>
                <w:rFonts w:ascii="Arial" w:eastAsia="Times New Roman" w:hAnsi="Arial" w:cs="Arial"/>
                <w:b/>
                <w:sz w:val="20"/>
                <w:szCs w:val="20"/>
                <w:lang w:val="mn-MN"/>
              </w:rPr>
              <w:t>ЗАСГИЙН ГАЗРЫН НИЙТ ӨР (I+II+III)</w:t>
            </w:r>
          </w:p>
        </w:tc>
        <w:tc>
          <w:tcPr>
            <w:tcW w:w="1531" w:type="dxa"/>
            <w:tcBorders>
              <w:top w:val="single" w:sz="4" w:space="0" w:color="auto"/>
              <w:bottom w:val="single" w:sz="4" w:space="0" w:color="auto"/>
            </w:tcBorders>
            <w:vAlign w:val="center"/>
          </w:tcPr>
          <w:p w14:paraId="1187125B"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24,199.7</w:t>
            </w:r>
          </w:p>
        </w:tc>
        <w:tc>
          <w:tcPr>
            <w:tcW w:w="1631" w:type="dxa"/>
            <w:tcBorders>
              <w:top w:val="single" w:sz="4" w:space="0" w:color="auto"/>
              <w:bottom w:val="single" w:sz="4" w:space="0" w:color="auto"/>
            </w:tcBorders>
            <w:vAlign w:val="center"/>
          </w:tcPr>
          <w:p w14:paraId="05D7E136"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27,898.6</w:t>
            </w:r>
          </w:p>
        </w:tc>
        <w:tc>
          <w:tcPr>
            <w:tcW w:w="1462" w:type="dxa"/>
            <w:tcBorders>
              <w:top w:val="single" w:sz="4" w:space="0" w:color="auto"/>
              <w:bottom w:val="single" w:sz="4" w:space="0" w:color="auto"/>
            </w:tcBorders>
            <w:vAlign w:val="center"/>
          </w:tcPr>
          <w:p w14:paraId="45E79847"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26,918.1</w:t>
            </w:r>
          </w:p>
        </w:tc>
      </w:tr>
      <w:tr w:rsidR="000B6A0A" w:rsidRPr="0046672D" w14:paraId="4BFCF3F4" w14:textId="77777777" w:rsidTr="00F51A8E">
        <w:trPr>
          <w:trHeight w:val="279"/>
        </w:trPr>
        <w:tc>
          <w:tcPr>
            <w:tcW w:w="5111" w:type="dxa"/>
            <w:tcBorders>
              <w:bottom w:val="single" w:sz="4" w:space="0" w:color="auto"/>
            </w:tcBorders>
          </w:tcPr>
          <w:p w14:paraId="3569781A" w14:textId="77777777" w:rsidR="000B6A0A" w:rsidRPr="0046672D" w:rsidDel="006A7BCB" w:rsidRDefault="000B6A0A" w:rsidP="00F51A8E">
            <w:pPr>
              <w:rPr>
                <w:rFonts w:ascii="Arial" w:eastAsia="Times New Roman" w:hAnsi="Arial" w:cs="Arial"/>
                <w:i/>
                <w:color w:val="3B3838" w:themeColor="background2" w:themeShade="40"/>
                <w:sz w:val="20"/>
                <w:szCs w:val="20"/>
                <w:lang w:val="mn-MN"/>
              </w:rPr>
            </w:pPr>
            <w:r w:rsidRPr="0046672D">
              <w:rPr>
                <w:rFonts w:ascii="Arial" w:eastAsia="Times New Roman" w:hAnsi="Arial" w:cs="Arial"/>
                <w:i/>
                <w:color w:val="3B3838" w:themeColor="background2" w:themeShade="40"/>
                <w:sz w:val="20"/>
                <w:szCs w:val="20"/>
                <w:lang w:val="mn-MN"/>
              </w:rPr>
              <w:t>Төсвийн тогтвортой байдлын тухай хуулиар тогтоосон өрийн хязгаар</w:t>
            </w:r>
          </w:p>
        </w:tc>
        <w:tc>
          <w:tcPr>
            <w:tcW w:w="1531" w:type="dxa"/>
            <w:tcBorders>
              <w:bottom w:val="single" w:sz="4" w:space="0" w:color="auto"/>
            </w:tcBorders>
            <w:shd w:val="clear" w:color="auto" w:fill="auto"/>
            <w:vAlign w:val="center"/>
          </w:tcPr>
          <w:p w14:paraId="2A314FDE" w14:textId="77777777" w:rsidR="000B6A0A" w:rsidRPr="0046672D" w:rsidRDefault="000B6A0A" w:rsidP="00F51A8E">
            <w:pPr>
              <w:jc w:val="right"/>
              <w:rPr>
                <w:rFonts w:ascii="Arial" w:hAnsi="Arial" w:cs="Arial"/>
                <w:b/>
                <w:color w:val="FF0000"/>
                <w:sz w:val="20"/>
                <w:szCs w:val="20"/>
                <w:lang w:val="mn-MN"/>
              </w:rPr>
            </w:pPr>
            <w:r w:rsidRPr="0046672D">
              <w:rPr>
                <w:rFonts w:ascii="Arial" w:hAnsi="Arial" w:cs="Arial"/>
                <w:b/>
                <w:color w:val="FF0000"/>
                <w:sz w:val="20"/>
                <w:szCs w:val="20"/>
                <w:lang w:val="mn-MN"/>
              </w:rPr>
              <w:t>75%</w:t>
            </w:r>
          </w:p>
        </w:tc>
        <w:tc>
          <w:tcPr>
            <w:tcW w:w="1631" w:type="dxa"/>
            <w:tcBorders>
              <w:bottom w:val="single" w:sz="4" w:space="0" w:color="auto"/>
            </w:tcBorders>
            <w:shd w:val="clear" w:color="auto" w:fill="auto"/>
            <w:vAlign w:val="center"/>
          </w:tcPr>
          <w:p w14:paraId="40D1C9FF" w14:textId="77777777" w:rsidR="000B6A0A" w:rsidRPr="0046672D" w:rsidRDefault="000B6A0A" w:rsidP="00F51A8E">
            <w:pPr>
              <w:jc w:val="right"/>
              <w:rPr>
                <w:rFonts w:ascii="Arial" w:hAnsi="Arial" w:cs="Arial"/>
                <w:b/>
                <w:color w:val="FF0000"/>
                <w:sz w:val="20"/>
                <w:szCs w:val="20"/>
                <w:lang w:val="mn-MN"/>
              </w:rPr>
            </w:pPr>
            <w:r w:rsidRPr="0046672D">
              <w:rPr>
                <w:rFonts w:ascii="Arial" w:hAnsi="Arial" w:cs="Arial"/>
                <w:b/>
                <w:color w:val="FF0000"/>
                <w:sz w:val="20"/>
                <w:szCs w:val="20"/>
                <w:lang w:val="mn-MN"/>
              </w:rPr>
              <w:t>70%</w:t>
            </w:r>
          </w:p>
        </w:tc>
        <w:tc>
          <w:tcPr>
            <w:tcW w:w="1462" w:type="dxa"/>
            <w:tcBorders>
              <w:bottom w:val="single" w:sz="4" w:space="0" w:color="auto"/>
            </w:tcBorders>
            <w:shd w:val="clear" w:color="auto" w:fill="auto"/>
            <w:vAlign w:val="center"/>
          </w:tcPr>
          <w:p w14:paraId="4B3F0704" w14:textId="77777777" w:rsidR="000B6A0A" w:rsidRPr="0046672D" w:rsidRDefault="000B6A0A" w:rsidP="00F51A8E">
            <w:pPr>
              <w:jc w:val="right"/>
              <w:rPr>
                <w:rFonts w:ascii="Arial" w:hAnsi="Arial" w:cs="Arial"/>
                <w:b/>
                <w:color w:val="FF0000"/>
                <w:sz w:val="20"/>
                <w:szCs w:val="20"/>
                <w:lang w:val="mn-MN"/>
              </w:rPr>
            </w:pPr>
            <w:r w:rsidRPr="0046672D">
              <w:rPr>
                <w:rFonts w:ascii="Arial" w:hAnsi="Arial" w:cs="Arial"/>
                <w:b/>
                <w:color w:val="FF0000"/>
                <w:sz w:val="20"/>
                <w:szCs w:val="20"/>
                <w:lang w:val="mn-MN"/>
              </w:rPr>
              <w:t>70%</w:t>
            </w:r>
          </w:p>
        </w:tc>
      </w:tr>
      <w:tr w:rsidR="000B6A0A" w:rsidRPr="0046672D" w14:paraId="5C2C6359" w14:textId="77777777" w:rsidTr="00F51A8E">
        <w:trPr>
          <w:trHeight w:val="279"/>
        </w:trPr>
        <w:tc>
          <w:tcPr>
            <w:tcW w:w="5111" w:type="dxa"/>
            <w:tcBorders>
              <w:top w:val="single" w:sz="4" w:space="0" w:color="auto"/>
              <w:bottom w:val="single" w:sz="4" w:space="0" w:color="auto"/>
            </w:tcBorders>
          </w:tcPr>
          <w:p w14:paraId="4227A6C4" w14:textId="77777777" w:rsidR="000B6A0A" w:rsidRPr="0046672D" w:rsidDel="006A7BCB" w:rsidRDefault="000B6A0A" w:rsidP="00F51A8E">
            <w:pPr>
              <w:rPr>
                <w:rFonts w:ascii="Arial" w:eastAsia="Times New Roman" w:hAnsi="Arial" w:cs="Arial"/>
                <w:i/>
                <w:color w:val="3B3838" w:themeColor="background2" w:themeShade="40"/>
                <w:sz w:val="20"/>
                <w:szCs w:val="20"/>
                <w:lang w:val="mn-MN"/>
              </w:rPr>
            </w:pPr>
            <w:r w:rsidRPr="0046672D">
              <w:rPr>
                <w:rFonts w:ascii="Arial" w:eastAsia="Times New Roman" w:hAnsi="Arial" w:cs="Arial"/>
                <w:i/>
                <w:color w:val="3B3838" w:themeColor="background2" w:themeShade="40"/>
                <w:sz w:val="20"/>
                <w:szCs w:val="20"/>
                <w:lang w:val="mn-MN"/>
              </w:rPr>
              <w:t>Засгийн газрын өр (ӨҮЦ)/ДНБ</w:t>
            </w:r>
          </w:p>
        </w:tc>
        <w:tc>
          <w:tcPr>
            <w:tcW w:w="1531" w:type="dxa"/>
            <w:tcBorders>
              <w:top w:val="single" w:sz="4" w:space="0" w:color="auto"/>
              <w:bottom w:val="single" w:sz="4" w:space="0" w:color="auto"/>
            </w:tcBorders>
            <w:shd w:val="clear" w:color="auto" w:fill="auto"/>
            <w:vAlign w:val="center"/>
          </w:tcPr>
          <w:p w14:paraId="06357FDA" w14:textId="77777777" w:rsidR="000B6A0A" w:rsidRPr="0046672D" w:rsidRDefault="000B6A0A" w:rsidP="00F51A8E">
            <w:pPr>
              <w:jc w:val="right"/>
              <w:rPr>
                <w:rFonts w:ascii="Arial" w:hAnsi="Arial" w:cs="Arial"/>
                <w:b/>
                <w:color w:val="00B050"/>
                <w:sz w:val="20"/>
                <w:szCs w:val="20"/>
                <w:lang w:val="mn-MN"/>
              </w:rPr>
            </w:pPr>
            <w:r w:rsidRPr="0046672D">
              <w:rPr>
                <w:rFonts w:ascii="Arial" w:hAnsi="Arial" w:cs="Arial"/>
                <w:b/>
                <w:color w:val="00B050"/>
                <w:sz w:val="20"/>
                <w:szCs w:val="20"/>
                <w:lang w:val="mn-MN"/>
              </w:rPr>
              <w:t>55.1%</w:t>
            </w:r>
          </w:p>
        </w:tc>
        <w:tc>
          <w:tcPr>
            <w:tcW w:w="1631" w:type="dxa"/>
            <w:tcBorders>
              <w:top w:val="single" w:sz="4" w:space="0" w:color="auto"/>
              <w:bottom w:val="single" w:sz="4" w:space="0" w:color="auto"/>
            </w:tcBorders>
            <w:shd w:val="clear" w:color="auto" w:fill="auto"/>
            <w:vAlign w:val="center"/>
          </w:tcPr>
          <w:p w14:paraId="4D768F15" w14:textId="77777777" w:rsidR="000B6A0A" w:rsidRPr="0046672D" w:rsidRDefault="000B6A0A" w:rsidP="00F51A8E">
            <w:pPr>
              <w:jc w:val="right"/>
              <w:rPr>
                <w:rFonts w:ascii="Arial" w:hAnsi="Arial" w:cs="Arial"/>
                <w:b/>
                <w:color w:val="00B050"/>
                <w:sz w:val="20"/>
                <w:szCs w:val="20"/>
                <w:lang w:val="mn-MN"/>
              </w:rPr>
            </w:pPr>
            <w:r w:rsidRPr="0046672D">
              <w:rPr>
                <w:rFonts w:ascii="Arial" w:hAnsi="Arial" w:cs="Arial"/>
                <w:b/>
                <w:color w:val="00B050"/>
                <w:sz w:val="20"/>
                <w:szCs w:val="20"/>
                <w:lang w:val="mn-MN"/>
              </w:rPr>
              <w:t>62.3%</w:t>
            </w:r>
          </w:p>
        </w:tc>
        <w:tc>
          <w:tcPr>
            <w:tcW w:w="1462" w:type="dxa"/>
            <w:tcBorders>
              <w:top w:val="single" w:sz="4" w:space="0" w:color="auto"/>
              <w:bottom w:val="single" w:sz="4" w:space="0" w:color="auto"/>
            </w:tcBorders>
            <w:shd w:val="clear" w:color="auto" w:fill="auto"/>
            <w:vAlign w:val="center"/>
          </w:tcPr>
          <w:p w14:paraId="585BFE01" w14:textId="77777777" w:rsidR="000B6A0A" w:rsidRPr="0046672D" w:rsidRDefault="000B6A0A" w:rsidP="00F51A8E">
            <w:pPr>
              <w:jc w:val="right"/>
              <w:rPr>
                <w:rFonts w:ascii="Arial" w:hAnsi="Arial" w:cs="Arial"/>
                <w:b/>
                <w:color w:val="00B050"/>
                <w:sz w:val="20"/>
                <w:szCs w:val="20"/>
                <w:lang w:val="mn-MN"/>
              </w:rPr>
            </w:pPr>
            <w:r w:rsidRPr="0046672D">
              <w:rPr>
                <w:rFonts w:ascii="Arial" w:hAnsi="Arial" w:cs="Arial"/>
                <w:b/>
                <w:color w:val="00B050"/>
                <w:sz w:val="20"/>
                <w:szCs w:val="20"/>
                <w:lang w:val="mn-MN"/>
              </w:rPr>
              <w:t>50.7%</w:t>
            </w:r>
          </w:p>
        </w:tc>
      </w:tr>
    </w:tbl>
    <w:p w14:paraId="2DEC3842" w14:textId="77777777" w:rsidR="000B6A0A" w:rsidRPr="0046672D" w:rsidRDefault="000B6A0A" w:rsidP="000B6A0A">
      <w:pPr>
        <w:ind w:right="4"/>
        <w:jc w:val="right"/>
        <w:rPr>
          <w:rFonts w:ascii="Arial" w:hAnsi="Arial" w:cs="Arial"/>
          <w:i/>
          <w:sz w:val="20"/>
          <w:szCs w:val="20"/>
          <w:lang w:val="mn-MN"/>
        </w:rPr>
      </w:pPr>
      <w:r w:rsidRPr="0046672D">
        <w:rPr>
          <w:rFonts w:ascii="Arial" w:hAnsi="Arial" w:cs="Arial"/>
          <w:i/>
          <w:sz w:val="20"/>
          <w:szCs w:val="20"/>
          <w:lang w:val="mn-MN"/>
        </w:rPr>
        <w:t>Эх сурвалж: Сангийн яам</w:t>
      </w:r>
    </w:p>
    <w:p w14:paraId="5A36F72B" w14:textId="77777777" w:rsidR="000B6A0A" w:rsidRPr="0046672D" w:rsidRDefault="000B6A0A" w:rsidP="000B6A0A">
      <w:pPr>
        <w:ind w:right="4"/>
        <w:jc w:val="both"/>
        <w:rPr>
          <w:rFonts w:ascii="Arial" w:hAnsi="Arial" w:cs="Arial"/>
          <w:sz w:val="24"/>
          <w:szCs w:val="24"/>
          <w:lang w:val="mn-MN"/>
        </w:rPr>
      </w:pPr>
      <w:r w:rsidRPr="0046672D">
        <w:rPr>
          <w:rFonts w:ascii="Arial" w:hAnsi="Arial" w:cs="Arial"/>
          <w:sz w:val="24"/>
          <w:szCs w:val="24"/>
          <w:lang w:val="mn-MN"/>
        </w:rPr>
        <w:tab/>
        <w:t>Засгийн газрын зүгээс Төсвийн тогтвортой байдлын тухай хуульд заасан тусгай шаардлагын үзүүлэлтийг 2019-2021 онд бүрэн хангаж ажилласан бөгөөд Ковид-19 цар тахлын нөхцөл байдалд эдийн засгийн өсөлтийг тогтвортой хадгалан арилжааны нөхцөлтэй гадаад, дотоод зээллэгийн үлдэгдэл, Засгийн газрын өрийн баталгааны үлдэгдлийг бууруулан Засгийн газрын гадаад бондын өрийн зохицуулалтын төлөвлөгөөт арга хэмжээг хэрэгжүүлж ажилласан.</w:t>
      </w:r>
    </w:p>
    <w:p w14:paraId="09B5197F" w14:textId="77777777" w:rsidR="000B6A0A" w:rsidRPr="0046672D" w:rsidRDefault="000B6A0A" w:rsidP="000B6A0A">
      <w:pPr>
        <w:pStyle w:val="Heading2"/>
        <w:numPr>
          <w:ilvl w:val="0"/>
          <w:numId w:val="0"/>
        </w:numPr>
        <w:ind w:left="720"/>
        <w:rPr>
          <w:shd w:val="clear" w:color="auto" w:fill="FFFFFF"/>
        </w:rPr>
      </w:pPr>
      <w:r w:rsidRPr="0046672D">
        <w:t>1.2.1</w:t>
      </w:r>
      <w:r w:rsidRPr="0046672D">
        <w:tab/>
        <w:t>Засгийн газрын дотоод үнэт цаас</w:t>
      </w:r>
    </w:p>
    <w:p w14:paraId="039FCDB2" w14:textId="77777777" w:rsidR="000B6A0A" w:rsidRPr="0046672D" w:rsidRDefault="000B6A0A" w:rsidP="000B6A0A">
      <w:pPr>
        <w:spacing w:before="240"/>
        <w:ind w:firstLine="720"/>
        <w:jc w:val="both"/>
        <w:rPr>
          <w:rFonts w:ascii="Arial" w:hAnsi="Arial" w:cs="Arial"/>
          <w:color w:val="000000"/>
          <w:sz w:val="24"/>
          <w:szCs w:val="24"/>
          <w:shd w:val="clear" w:color="auto" w:fill="FFFFFF"/>
          <w:lang w:val="mn-MN"/>
        </w:rPr>
      </w:pPr>
      <w:r w:rsidRPr="0046672D">
        <w:rPr>
          <w:rFonts w:ascii="Arial" w:hAnsi="Arial" w:cs="Arial"/>
          <w:color w:val="000000"/>
          <w:sz w:val="24"/>
          <w:szCs w:val="24"/>
          <w:shd w:val="clear" w:color="auto" w:fill="FFFFFF"/>
          <w:lang w:val="mn-MN"/>
        </w:rPr>
        <w:lastRenderedPageBreak/>
        <w:t xml:space="preserve">Засгийн газрын дотоод үнэт цаасны үлдэгдэл 2021 оны жилийн эцсийн урьдчилсан гүйцэтгэлээр 657.3 </w:t>
      </w:r>
      <w:r w:rsidRPr="0046672D">
        <w:rPr>
          <w:rFonts w:ascii="Arial" w:hAnsi="Arial" w:cs="Arial"/>
          <w:color w:val="000000" w:themeColor="text1"/>
          <w:sz w:val="24"/>
          <w:szCs w:val="24"/>
          <w:lang w:val="mn-MN"/>
        </w:rPr>
        <w:t xml:space="preserve">тэрбум </w:t>
      </w:r>
      <w:r w:rsidRPr="0046672D">
        <w:rPr>
          <w:rFonts w:ascii="Arial" w:hAnsi="Arial" w:cs="Arial"/>
          <w:color w:val="000000"/>
          <w:sz w:val="24"/>
          <w:szCs w:val="24"/>
          <w:shd w:val="clear" w:color="auto" w:fill="FFFFFF"/>
          <w:lang w:val="mn-MN"/>
        </w:rPr>
        <w:t>төгрөгт хүрч, 2020 оны мөн үеэс 479.1 тэрбум төгрөгөөр буураад байна. Засгийн газрын дотоод үнэт цаас ийнхүү буурсан нь Засгийн газар 2017 оны 10 дугаар сараас хойш дотоод зах зээлд Засгийн газрын үнэт цаас арилжаалаагүй ба хуваарийн дагуу өрийн үйлчилгээний төлбөрийг гүйцэтгэж байгаатай холбоотой</w:t>
      </w:r>
      <w:r w:rsidRPr="0046672D" w:rsidDel="005F1306">
        <w:rPr>
          <w:rFonts w:ascii="Arial" w:hAnsi="Arial" w:cs="Arial"/>
          <w:color w:val="000000"/>
          <w:sz w:val="24"/>
          <w:szCs w:val="24"/>
          <w:shd w:val="clear" w:color="auto" w:fill="FFFFFF"/>
          <w:lang w:val="mn-MN"/>
        </w:rPr>
        <w:t xml:space="preserve"> </w:t>
      </w:r>
      <w:r w:rsidRPr="0046672D">
        <w:rPr>
          <w:rFonts w:ascii="Arial" w:hAnsi="Arial" w:cs="Arial"/>
          <w:color w:val="000000"/>
          <w:sz w:val="24"/>
          <w:szCs w:val="24"/>
          <w:shd w:val="clear" w:color="auto" w:fill="FFFFFF"/>
          <w:lang w:val="mn-MN"/>
        </w:rPr>
        <w:t>юм.</w:t>
      </w:r>
    </w:p>
    <w:p w14:paraId="24A2CDC1" w14:textId="77777777" w:rsidR="000B6A0A" w:rsidRPr="0046672D" w:rsidRDefault="000B6A0A" w:rsidP="000B6A0A">
      <w:pPr>
        <w:ind w:firstLine="720"/>
        <w:jc w:val="both"/>
        <w:rPr>
          <w:rFonts w:ascii="Arial" w:hAnsi="Arial" w:cs="Arial"/>
          <w:color w:val="000000"/>
          <w:sz w:val="24"/>
          <w:szCs w:val="24"/>
          <w:shd w:val="clear" w:color="auto" w:fill="FFFFFF"/>
          <w:lang w:val="mn-MN"/>
        </w:rPr>
      </w:pPr>
      <w:r w:rsidRPr="0046672D">
        <w:rPr>
          <w:rFonts w:ascii="Arial" w:hAnsi="Arial" w:cs="Arial"/>
          <w:color w:val="000000" w:themeColor="text1"/>
          <w:sz w:val="24"/>
          <w:szCs w:val="24"/>
          <w:lang w:val="mn-MN"/>
        </w:rPr>
        <w:t>Засгийн газрын дотоод үнэт цаасны үлдэгдлийн 511.6 тэрбум төгрөгийг (77.8%) төсвийн алдагдлыг санхүүжүүлэх зорилгоор 2018 оноос өмнө арилжаалсан үнэт цаас, 110.7 тэрбум төгрөгийг (16.8%) Сайн хувьцаа хөтөлбөрийг санхүүжүүлэх зорилгоор арилжаалсан үнэт цаас, 35.0 тэрбум төгрөгийг (5.4%) Хүний хөгжил сангийн алдагдлыг санхүүжүүлэх зорилгоор арилжаалсан үнэт цаас тус тус эзэлж байна.</w:t>
      </w:r>
    </w:p>
    <w:p w14:paraId="14BC1F69" w14:textId="77777777" w:rsidR="000B6A0A" w:rsidRPr="0046672D" w:rsidRDefault="000B6A0A" w:rsidP="000B6A0A">
      <w:pPr>
        <w:ind w:firstLine="720"/>
        <w:jc w:val="both"/>
        <w:rPr>
          <w:rFonts w:ascii="Arial" w:hAnsi="Arial" w:cs="Arial"/>
          <w:b/>
          <w:i/>
          <w:color w:val="000000"/>
          <w:sz w:val="20"/>
          <w:szCs w:val="20"/>
          <w:shd w:val="clear" w:color="auto" w:fill="FFFFFF"/>
          <w:lang w:val="mn-MN"/>
        </w:rPr>
      </w:pPr>
    </w:p>
    <w:p w14:paraId="100DBEC3" w14:textId="77777777" w:rsidR="000B6A0A" w:rsidRPr="0046672D" w:rsidRDefault="000B6A0A" w:rsidP="000B6A0A">
      <w:pPr>
        <w:ind w:firstLine="720"/>
        <w:jc w:val="both"/>
        <w:rPr>
          <w:rFonts w:ascii="Arial" w:hAnsi="Arial" w:cs="Arial"/>
          <w:i/>
          <w:color w:val="000000"/>
          <w:sz w:val="20"/>
          <w:szCs w:val="20"/>
          <w:shd w:val="clear" w:color="auto" w:fill="FFFFFF"/>
          <w:lang w:val="mn-MN"/>
        </w:rPr>
      </w:pPr>
    </w:p>
    <w:p w14:paraId="7A5BFA7B" w14:textId="77777777" w:rsidR="000B6A0A" w:rsidRPr="0046672D" w:rsidRDefault="000B6A0A" w:rsidP="000B6A0A">
      <w:pPr>
        <w:spacing w:after="0"/>
        <w:ind w:firstLine="720"/>
        <w:jc w:val="both"/>
        <w:rPr>
          <w:rFonts w:ascii="Arial" w:hAnsi="Arial" w:cs="Arial"/>
          <w:i/>
          <w:color w:val="000000"/>
          <w:sz w:val="20"/>
          <w:szCs w:val="20"/>
          <w:shd w:val="clear" w:color="auto" w:fill="FFFFFF"/>
          <w:lang w:val="mn-MN"/>
        </w:rPr>
      </w:pPr>
      <w:r w:rsidRPr="0046672D">
        <w:rPr>
          <w:rFonts w:ascii="Arial" w:hAnsi="Arial" w:cs="Arial"/>
          <w:i/>
          <w:color w:val="000000"/>
          <w:sz w:val="20"/>
          <w:szCs w:val="20"/>
          <w:shd w:val="clear" w:color="auto" w:fill="FFFFFF"/>
          <w:lang w:val="mn-MN"/>
        </w:rPr>
        <w:t>График № 2: Засгийн газрын дотоод үнэт цаас, 2016-2021 он</w:t>
      </w:r>
      <w:r w:rsidRPr="0046672D">
        <w:rPr>
          <w:rFonts w:ascii="Arial" w:hAnsi="Arial" w:cs="Arial"/>
          <w:i/>
          <w:color w:val="000000"/>
          <w:sz w:val="20"/>
          <w:szCs w:val="20"/>
          <w:shd w:val="clear" w:color="auto" w:fill="FFFFFF"/>
          <w:lang w:val="mn-MN"/>
        </w:rPr>
        <w:tab/>
        <w:t>/тэрбум төгрөг/</w:t>
      </w:r>
    </w:p>
    <w:p w14:paraId="35A53101" w14:textId="77777777" w:rsidR="000B6A0A" w:rsidRPr="0046672D" w:rsidRDefault="000B6A0A" w:rsidP="000B6A0A">
      <w:pPr>
        <w:pStyle w:val="NoSpacing"/>
        <w:spacing w:after="0" w:line="240" w:lineRule="auto"/>
        <w:rPr>
          <w:rFonts w:ascii="Arial" w:hAnsi="Arial" w:cs="Arial"/>
          <w:sz w:val="24"/>
          <w:szCs w:val="24"/>
        </w:rPr>
      </w:pPr>
      <w:r w:rsidRPr="0046672D">
        <w:rPr>
          <w:rFonts w:ascii="Arial" w:hAnsi="Arial" w:cs="Arial"/>
          <w:b/>
          <w:i/>
          <w:noProof/>
          <w:sz w:val="20"/>
          <w:szCs w:val="20"/>
          <w:lang w:val="en-US"/>
        </w:rPr>
        <w:drawing>
          <wp:anchor distT="0" distB="0" distL="114300" distR="114300" simplePos="0" relativeHeight="251658243" behindDoc="0" locked="0" layoutInCell="1" allowOverlap="1" wp14:anchorId="2D2D436A" wp14:editId="3C80149F">
            <wp:simplePos x="0" y="0"/>
            <wp:positionH relativeFrom="margin">
              <wp:align>left</wp:align>
            </wp:positionH>
            <wp:positionV relativeFrom="paragraph">
              <wp:posOffset>13970</wp:posOffset>
            </wp:positionV>
            <wp:extent cx="5774055" cy="2534285"/>
            <wp:effectExtent l="0" t="0" r="17145" b="1841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1D55B1A2" w14:textId="77777777" w:rsidR="000B6A0A" w:rsidRPr="0046672D" w:rsidRDefault="000B6A0A" w:rsidP="000B6A0A">
      <w:pPr>
        <w:pStyle w:val="NoSpacing"/>
        <w:spacing w:after="0" w:line="240" w:lineRule="auto"/>
        <w:rPr>
          <w:rFonts w:ascii="Arial" w:hAnsi="Arial" w:cs="Arial"/>
          <w:sz w:val="24"/>
          <w:szCs w:val="24"/>
        </w:rPr>
      </w:pPr>
    </w:p>
    <w:p w14:paraId="7B8C4527" w14:textId="77777777" w:rsidR="000B6A0A" w:rsidRPr="0046672D" w:rsidRDefault="000B6A0A" w:rsidP="005A3A98">
      <w:pPr>
        <w:pStyle w:val="NoSpacing"/>
        <w:spacing w:after="0"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pgNumType w:start="0"/>
          <w:cols w:space="720"/>
          <w:titlePg/>
          <w:docGrid w:linePitch="360"/>
        </w:sectPr>
      </w:pPr>
    </w:p>
    <w:p w14:paraId="45539313" w14:textId="77777777" w:rsidR="000B6A0A" w:rsidRPr="0046672D" w:rsidRDefault="000B6A0A" w:rsidP="000B6A0A">
      <w:pPr>
        <w:pStyle w:val="Heading3"/>
        <w:spacing w:before="0" w:line="240" w:lineRule="auto"/>
        <w:rPr>
          <w:rFonts w:ascii="Arial" w:hAnsi="Arial" w:cs="Arial"/>
          <w:b/>
          <w:color w:val="auto"/>
        </w:rPr>
      </w:pPr>
    </w:p>
    <w:p w14:paraId="323E0A3B" w14:textId="77777777" w:rsidR="000B6A0A" w:rsidRPr="0046672D" w:rsidRDefault="000B6A0A" w:rsidP="000B6A0A">
      <w:pPr>
        <w:pStyle w:val="Heading3"/>
        <w:spacing w:before="0" w:line="240" w:lineRule="auto"/>
        <w:rPr>
          <w:rFonts w:ascii="Arial" w:hAnsi="Arial" w:cs="Arial"/>
          <w:b/>
          <w:color w:val="auto"/>
        </w:rPr>
      </w:pPr>
      <w:r w:rsidRPr="0046672D">
        <w:rPr>
          <w:rFonts w:ascii="Arial" w:hAnsi="Arial" w:cs="Arial"/>
          <w:b/>
          <w:color w:val="auto"/>
        </w:rPr>
        <w:tab/>
      </w:r>
    </w:p>
    <w:p w14:paraId="111B5A78" w14:textId="77777777" w:rsidR="000B6A0A" w:rsidRPr="0046672D" w:rsidRDefault="000B6A0A" w:rsidP="000B6A0A">
      <w:pPr>
        <w:pStyle w:val="Heading3"/>
        <w:spacing w:before="0" w:line="240" w:lineRule="auto"/>
        <w:ind w:firstLine="720"/>
        <w:jc w:val="center"/>
        <w:rPr>
          <w:rFonts w:ascii="Arial" w:hAnsi="Arial" w:cs="Arial"/>
          <w:i/>
          <w:color w:val="auto"/>
        </w:rPr>
      </w:pPr>
      <w:r w:rsidRPr="0046672D">
        <w:rPr>
          <w:rFonts w:ascii="Arial" w:hAnsi="Arial" w:cs="Arial"/>
          <w:i/>
          <w:color w:val="auto"/>
        </w:rPr>
        <w:t xml:space="preserve"> </w:t>
      </w:r>
      <w:r w:rsidRPr="0046672D">
        <w:rPr>
          <w:rFonts w:ascii="Arial" w:hAnsi="Arial" w:cs="Arial"/>
          <w:i/>
          <w:color w:val="auto"/>
        </w:rPr>
        <w:tab/>
      </w:r>
      <w:r w:rsidRPr="0046672D">
        <w:rPr>
          <w:rFonts w:ascii="Arial" w:hAnsi="Arial" w:cs="Arial"/>
          <w:i/>
          <w:color w:val="auto"/>
        </w:rPr>
        <w:tab/>
      </w:r>
      <w:r w:rsidRPr="0046672D">
        <w:rPr>
          <w:rFonts w:ascii="Arial" w:hAnsi="Arial" w:cs="Arial"/>
          <w:i/>
          <w:color w:val="auto"/>
        </w:rPr>
        <w:tab/>
      </w:r>
      <w:r w:rsidRPr="0046672D">
        <w:rPr>
          <w:rFonts w:ascii="Arial" w:hAnsi="Arial" w:cs="Arial"/>
          <w:i/>
          <w:color w:val="auto"/>
        </w:rPr>
        <w:tab/>
      </w:r>
      <w:r w:rsidRPr="0046672D">
        <w:rPr>
          <w:rFonts w:ascii="Arial" w:hAnsi="Arial" w:cs="Arial"/>
          <w:i/>
          <w:color w:val="auto"/>
        </w:rPr>
        <w:tab/>
      </w:r>
      <w:r w:rsidRPr="0046672D">
        <w:rPr>
          <w:rFonts w:ascii="Arial" w:hAnsi="Arial" w:cs="Arial"/>
          <w:i/>
          <w:color w:val="auto"/>
        </w:rPr>
        <w:tab/>
        <w:t>Эх сурвалж: Сангийн яам</w:t>
      </w:r>
    </w:p>
    <w:p w14:paraId="616A69AF" w14:textId="77777777" w:rsidR="000B6A0A" w:rsidRPr="0046672D" w:rsidRDefault="000B6A0A" w:rsidP="000B6A0A">
      <w:pPr>
        <w:pStyle w:val="Heading3"/>
        <w:spacing w:before="0" w:line="240" w:lineRule="auto"/>
        <w:ind w:firstLine="720"/>
        <w:rPr>
          <w:rFonts w:ascii="Arial" w:hAnsi="Arial" w:cs="Arial"/>
          <w:b/>
          <w:color w:val="auto"/>
        </w:rPr>
      </w:pPr>
    </w:p>
    <w:p w14:paraId="4A655257" w14:textId="77777777" w:rsidR="000B6A0A" w:rsidRPr="0046672D" w:rsidRDefault="000B6A0A" w:rsidP="000B6A0A">
      <w:pPr>
        <w:pStyle w:val="Heading3"/>
        <w:spacing w:before="0" w:line="240" w:lineRule="auto"/>
        <w:ind w:firstLine="720"/>
        <w:rPr>
          <w:rFonts w:ascii="Arial" w:hAnsi="Arial" w:cs="Arial"/>
          <w:b/>
          <w:color w:val="auto"/>
        </w:rPr>
      </w:pPr>
      <w:r w:rsidRPr="0046672D">
        <w:rPr>
          <w:rFonts w:ascii="Arial" w:hAnsi="Arial" w:cs="Arial"/>
          <w:b/>
          <w:color w:val="auto"/>
        </w:rPr>
        <w:t>1.2.2. Гадаад үнэт цаас</w:t>
      </w:r>
    </w:p>
    <w:p w14:paraId="2C149F6F" w14:textId="77777777" w:rsidR="000B6A0A" w:rsidRPr="0046672D" w:rsidRDefault="000B6A0A" w:rsidP="000B6A0A">
      <w:pPr>
        <w:pStyle w:val="NoSpacing"/>
        <w:spacing w:after="0" w:line="240" w:lineRule="auto"/>
        <w:rPr>
          <w:rFonts w:ascii="Arial" w:hAnsi="Arial" w:cs="Arial"/>
          <w:sz w:val="24"/>
          <w:szCs w:val="24"/>
        </w:rPr>
      </w:pPr>
    </w:p>
    <w:p w14:paraId="2E353845" w14:textId="77777777" w:rsidR="000B6A0A" w:rsidRPr="0046672D" w:rsidRDefault="000B6A0A" w:rsidP="000B6A0A">
      <w:pPr>
        <w:ind w:firstLine="720"/>
        <w:jc w:val="both"/>
        <w:rPr>
          <w:rFonts w:ascii="Arial" w:hAnsi="Arial" w:cs="Arial"/>
          <w:sz w:val="24"/>
          <w:szCs w:val="24"/>
          <w:lang w:val="mn-MN"/>
        </w:rPr>
      </w:pPr>
      <w:r w:rsidRPr="0046672D">
        <w:rPr>
          <w:rFonts w:ascii="Arial" w:hAnsi="Arial" w:cs="Arial"/>
          <w:sz w:val="24"/>
          <w:szCs w:val="24"/>
          <w:lang w:val="mn-MN"/>
        </w:rPr>
        <w:t xml:space="preserve">Засгийн газраас олон улсын зах зээлд арилжаалсан </w:t>
      </w:r>
      <w:r w:rsidRPr="0046672D" w:rsidDel="0003628E">
        <w:rPr>
          <w:rFonts w:ascii="Arial" w:hAnsi="Arial" w:cs="Arial"/>
          <w:sz w:val="24"/>
          <w:szCs w:val="24"/>
          <w:lang w:val="mn-MN"/>
        </w:rPr>
        <w:t>гадаад</w:t>
      </w:r>
      <w:r w:rsidRPr="0046672D">
        <w:rPr>
          <w:rFonts w:ascii="Arial" w:hAnsi="Arial" w:cs="Arial"/>
          <w:sz w:val="24"/>
          <w:szCs w:val="24"/>
          <w:lang w:val="mn-MN"/>
        </w:rPr>
        <w:t xml:space="preserve"> бондын үлдэгдэл 2021 оны эцсийн байдлаар 8,175.6 тэрбум төгрөг байна.</w:t>
      </w:r>
    </w:p>
    <w:p w14:paraId="4ABC8BD4" w14:textId="77777777" w:rsidR="000B6A0A" w:rsidRPr="0046672D" w:rsidRDefault="000B6A0A" w:rsidP="000B6A0A">
      <w:pPr>
        <w:spacing w:after="0"/>
        <w:ind w:firstLine="720"/>
        <w:rPr>
          <w:rFonts w:ascii="Arial" w:hAnsi="Arial" w:cs="Arial"/>
          <w:i/>
          <w:sz w:val="20"/>
          <w:szCs w:val="20"/>
          <w:lang w:val="mn-MN"/>
        </w:rPr>
      </w:pPr>
      <w:r w:rsidRPr="0046672D">
        <w:rPr>
          <w:rFonts w:ascii="Arial" w:hAnsi="Arial" w:cs="Arial"/>
          <w:i/>
          <w:sz w:val="20"/>
          <w:szCs w:val="20"/>
          <w:lang w:val="mn-MN"/>
        </w:rPr>
        <w:t>Хүснэгт № 3: Гадаад үнэт цаас, 2021.12.31</w:t>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t xml:space="preserve"> /тэрбум төгрөг/</w:t>
      </w:r>
    </w:p>
    <w:tbl>
      <w:tblPr>
        <w:tblStyle w:val="TableGrid"/>
        <w:tblW w:w="8928" w:type="dxa"/>
        <w:tblInd w:w="279" w:type="dxa"/>
        <w:tblLook w:val="04A0" w:firstRow="1" w:lastRow="0" w:firstColumn="1" w:lastColumn="0" w:noHBand="0" w:noVBand="1"/>
      </w:tblPr>
      <w:tblGrid>
        <w:gridCol w:w="462"/>
        <w:gridCol w:w="2577"/>
        <w:gridCol w:w="1507"/>
        <w:gridCol w:w="2233"/>
        <w:gridCol w:w="2205"/>
      </w:tblGrid>
      <w:tr w:rsidR="000B6A0A" w:rsidRPr="0046672D" w14:paraId="682A2CEC" w14:textId="77777777" w:rsidTr="00F51A8E">
        <w:trPr>
          <w:trHeight w:val="284"/>
        </w:trPr>
        <w:tc>
          <w:tcPr>
            <w:tcW w:w="406" w:type="dxa"/>
            <w:shd w:val="clear" w:color="auto" w:fill="1F3864" w:themeFill="accent1" w:themeFillShade="80"/>
            <w:noWrap/>
            <w:hideMark/>
          </w:tcPr>
          <w:p w14:paraId="3E4D18E9" w14:textId="77777777" w:rsidR="000B6A0A" w:rsidRPr="0046672D" w:rsidRDefault="000B6A0A" w:rsidP="00F51A8E">
            <w:pPr>
              <w:rPr>
                <w:rFonts w:ascii="Arial" w:eastAsia="Times New Roman" w:hAnsi="Arial" w:cs="Arial"/>
                <w:b/>
                <w:lang w:val="mn-MN"/>
              </w:rPr>
            </w:pPr>
            <w:r w:rsidRPr="0046672D">
              <w:rPr>
                <w:rFonts w:ascii="Arial" w:eastAsia="Times New Roman" w:hAnsi="Arial" w:cs="Arial"/>
                <w:b/>
                <w:lang w:val="mn-MN"/>
              </w:rPr>
              <w:t>№</w:t>
            </w:r>
          </w:p>
        </w:tc>
        <w:tc>
          <w:tcPr>
            <w:tcW w:w="2577" w:type="dxa"/>
            <w:shd w:val="clear" w:color="auto" w:fill="1F3864" w:themeFill="accent1" w:themeFillShade="80"/>
            <w:noWrap/>
            <w:hideMark/>
          </w:tcPr>
          <w:p w14:paraId="2EC174C4" w14:textId="77777777" w:rsidR="000B6A0A" w:rsidRPr="0046672D" w:rsidRDefault="000B6A0A" w:rsidP="00F51A8E">
            <w:pPr>
              <w:rPr>
                <w:rFonts w:ascii="Arial" w:eastAsia="Times New Roman" w:hAnsi="Arial" w:cs="Arial"/>
                <w:b/>
                <w:lang w:val="mn-MN"/>
              </w:rPr>
            </w:pPr>
            <w:r w:rsidRPr="0046672D">
              <w:rPr>
                <w:rFonts w:ascii="Arial" w:eastAsia="Times New Roman" w:hAnsi="Arial" w:cs="Arial"/>
                <w:b/>
                <w:lang w:val="mn-MN"/>
              </w:rPr>
              <w:t>Гадаад үнэт цаас</w:t>
            </w:r>
          </w:p>
        </w:tc>
        <w:tc>
          <w:tcPr>
            <w:tcW w:w="1507" w:type="dxa"/>
            <w:shd w:val="clear" w:color="auto" w:fill="1F3864" w:themeFill="accent1" w:themeFillShade="80"/>
            <w:noWrap/>
            <w:hideMark/>
          </w:tcPr>
          <w:p w14:paraId="4EA9600A"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Хүү</w:t>
            </w:r>
          </w:p>
        </w:tc>
        <w:tc>
          <w:tcPr>
            <w:tcW w:w="2233" w:type="dxa"/>
            <w:shd w:val="clear" w:color="auto" w:fill="1F3864" w:themeFill="accent1" w:themeFillShade="80"/>
            <w:noWrap/>
            <w:hideMark/>
          </w:tcPr>
          <w:p w14:paraId="52D63B7E"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Хугацаа</w:t>
            </w:r>
          </w:p>
        </w:tc>
        <w:tc>
          <w:tcPr>
            <w:tcW w:w="2205" w:type="dxa"/>
            <w:shd w:val="clear" w:color="auto" w:fill="1F3864" w:themeFill="accent1" w:themeFillShade="80"/>
            <w:noWrap/>
            <w:hideMark/>
          </w:tcPr>
          <w:p w14:paraId="7FB54522"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Үлдэгдэл</w:t>
            </w:r>
          </w:p>
        </w:tc>
      </w:tr>
      <w:tr w:rsidR="000B6A0A" w:rsidRPr="0046672D" w14:paraId="7B203E0F" w14:textId="77777777" w:rsidTr="00F51A8E">
        <w:trPr>
          <w:trHeight w:val="293"/>
        </w:trPr>
        <w:tc>
          <w:tcPr>
            <w:tcW w:w="406" w:type="dxa"/>
            <w:noWrap/>
            <w:hideMark/>
          </w:tcPr>
          <w:p w14:paraId="350A5870" w14:textId="77777777" w:rsidR="000B6A0A" w:rsidRPr="0046672D" w:rsidRDefault="000B6A0A" w:rsidP="00F51A8E">
            <w:pPr>
              <w:jc w:val="center"/>
              <w:rPr>
                <w:rFonts w:ascii="Arial" w:eastAsia="Times New Roman" w:hAnsi="Arial" w:cs="Arial"/>
                <w:lang w:val="mn-MN"/>
              </w:rPr>
            </w:pPr>
            <w:r w:rsidRPr="0046672D">
              <w:rPr>
                <w:rFonts w:ascii="Arial" w:eastAsia="Times New Roman" w:hAnsi="Arial" w:cs="Arial"/>
                <w:lang w:val="mn-MN"/>
              </w:rPr>
              <w:t>1</w:t>
            </w:r>
          </w:p>
        </w:tc>
        <w:tc>
          <w:tcPr>
            <w:tcW w:w="2577" w:type="dxa"/>
            <w:noWrap/>
            <w:hideMark/>
          </w:tcPr>
          <w:p w14:paraId="68EFA072" w14:textId="77777777" w:rsidR="000B6A0A" w:rsidRPr="0046672D" w:rsidRDefault="000B6A0A" w:rsidP="00F51A8E">
            <w:pPr>
              <w:rPr>
                <w:rFonts w:ascii="Arial" w:eastAsia="Times New Roman" w:hAnsi="Arial" w:cs="Arial"/>
                <w:lang w:val="mn-MN"/>
              </w:rPr>
            </w:pPr>
            <w:r w:rsidRPr="0046672D">
              <w:rPr>
                <w:rFonts w:ascii="Arial" w:eastAsia="Times New Roman" w:hAnsi="Arial" w:cs="Arial"/>
                <w:lang w:val="mn-MN"/>
              </w:rPr>
              <w:t>Чингис-2022</w:t>
            </w:r>
          </w:p>
        </w:tc>
        <w:tc>
          <w:tcPr>
            <w:tcW w:w="1507" w:type="dxa"/>
            <w:noWrap/>
            <w:hideMark/>
          </w:tcPr>
          <w:p w14:paraId="4BEB147F"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5.125%</w:t>
            </w:r>
          </w:p>
        </w:tc>
        <w:tc>
          <w:tcPr>
            <w:tcW w:w="2233" w:type="dxa"/>
            <w:noWrap/>
            <w:hideMark/>
          </w:tcPr>
          <w:p w14:paraId="147E393C"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10 жил</w:t>
            </w:r>
          </w:p>
        </w:tc>
        <w:tc>
          <w:tcPr>
            <w:tcW w:w="2205" w:type="dxa"/>
            <w:noWrap/>
            <w:hideMark/>
          </w:tcPr>
          <w:p w14:paraId="49667841"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389.6</w:t>
            </w:r>
          </w:p>
        </w:tc>
      </w:tr>
      <w:tr w:rsidR="000B6A0A" w:rsidRPr="0046672D" w14:paraId="373BFFEF" w14:textId="77777777" w:rsidTr="00F51A8E">
        <w:trPr>
          <w:trHeight w:val="293"/>
        </w:trPr>
        <w:tc>
          <w:tcPr>
            <w:tcW w:w="406" w:type="dxa"/>
            <w:noWrap/>
            <w:hideMark/>
          </w:tcPr>
          <w:p w14:paraId="1EF9CD99"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2</w:t>
            </w:r>
          </w:p>
        </w:tc>
        <w:tc>
          <w:tcPr>
            <w:tcW w:w="2577" w:type="dxa"/>
            <w:noWrap/>
            <w:hideMark/>
          </w:tcPr>
          <w:p w14:paraId="70511BB4" w14:textId="77777777" w:rsidR="000B6A0A" w:rsidRPr="0046672D" w:rsidRDefault="000B6A0A" w:rsidP="00F51A8E">
            <w:pPr>
              <w:rPr>
                <w:rFonts w:ascii="Arial" w:eastAsia="Times New Roman" w:hAnsi="Arial" w:cs="Arial"/>
                <w:color w:val="000000"/>
                <w:lang w:val="mn-MN"/>
              </w:rPr>
            </w:pPr>
            <w:r w:rsidRPr="0046672D">
              <w:rPr>
                <w:rFonts w:ascii="Arial" w:eastAsia="Times New Roman" w:hAnsi="Arial" w:cs="Arial"/>
                <w:color w:val="000000"/>
                <w:lang w:val="mn-MN"/>
              </w:rPr>
              <w:t>Хуралдай</w:t>
            </w:r>
          </w:p>
        </w:tc>
        <w:tc>
          <w:tcPr>
            <w:tcW w:w="1507" w:type="dxa"/>
            <w:noWrap/>
            <w:hideMark/>
          </w:tcPr>
          <w:p w14:paraId="72A0C046"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8.750%</w:t>
            </w:r>
          </w:p>
        </w:tc>
        <w:tc>
          <w:tcPr>
            <w:tcW w:w="2233" w:type="dxa"/>
            <w:noWrap/>
            <w:hideMark/>
          </w:tcPr>
          <w:p w14:paraId="1BFD2F40"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7 жил</w:t>
            </w:r>
          </w:p>
        </w:tc>
        <w:tc>
          <w:tcPr>
            <w:tcW w:w="2205" w:type="dxa"/>
            <w:noWrap/>
            <w:hideMark/>
          </w:tcPr>
          <w:p w14:paraId="5B0A5A6D" w14:textId="77777777" w:rsidR="000B6A0A" w:rsidRPr="0046672D" w:rsidRDefault="000B6A0A" w:rsidP="00F51A8E">
            <w:pPr>
              <w:jc w:val="right"/>
              <w:rPr>
                <w:rFonts w:ascii="Arial" w:eastAsia="Times New Roman" w:hAnsi="Arial" w:cs="Arial"/>
                <w:color w:val="000000"/>
                <w:lang w:val="mn-MN"/>
              </w:rPr>
            </w:pPr>
            <w:r w:rsidRPr="0046672D">
              <w:rPr>
                <w:rFonts w:ascii="Arial" w:eastAsia="Times New Roman" w:hAnsi="Arial" w:cs="Arial"/>
                <w:lang w:val="mn-MN"/>
              </w:rPr>
              <w:t>1,709.1</w:t>
            </w:r>
          </w:p>
        </w:tc>
      </w:tr>
      <w:tr w:rsidR="000B6A0A" w:rsidRPr="0046672D" w14:paraId="4504996F" w14:textId="77777777" w:rsidTr="00F51A8E">
        <w:trPr>
          <w:trHeight w:val="293"/>
        </w:trPr>
        <w:tc>
          <w:tcPr>
            <w:tcW w:w="406" w:type="dxa"/>
            <w:noWrap/>
            <w:hideMark/>
          </w:tcPr>
          <w:p w14:paraId="13D642BA" w14:textId="77777777" w:rsidR="000B6A0A" w:rsidRPr="0046672D" w:rsidRDefault="000B6A0A" w:rsidP="00F51A8E">
            <w:pPr>
              <w:jc w:val="center"/>
              <w:rPr>
                <w:rFonts w:ascii="Arial" w:eastAsia="Times New Roman" w:hAnsi="Arial" w:cs="Arial"/>
                <w:lang w:val="mn-MN"/>
              </w:rPr>
            </w:pPr>
            <w:r w:rsidRPr="0046672D">
              <w:rPr>
                <w:rFonts w:ascii="Arial" w:eastAsia="Times New Roman" w:hAnsi="Arial" w:cs="Arial"/>
                <w:lang w:val="mn-MN"/>
              </w:rPr>
              <w:t>3</w:t>
            </w:r>
          </w:p>
        </w:tc>
        <w:tc>
          <w:tcPr>
            <w:tcW w:w="2577" w:type="dxa"/>
            <w:noWrap/>
            <w:hideMark/>
          </w:tcPr>
          <w:p w14:paraId="1DCA9750" w14:textId="77777777" w:rsidR="000B6A0A" w:rsidRPr="0046672D" w:rsidRDefault="000B6A0A" w:rsidP="00F51A8E">
            <w:pPr>
              <w:rPr>
                <w:rFonts w:ascii="Arial" w:eastAsia="Times New Roman" w:hAnsi="Arial" w:cs="Arial"/>
                <w:lang w:val="mn-MN"/>
              </w:rPr>
            </w:pPr>
            <w:r w:rsidRPr="0046672D">
              <w:rPr>
                <w:rFonts w:ascii="Arial" w:eastAsia="Times New Roman" w:hAnsi="Arial" w:cs="Arial"/>
                <w:lang w:val="mn-MN"/>
              </w:rPr>
              <w:t>Гэрэгэ</w:t>
            </w:r>
          </w:p>
        </w:tc>
        <w:tc>
          <w:tcPr>
            <w:tcW w:w="1507" w:type="dxa"/>
            <w:noWrap/>
            <w:hideMark/>
          </w:tcPr>
          <w:p w14:paraId="001BA551"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5.625%</w:t>
            </w:r>
          </w:p>
        </w:tc>
        <w:tc>
          <w:tcPr>
            <w:tcW w:w="2233" w:type="dxa"/>
            <w:noWrap/>
            <w:hideMark/>
          </w:tcPr>
          <w:p w14:paraId="3FA1D251"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5.5 жил</w:t>
            </w:r>
          </w:p>
        </w:tc>
        <w:tc>
          <w:tcPr>
            <w:tcW w:w="2205" w:type="dxa"/>
            <w:noWrap/>
            <w:hideMark/>
          </w:tcPr>
          <w:p w14:paraId="3E0E489E"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1,518.4</w:t>
            </w:r>
          </w:p>
        </w:tc>
      </w:tr>
      <w:tr w:rsidR="000B6A0A" w:rsidRPr="0046672D" w14:paraId="75C44841" w14:textId="77777777" w:rsidTr="00F51A8E">
        <w:trPr>
          <w:trHeight w:val="293"/>
        </w:trPr>
        <w:tc>
          <w:tcPr>
            <w:tcW w:w="406" w:type="dxa"/>
            <w:noWrap/>
            <w:hideMark/>
          </w:tcPr>
          <w:p w14:paraId="5C7F0E77"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4</w:t>
            </w:r>
          </w:p>
        </w:tc>
        <w:tc>
          <w:tcPr>
            <w:tcW w:w="2577" w:type="dxa"/>
            <w:noWrap/>
            <w:hideMark/>
          </w:tcPr>
          <w:p w14:paraId="115ACE97" w14:textId="77777777" w:rsidR="000B6A0A" w:rsidRPr="0046672D" w:rsidRDefault="000B6A0A" w:rsidP="00F51A8E">
            <w:pPr>
              <w:rPr>
                <w:rFonts w:ascii="Arial" w:eastAsia="Times New Roman" w:hAnsi="Arial" w:cs="Arial"/>
                <w:color w:val="000000"/>
                <w:lang w:val="mn-MN"/>
              </w:rPr>
            </w:pPr>
            <w:r w:rsidRPr="0046672D">
              <w:rPr>
                <w:rFonts w:ascii="Arial" w:eastAsia="Times New Roman" w:hAnsi="Arial" w:cs="Arial"/>
                <w:color w:val="000000"/>
                <w:lang w:val="mn-MN"/>
              </w:rPr>
              <w:t>Номад</w:t>
            </w:r>
          </w:p>
        </w:tc>
        <w:tc>
          <w:tcPr>
            <w:tcW w:w="1507" w:type="dxa"/>
            <w:noWrap/>
            <w:hideMark/>
          </w:tcPr>
          <w:p w14:paraId="63B424C9"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5.125%</w:t>
            </w:r>
          </w:p>
        </w:tc>
        <w:tc>
          <w:tcPr>
            <w:tcW w:w="2233" w:type="dxa"/>
            <w:noWrap/>
            <w:hideMark/>
          </w:tcPr>
          <w:p w14:paraId="10F41A20"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5.5 жил</w:t>
            </w:r>
          </w:p>
        </w:tc>
        <w:tc>
          <w:tcPr>
            <w:tcW w:w="2205" w:type="dxa"/>
            <w:noWrap/>
            <w:hideMark/>
          </w:tcPr>
          <w:p w14:paraId="7F9AEEB3" w14:textId="77777777" w:rsidR="000B6A0A" w:rsidRPr="0046672D" w:rsidRDefault="000B6A0A" w:rsidP="00F51A8E">
            <w:pPr>
              <w:jc w:val="right"/>
              <w:rPr>
                <w:rFonts w:ascii="Arial" w:eastAsia="Times New Roman" w:hAnsi="Arial" w:cs="Arial"/>
                <w:color w:val="000000"/>
                <w:lang w:val="mn-MN"/>
              </w:rPr>
            </w:pPr>
            <w:r w:rsidRPr="0046672D">
              <w:rPr>
                <w:rFonts w:ascii="Arial" w:eastAsia="Times New Roman" w:hAnsi="Arial" w:cs="Arial"/>
                <w:lang w:val="mn-MN"/>
              </w:rPr>
              <w:t>1,709.1</w:t>
            </w:r>
          </w:p>
        </w:tc>
      </w:tr>
      <w:tr w:rsidR="000B6A0A" w:rsidRPr="0046672D" w14:paraId="0E84BA2F" w14:textId="77777777" w:rsidTr="00F51A8E">
        <w:trPr>
          <w:trHeight w:val="293"/>
        </w:trPr>
        <w:tc>
          <w:tcPr>
            <w:tcW w:w="406" w:type="dxa"/>
            <w:noWrap/>
            <w:hideMark/>
          </w:tcPr>
          <w:p w14:paraId="0614CFF1" w14:textId="77777777" w:rsidR="000B6A0A" w:rsidRPr="0046672D" w:rsidRDefault="000B6A0A" w:rsidP="00F51A8E">
            <w:pPr>
              <w:jc w:val="center"/>
              <w:rPr>
                <w:rFonts w:ascii="Arial" w:eastAsia="Times New Roman" w:hAnsi="Arial" w:cs="Arial"/>
                <w:lang w:val="mn-MN"/>
              </w:rPr>
            </w:pPr>
            <w:r w:rsidRPr="0046672D">
              <w:rPr>
                <w:rFonts w:ascii="Arial" w:eastAsia="Times New Roman" w:hAnsi="Arial" w:cs="Arial"/>
                <w:lang w:val="mn-MN"/>
              </w:rPr>
              <w:t>5</w:t>
            </w:r>
          </w:p>
        </w:tc>
        <w:tc>
          <w:tcPr>
            <w:tcW w:w="2577" w:type="dxa"/>
            <w:noWrap/>
            <w:hideMark/>
          </w:tcPr>
          <w:p w14:paraId="6779FA6F" w14:textId="77777777" w:rsidR="000B6A0A" w:rsidRPr="0046672D" w:rsidRDefault="000B6A0A" w:rsidP="00F51A8E">
            <w:pPr>
              <w:rPr>
                <w:rFonts w:ascii="Arial" w:eastAsia="Times New Roman" w:hAnsi="Arial" w:cs="Arial"/>
                <w:lang w:val="mn-MN"/>
              </w:rPr>
            </w:pPr>
            <w:r w:rsidRPr="0046672D">
              <w:rPr>
                <w:rFonts w:ascii="Arial" w:eastAsia="Times New Roman" w:hAnsi="Arial" w:cs="Arial"/>
                <w:lang w:val="mn-MN"/>
              </w:rPr>
              <w:t>Сенчири-2027</w:t>
            </w:r>
          </w:p>
        </w:tc>
        <w:tc>
          <w:tcPr>
            <w:tcW w:w="1507" w:type="dxa"/>
            <w:noWrap/>
            <w:hideMark/>
          </w:tcPr>
          <w:p w14:paraId="4D8962C5"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3.500%</w:t>
            </w:r>
          </w:p>
        </w:tc>
        <w:tc>
          <w:tcPr>
            <w:tcW w:w="2233" w:type="dxa"/>
            <w:noWrap/>
            <w:hideMark/>
          </w:tcPr>
          <w:p w14:paraId="2A9EEF5E"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6 жил</w:t>
            </w:r>
          </w:p>
        </w:tc>
        <w:tc>
          <w:tcPr>
            <w:tcW w:w="2205" w:type="dxa"/>
            <w:noWrap/>
            <w:hideMark/>
          </w:tcPr>
          <w:p w14:paraId="2E51ADC9"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1,424.2</w:t>
            </w:r>
          </w:p>
        </w:tc>
      </w:tr>
      <w:tr w:rsidR="000B6A0A" w:rsidRPr="0046672D" w14:paraId="6AFD15EB" w14:textId="77777777" w:rsidTr="00F51A8E">
        <w:trPr>
          <w:trHeight w:val="293"/>
        </w:trPr>
        <w:tc>
          <w:tcPr>
            <w:tcW w:w="406" w:type="dxa"/>
            <w:noWrap/>
            <w:hideMark/>
          </w:tcPr>
          <w:p w14:paraId="14E75F77"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6</w:t>
            </w:r>
          </w:p>
        </w:tc>
        <w:tc>
          <w:tcPr>
            <w:tcW w:w="2577" w:type="dxa"/>
            <w:noWrap/>
            <w:hideMark/>
          </w:tcPr>
          <w:p w14:paraId="0B46092A" w14:textId="77777777" w:rsidR="000B6A0A" w:rsidRPr="0046672D" w:rsidRDefault="000B6A0A" w:rsidP="00F51A8E">
            <w:pPr>
              <w:rPr>
                <w:rFonts w:ascii="Arial" w:eastAsia="Times New Roman" w:hAnsi="Arial" w:cs="Arial"/>
                <w:color w:val="000000"/>
                <w:lang w:val="mn-MN"/>
              </w:rPr>
            </w:pPr>
            <w:r w:rsidRPr="0046672D">
              <w:rPr>
                <w:rFonts w:ascii="Arial" w:eastAsia="Times New Roman" w:hAnsi="Arial" w:cs="Arial"/>
                <w:color w:val="000000"/>
                <w:lang w:val="mn-MN"/>
              </w:rPr>
              <w:t>Сенчири-2031</w:t>
            </w:r>
          </w:p>
        </w:tc>
        <w:tc>
          <w:tcPr>
            <w:tcW w:w="1507" w:type="dxa"/>
            <w:noWrap/>
            <w:hideMark/>
          </w:tcPr>
          <w:p w14:paraId="18DA34D3"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4.450%</w:t>
            </w:r>
          </w:p>
        </w:tc>
        <w:tc>
          <w:tcPr>
            <w:tcW w:w="2233" w:type="dxa"/>
            <w:noWrap/>
            <w:hideMark/>
          </w:tcPr>
          <w:p w14:paraId="06294EB5"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10 жил</w:t>
            </w:r>
          </w:p>
        </w:tc>
        <w:tc>
          <w:tcPr>
            <w:tcW w:w="2205" w:type="dxa"/>
            <w:noWrap/>
            <w:hideMark/>
          </w:tcPr>
          <w:p w14:paraId="79BD373D" w14:textId="77777777" w:rsidR="000B6A0A" w:rsidRPr="0046672D" w:rsidRDefault="000B6A0A" w:rsidP="00F51A8E">
            <w:pPr>
              <w:jc w:val="right"/>
              <w:rPr>
                <w:rFonts w:ascii="Arial" w:eastAsia="Times New Roman" w:hAnsi="Arial" w:cs="Arial"/>
                <w:color w:val="000000"/>
                <w:lang w:val="mn-MN"/>
              </w:rPr>
            </w:pPr>
            <w:r w:rsidRPr="0046672D">
              <w:rPr>
                <w:rFonts w:ascii="Arial" w:eastAsia="Times New Roman" w:hAnsi="Arial" w:cs="Arial"/>
                <w:lang w:val="mn-MN"/>
              </w:rPr>
              <w:t>1,424.2</w:t>
            </w:r>
          </w:p>
        </w:tc>
      </w:tr>
      <w:tr w:rsidR="000B6A0A" w:rsidRPr="0046672D" w14:paraId="6A282F24" w14:textId="77777777" w:rsidTr="00F51A8E">
        <w:trPr>
          <w:trHeight w:val="293"/>
        </w:trPr>
        <w:tc>
          <w:tcPr>
            <w:tcW w:w="406" w:type="dxa"/>
            <w:noWrap/>
            <w:hideMark/>
          </w:tcPr>
          <w:p w14:paraId="0A3ED4D5" w14:textId="77777777" w:rsidR="000B6A0A" w:rsidRPr="0046672D" w:rsidRDefault="000B6A0A" w:rsidP="00F51A8E">
            <w:pPr>
              <w:rPr>
                <w:rFonts w:ascii="Arial" w:eastAsia="Times New Roman" w:hAnsi="Arial" w:cs="Arial"/>
                <w:lang w:val="mn-MN"/>
              </w:rPr>
            </w:pPr>
            <w:r w:rsidRPr="0046672D">
              <w:rPr>
                <w:rFonts w:ascii="Arial" w:eastAsia="Times New Roman" w:hAnsi="Arial" w:cs="Arial"/>
                <w:lang w:val="mn-MN"/>
              </w:rPr>
              <w:t> </w:t>
            </w:r>
          </w:p>
        </w:tc>
        <w:tc>
          <w:tcPr>
            <w:tcW w:w="2577" w:type="dxa"/>
            <w:noWrap/>
            <w:hideMark/>
          </w:tcPr>
          <w:p w14:paraId="2777979E"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НИЙТ</w:t>
            </w:r>
          </w:p>
        </w:tc>
        <w:tc>
          <w:tcPr>
            <w:tcW w:w="1507" w:type="dxa"/>
            <w:noWrap/>
            <w:hideMark/>
          </w:tcPr>
          <w:p w14:paraId="320050A1" w14:textId="77777777" w:rsidR="000B6A0A" w:rsidRPr="0046672D" w:rsidRDefault="000B6A0A" w:rsidP="00F51A8E">
            <w:pPr>
              <w:rPr>
                <w:rFonts w:ascii="Arial" w:eastAsia="Times New Roman" w:hAnsi="Arial" w:cs="Arial"/>
                <w:b/>
                <w:lang w:val="mn-MN"/>
              </w:rPr>
            </w:pPr>
            <w:r w:rsidRPr="0046672D">
              <w:rPr>
                <w:rFonts w:ascii="Arial" w:eastAsia="Times New Roman" w:hAnsi="Arial" w:cs="Arial"/>
                <w:b/>
                <w:lang w:val="mn-MN"/>
              </w:rPr>
              <w:t> </w:t>
            </w:r>
          </w:p>
        </w:tc>
        <w:tc>
          <w:tcPr>
            <w:tcW w:w="2233" w:type="dxa"/>
            <w:noWrap/>
            <w:hideMark/>
          </w:tcPr>
          <w:p w14:paraId="51220E39" w14:textId="77777777" w:rsidR="000B6A0A" w:rsidRPr="0046672D" w:rsidRDefault="000B6A0A" w:rsidP="00F51A8E">
            <w:pPr>
              <w:rPr>
                <w:rFonts w:ascii="Arial" w:eastAsia="Times New Roman" w:hAnsi="Arial" w:cs="Arial"/>
                <w:b/>
                <w:lang w:val="mn-MN"/>
              </w:rPr>
            </w:pPr>
            <w:r w:rsidRPr="0046672D">
              <w:rPr>
                <w:rFonts w:ascii="Arial" w:eastAsia="Times New Roman" w:hAnsi="Arial" w:cs="Arial"/>
                <w:b/>
                <w:lang w:val="mn-MN"/>
              </w:rPr>
              <w:t> </w:t>
            </w:r>
          </w:p>
        </w:tc>
        <w:tc>
          <w:tcPr>
            <w:tcW w:w="2205" w:type="dxa"/>
            <w:noWrap/>
            <w:hideMark/>
          </w:tcPr>
          <w:p w14:paraId="22888377" w14:textId="77777777" w:rsidR="000B6A0A" w:rsidRPr="0046672D" w:rsidRDefault="000B6A0A" w:rsidP="00F51A8E">
            <w:pPr>
              <w:jc w:val="right"/>
              <w:rPr>
                <w:rFonts w:ascii="Arial" w:eastAsia="Times New Roman" w:hAnsi="Arial" w:cs="Arial"/>
                <w:b/>
                <w:lang w:val="mn-MN"/>
              </w:rPr>
            </w:pPr>
            <w:r w:rsidRPr="0046672D">
              <w:rPr>
                <w:rFonts w:ascii="Arial" w:eastAsia="Times New Roman" w:hAnsi="Arial" w:cs="Arial"/>
                <w:b/>
                <w:lang w:val="mn-MN"/>
              </w:rPr>
              <w:t>8,175.6</w:t>
            </w:r>
          </w:p>
        </w:tc>
      </w:tr>
    </w:tbl>
    <w:p w14:paraId="22A559C9" w14:textId="77777777" w:rsidR="000B6A0A" w:rsidRPr="0046672D" w:rsidRDefault="000B6A0A" w:rsidP="000B6A0A">
      <w:pPr>
        <w:ind w:left="5760" w:firstLine="720"/>
        <w:jc w:val="both"/>
        <w:rPr>
          <w:rFonts w:ascii="Arial" w:hAnsi="Arial" w:cs="Arial"/>
          <w:sz w:val="24"/>
          <w:szCs w:val="24"/>
          <w:lang w:val="mn-MN"/>
        </w:rPr>
      </w:pPr>
      <w:r w:rsidRPr="0046672D">
        <w:rPr>
          <w:rFonts w:ascii="Arial" w:hAnsi="Arial" w:cs="Arial"/>
          <w:i/>
          <w:lang w:val="mn-MN"/>
        </w:rPr>
        <w:t>Эх сурвалж: Сангийн яам</w:t>
      </w:r>
    </w:p>
    <w:p w14:paraId="3C724877" w14:textId="77777777" w:rsidR="000B6A0A" w:rsidRPr="0046672D" w:rsidRDefault="000B6A0A" w:rsidP="000B6A0A">
      <w:pPr>
        <w:ind w:firstLine="720"/>
        <w:jc w:val="both"/>
        <w:rPr>
          <w:rFonts w:ascii="Arial" w:hAnsi="Arial" w:cs="Arial"/>
          <w:sz w:val="24"/>
          <w:szCs w:val="24"/>
          <w:lang w:val="mn-MN"/>
        </w:rPr>
      </w:pPr>
      <w:r w:rsidRPr="0046672D">
        <w:rPr>
          <w:rFonts w:ascii="Arial" w:hAnsi="Arial" w:cs="Arial"/>
          <w:sz w:val="24"/>
          <w:szCs w:val="24"/>
          <w:lang w:val="mn-MN"/>
        </w:rPr>
        <w:t xml:space="preserve">Засгийн газрын зүгээс 2019-2022 стратегийн баримт бичгийн хэрэгжилтийг хангах, дунд хугацааны төлбөрийн дарамтыг бууруулах зорилгоор 2020 оны 9 дүгээр </w:t>
      </w:r>
      <w:r w:rsidRPr="0046672D">
        <w:rPr>
          <w:rFonts w:ascii="Arial" w:hAnsi="Arial" w:cs="Arial"/>
          <w:sz w:val="24"/>
          <w:szCs w:val="24"/>
          <w:lang w:val="mn-MN"/>
        </w:rPr>
        <w:lastRenderedPageBreak/>
        <w:t xml:space="preserve">сарын 28-ны өдөр 600.0 сая ам.долларын 5.125 хувийн хүүтэй “Номад” бондыг арилжаалж 2021 онд төлөгдөх 10.875 хувийн хүүтэй “Мазаалай” бонд, 2022 онд төлөгдөх 5.125 хувийн хүүтэй “Чингис” бондын тодорхой хэсгийг буцаан худалдаж авав. Мөн Мазаалай бондын үлдэгдэл 132.6 сая ам.долларын үндсэн төлбөрийг улсын төсвөөс 2021 оны 4 дүгээр сард бүрэн төлж барагдуулсан юм. </w:t>
      </w:r>
    </w:p>
    <w:p w14:paraId="0752CBE9" w14:textId="77777777" w:rsidR="000B6A0A" w:rsidRPr="0046672D" w:rsidRDefault="000B6A0A" w:rsidP="000B6A0A">
      <w:pPr>
        <w:ind w:firstLine="720"/>
        <w:jc w:val="both"/>
        <w:rPr>
          <w:rFonts w:ascii="Arial" w:hAnsi="Arial" w:cs="Arial"/>
          <w:color w:val="000000"/>
          <w:shd w:val="clear" w:color="auto" w:fill="FFFFFF"/>
          <w:lang w:val="mn-MN"/>
        </w:rPr>
      </w:pPr>
      <w:r w:rsidRPr="0046672D">
        <w:rPr>
          <w:rFonts w:ascii="Arial" w:hAnsi="Arial" w:cs="Arial"/>
          <w:sz w:val="24"/>
          <w:szCs w:val="24"/>
          <w:lang w:val="mn-MN"/>
        </w:rPr>
        <w:t>Түүнчлэн 2021 оны 7 дугаар сард “Сенчири” төслийн хүрээнд хугацаа тулаад байсан, 2012 онд гаргасан “Чингис” бонд болон 2017 онд гаргасан “Гэрэгэ” бондын өр төлбөрийн тодорхой хувийг дахин санхүүжилт хийж өрийн зохицуулалтын арга хэмжээг авч хэрэгжүүлсэн бөгөөд түүхэндээ хамгийн бага түвшний хүү болох 3.5 хувийн хүүтэй 6 жилийн хугацаатай 500 сая ам.доллар болон 10 жилийн хугацаатай 4.45 хувийн хүүтэй 500 сая ам.доллар, нийт 1.0 тэрбум ам.долларын өр төлбөрийг шийдвэрлээд байна</w:t>
      </w:r>
      <w:r w:rsidRPr="0046672D">
        <w:rPr>
          <w:sz w:val="24"/>
          <w:szCs w:val="24"/>
          <w:lang w:val="mn-MN"/>
        </w:rPr>
        <w:t>.</w:t>
      </w:r>
    </w:p>
    <w:p w14:paraId="0E65527C" w14:textId="77777777" w:rsidR="000B6A0A" w:rsidRPr="0046672D" w:rsidRDefault="000B6A0A" w:rsidP="000B6A0A">
      <w:pPr>
        <w:spacing w:after="0"/>
        <w:jc w:val="both"/>
        <w:rPr>
          <w:rFonts w:ascii="Arial" w:hAnsi="Arial" w:cs="Arial"/>
          <w:i/>
          <w:sz w:val="24"/>
          <w:szCs w:val="24"/>
          <w:lang w:val="mn-MN"/>
        </w:rPr>
      </w:pPr>
      <w:r w:rsidRPr="0046672D">
        <w:rPr>
          <w:rFonts w:ascii="Arial" w:hAnsi="Arial" w:cs="Arial"/>
          <w:i/>
          <w:sz w:val="24"/>
          <w:szCs w:val="24"/>
          <w:lang w:val="mn-MN"/>
        </w:rPr>
        <w:tab/>
      </w:r>
    </w:p>
    <w:p w14:paraId="601A124C" w14:textId="77777777" w:rsidR="000B6A0A" w:rsidRPr="0046672D" w:rsidRDefault="000B6A0A" w:rsidP="000B6A0A">
      <w:pPr>
        <w:spacing w:after="0"/>
        <w:jc w:val="both"/>
        <w:rPr>
          <w:rFonts w:ascii="Arial" w:hAnsi="Arial" w:cs="Arial"/>
          <w:i/>
          <w:sz w:val="24"/>
          <w:szCs w:val="24"/>
          <w:lang w:val="mn-MN"/>
        </w:rPr>
      </w:pPr>
    </w:p>
    <w:p w14:paraId="633CD0BD" w14:textId="77777777" w:rsidR="000B6A0A" w:rsidRPr="0046672D" w:rsidRDefault="000B6A0A" w:rsidP="000B6A0A">
      <w:pPr>
        <w:spacing w:after="0"/>
        <w:jc w:val="both"/>
        <w:rPr>
          <w:rFonts w:ascii="Arial" w:hAnsi="Arial" w:cs="Arial"/>
          <w:i/>
          <w:sz w:val="24"/>
          <w:szCs w:val="24"/>
          <w:lang w:val="mn-MN"/>
        </w:rPr>
      </w:pPr>
    </w:p>
    <w:p w14:paraId="2F20C86A" w14:textId="77777777" w:rsidR="000B6A0A" w:rsidRPr="0046672D" w:rsidRDefault="000B6A0A" w:rsidP="000B6A0A">
      <w:pPr>
        <w:spacing w:after="0"/>
        <w:jc w:val="both"/>
        <w:rPr>
          <w:rFonts w:ascii="Arial" w:hAnsi="Arial" w:cs="Arial"/>
          <w:i/>
          <w:sz w:val="24"/>
          <w:szCs w:val="24"/>
          <w:lang w:val="mn-MN"/>
        </w:rPr>
      </w:pPr>
    </w:p>
    <w:p w14:paraId="17B5579D" w14:textId="77777777" w:rsidR="000B6A0A" w:rsidRPr="0046672D" w:rsidRDefault="000B6A0A" w:rsidP="000B6A0A">
      <w:pPr>
        <w:ind w:firstLine="720"/>
        <w:jc w:val="both"/>
        <w:rPr>
          <w:rFonts w:ascii="Arial" w:hAnsi="Arial" w:cs="Arial"/>
          <w:i/>
          <w:sz w:val="24"/>
          <w:szCs w:val="24"/>
          <w:lang w:val="mn-MN"/>
        </w:rPr>
      </w:pPr>
      <w:r w:rsidRPr="0046672D">
        <w:rPr>
          <w:rFonts w:ascii="Arial" w:hAnsi="Arial" w:cs="Arial"/>
          <w:i/>
          <w:sz w:val="20"/>
          <w:szCs w:val="20"/>
          <w:lang w:val="mn-MN"/>
        </w:rPr>
        <w:t>График № 3: Дахин санхүүжүүлсэн гадаад үнэт цаас хүүгийн хувиар</w:t>
      </w:r>
    </w:p>
    <w:p w14:paraId="22EED1FE" w14:textId="349D6CED" w:rsidR="000B6A0A" w:rsidRPr="0046672D" w:rsidRDefault="000B6A0A" w:rsidP="000B6A0A">
      <w:pPr>
        <w:pStyle w:val="NoSpacing"/>
        <w:spacing w:after="0"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rPr>
          <w:noProof/>
          <w:lang w:val="en-US"/>
        </w:rPr>
        <w:drawing>
          <wp:anchor distT="0" distB="0" distL="114300" distR="114300" simplePos="0" relativeHeight="251658244" behindDoc="0" locked="0" layoutInCell="1" allowOverlap="1" wp14:anchorId="18A3ECCF" wp14:editId="421CA6C2">
            <wp:simplePos x="0" y="0"/>
            <wp:positionH relativeFrom="column">
              <wp:posOffset>3328670</wp:posOffset>
            </wp:positionH>
            <wp:positionV relativeFrom="paragraph">
              <wp:posOffset>10795</wp:posOffset>
            </wp:positionV>
            <wp:extent cx="2665730" cy="2327910"/>
            <wp:effectExtent l="0" t="0" r="1270" b="15240"/>
            <wp:wrapSquare wrapText="bothSides"/>
            <wp:docPr id="8" name="Chart 8">
              <a:extLst xmlns:a="http://schemas.openxmlformats.org/drawingml/2006/main">
                <a:ext uri="{FF2B5EF4-FFF2-40B4-BE49-F238E27FC236}">
                  <a16:creationId xmlns:a16="http://schemas.microsoft.com/office/drawing/2014/main" id="{BB4F1A9C-F7CA-463F-9AC0-926B49A641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46672D">
        <w:rPr>
          <w:noProof/>
          <w:lang w:val="en-US"/>
        </w:rPr>
        <w:drawing>
          <wp:inline distT="0" distB="0" distL="0" distR="0" wp14:anchorId="6A3777C8" wp14:editId="6CFB36A1">
            <wp:extent cx="2597203" cy="2350770"/>
            <wp:effectExtent l="0" t="0" r="12700" b="11430"/>
            <wp:docPr id="11" name="Chart 11">
              <a:extLst xmlns:a="http://schemas.openxmlformats.org/drawingml/2006/main">
                <a:ext uri="{FF2B5EF4-FFF2-40B4-BE49-F238E27FC236}">
                  <a16:creationId xmlns:a16="http://schemas.microsoft.com/office/drawing/2014/main" id="{187CD29D-5ED6-4305-A5CE-F5DF7CCB75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FABA57" w14:textId="2A8FFC6D" w:rsidR="000B6A0A" w:rsidRPr="0046672D" w:rsidRDefault="000B6A0A" w:rsidP="000B6A0A">
      <w:pPr>
        <w:ind w:left="6480"/>
        <w:jc w:val="both"/>
        <w:rPr>
          <w:rFonts w:ascii="Arial" w:hAnsi="Arial" w:cs="Arial"/>
          <w:i/>
          <w:color w:val="000000"/>
          <w:sz w:val="20"/>
          <w:szCs w:val="20"/>
          <w:shd w:val="clear" w:color="auto" w:fill="FFFFFF"/>
          <w:lang w:val="mn-MN"/>
        </w:rPr>
      </w:pPr>
      <w:r w:rsidRPr="0046672D">
        <w:rPr>
          <w:rFonts w:ascii="Arial" w:hAnsi="Arial" w:cs="Arial"/>
          <w:i/>
          <w:lang w:val="mn-MN"/>
        </w:rPr>
        <w:lastRenderedPageBreak/>
        <w:t xml:space="preserve">     Эх сурвалж: Сангийн яам</w:t>
      </w:r>
    </w:p>
    <w:p w14:paraId="33CB76DF" w14:textId="392A6660" w:rsidR="000B6A0A" w:rsidRPr="0046672D" w:rsidRDefault="000B6A0A" w:rsidP="000B6A0A">
      <w:pPr>
        <w:ind w:firstLine="720"/>
        <w:jc w:val="both"/>
        <w:rPr>
          <w:rFonts w:ascii="Arial" w:hAnsi="Arial" w:cs="Arial"/>
          <w:i/>
          <w:color w:val="000000"/>
          <w:sz w:val="20"/>
          <w:szCs w:val="20"/>
          <w:shd w:val="clear" w:color="auto" w:fill="FFFFFF"/>
          <w:lang w:val="mn-MN"/>
        </w:rPr>
      </w:pPr>
      <w:r w:rsidRPr="0046672D">
        <w:rPr>
          <w:rFonts w:ascii="Arial" w:hAnsi="Arial" w:cs="Arial"/>
          <w:sz w:val="24"/>
          <w:szCs w:val="24"/>
          <w:lang w:val="mn-MN"/>
        </w:rPr>
        <w:t xml:space="preserve">Засгийн газрын үнэт цаасыг олон улсын зах зээл дээр амжилттай арилжаалах, хүүгийн түвшинг доогуур тогтооход тухайн үеийн дэлхийн зах зээлийн нөхцөл байдлаас гадна үнэт цаас гаргагч орны зээлжих зэрэглэл чухал нөлөөтэй байдаг. Монгол Улсын зээлжих зэрэглэлийг Мүүдис агентлаг 2019 онд </w:t>
      </w:r>
      <w:r w:rsidRPr="0046672D">
        <w:rPr>
          <w:rFonts w:ascii="Arial" w:hAnsi="Arial" w:cs="Arial"/>
          <w:sz w:val="24"/>
          <w:szCs w:val="24"/>
          <w:lang w:val="mn-MN" w:eastAsia="zh-CN"/>
        </w:rPr>
        <w:t>B3, хэтийн төлөвийг тогтвортой, Фитч агентлаг В, хэтийн төлөвийг тогтвортой, Эс энд Пи агентлаг В+, хэтийн төлөвийг тогтвортой хэмээн үнэлж байсан бол 2020-2021 онуудад зэрэглэл тогтоогч байгууллага тус бүрийн үнэлгээгээр зээлжих зэрэглэл тогтвортой хэвээр байв. Монгол улсын зээлжих зэрэглэл сайжирсан нь төсвийн алдагдлыг бууруулж, ханшийн сулралыг тогтворжуулж, гадаад валютын албан нөөцийг 1.0 тэрбум ам.доллароос 3.5 тэрбум ам.доллар хүртэл нэмэгдэхэд голлох эерэг нөлөө үзүүлэв. Мөн үүнд 2019-2021 онуудад төлөх хуваарьтай гадаад бондуудын төлбөрийн тодорхой хэсгийг эдийн засаг, төсөвт дарамт үүсгэхгүйгээр төлж барагдуулсан арга хэмжээ голлох нөлөөллийг үзүүлсэн байна.</w:t>
      </w:r>
    </w:p>
    <w:p w14:paraId="1F9C05A2" w14:textId="385FE064" w:rsidR="000B6A0A" w:rsidRPr="0046672D" w:rsidRDefault="00524366" w:rsidP="000B6A0A">
      <w:pPr>
        <w:ind w:firstLine="720"/>
        <w:jc w:val="both"/>
        <w:rPr>
          <w:lang w:val="mn-MN"/>
        </w:rPr>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rPr>
          <w:noProof/>
        </w:rPr>
        <w:lastRenderedPageBreak/>
        <w:drawing>
          <wp:anchor distT="0" distB="0" distL="114300" distR="114300" simplePos="0" relativeHeight="251658246" behindDoc="0" locked="0" layoutInCell="1" allowOverlap="1" wp14:anchorId="7C6BABCE" wp14:editId="5C5E967A">
            <wp:simplePos x="0" y="0"/>
            <wp:positionH relativeFrom="margin">
              <wp:posOffset>141605</wp:posOffset>
            </wp:positionH>
            <wp:positionV relativeFrom="paragraph">
              <wp:posOffset>195580</wp:posOffset>
            </wp:positionV>
            <wp:extent cx="6067425" cy="1971675"/>
            <wp:effectExtent l="0" t="0" r="9525" b="9525"/>
            <wp:wrapSquare wrapText="bothSides"/>
            <wp:docPr id="15" name="Chart 15">
              <a:extLst xmlns:a="http://schemas.openxmlformats.org/drawingml/2006/main">
                <a:ext uri="{FF2B5EF4-FFF2-40B4-BE49-F238E27FC236}">
                  <a16:creationId xmlns:a16="http://schemas.microsoft.com/office/drawing/2014/main" id="{5FBBA137-5CD5-46BE-ADD1-A42C208373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B6A0A" w:rsidRPr="0046672D">
        <w:rPr>
          <w:rFonts w:ascii="Arial" w:hAnsi="Arial" w:cs="Arial"/>
          <w:i/>
          <w:color w:val="000000"/>
          <w:sz w:val="20"/>
          <w:szCs w:val="20"/>
          <w:shd w:val="clear" w:color="auto" w:fill="FFFFFF"/>
          <w:lang w:val="mn-MN"/>
        </w:rPr>
        <w:t xml:space="preserve">График № 4: Монгол Улсын Засгийн газрын зээлжих зэрэглэл, 2016-2021 </w:t>
      </w:r>
    </w:p>
    <w:p w14:paraId="0A1B6946" w14:textId="46F17162" w:rsidR="000B6A0A" w:rsidRPr="0046672D" w:rsidRDefault="00524366" w:rsidP="00524366">
      <w:pPr>
        <w:pStyle w:val="NoSpacing"/>
        <w:spacing w:line="240" w:lineRule="auto"/>
      </w:pPr>
      <w:r w:rsidRPr="0046672D">
        <w:rPr>
          <w:rFonts w:ascii="Arial" w:hAnsi="Arial" w:cs="Arial"/>
          <w:i/>
        </w:rPr>
        <w:tab/>
      </w:r>
      <w:r w:rsidRPr="0046672D">
        <w:rPr>
          <w:rFonts w:ascii="Arial" w:hAnsi="Arial" w:cs="Arial"/>
          <w:i/>
        </w:rPr>
        <w:tab/>
      </w:r>
      <w:r w:rsidRPr="0046672D">
        <w:rPr>
          <w:rFonts w:ascii="Arial" w:hAnsi="Arial" w:cs="Arial"/>
          <w:i/>
        </w:rPr>
        <w:tab/>
      </w:r>
      <w:r w:rsidRPr="0046672D">
        <w:rPr>
          <w:rFonts w:ascii="Arial" w:hAnsi="Arial" w:cs="Arial"/>
          <w:i/>
        </w:rPr>
        <w:tab/>
      </w:r>
      <w:r w:rsidRPr="0046672D">
        <w:rPr>
          <w:rFonts w:ascii="Arial" w:hAnsi="Arial" w:cs="Arial"/>
          <w:i/>
        </w:rPr>
        <w:tab/>
      </w:r>
      <w:r w:rsidRPr="0046672D">
        <w:rPr>
          <w:rFonts w:ascii="Arial" w:hAnsi="Arial" w:cs="Arial"/>
          <w:i/>
        </w:rPr>
        <w:tab/>
      </w:r>
      <w:r w:rsidRPr="0046672D">
        <w:rPr>
          <w:rFonts w:ascii="Arial" w:hAnsi="Arial" w:cs="Arial"/>
          <w:i/>
        </w:rPr>
        <w:tab/>
      </w:r>
      <w:r w:rsidRPr="0046672D">
        <w:rPr>
          <w:rFonts w:ascii="Arial" w:hAnsi="Arial" w:cs="Arial"/>
          <w:i/>
        </w:rPr>
        <w:tab/>
      </w:r>
      <w:r w:rsidRPr="0046672D">
        <w:rPr>
          <w:rFonts w:ascii="Arial" w:hAnsi="Arial" w:cs="Arial"/>
          <w:i/>
        </w:rPr>
        <w:tab/>
      </w:r>
      <w:r w:rsidRPr="0046672D">
        <w:rPr>
          <w:rFonts w:ascii="Arial" w:hAnsi="Arial" w:cs="Arial"/>
          <w:i/>
        </w:rPr>
        <w:tab/>
      </w:r>
      <w:r w:rsidR="000B6A0A" w:rsidRPr="0046672D">
        <w:rPr>
          <w:rFonts w:ascii="Arial" w:hAnsi="Arial" w:cs="Arial"/>
          <w:i/>
        </w:rPr>
        <w:t>Эх сурвалж: Сангийн яам</w:t>
      </w:r>
    </w:p>
    <w:p w14:paraId="58A26171" w14:textId="77777777" w:rsidR="000B6A0A" w:rsidRPr="0046672D" w:rsidRDefault="000B6A0A" w:rsidP="000B6A0A">
      <w:pPr>
        <w:pStyle w:val="Heading3"/>
        <w:spacing w:before="0" w:line="240" w:lineRule="auto"/>
        <w:rPr>
          <w:rFonts w:ascii="Arial" w:hAnsi="Arial" w:cs="Arial"/>
          <w:b/>
          <w:color w:val="auto"/>
        </w:rPr>
      </w:pPr>
      <w:r w:rsidRPr="0046672D">
        <w:rPr>
          <w:rFonts w:ascii="Arial" w:hAnsi="Arial" w:cs="Arial"/>
          <w:b/>
          <w:color w:val="auto"/>
        </w:rPr>
        <w:tab/>
        <w:t>1.2.3.Гадаад зээл</w:t>
      </w:r>
    </w:p>
    <w:p w14:paraId="68812309" w14:textId="3DA4CEA8" w:rsidR="000B6A0A" w:rsidRPr="0046672D" w:rsidRDefault="000B6A0A" w:rsidP="000B6A0A">
      <w:pPr>
        <w:spacing w:after="0" w:line="240" w:lineRule="auto"/>
        <w:ind w:firstLine="709"/>
        <w:jc w:val="both"/>
        <w:textAlignment w:val="baseline"/>
        <w:rPr>
          <w:rFonts w:ascii="Arial" w:hAnsi="Arial" w:cs="Arial"/>
          <w:sz w:val="24"/>
          <w:szCs w:val="24"/>
          <w:lang w:val="mn-MN"/>
        </w:rPr>
      </w:pPr>
      <w:r w:rsidRPr="0046672D">
        <w:rPr>
          <w:rFonts w:ascii="Times New Roman" w:eastAsia="Times New Roman" w:hAnsi="Times New Roman" w:cs="Times New Roman"/>
          <w:sz w:val="24"/>
          <w:szCs w:val="24"/>
          <w:lang w:val="mn-MN"/>
        </w:rPr>
        <w:tab/>
      </w:r>
      <w:r w:rsidRPr="0046672D">
        <w:rPr>
          <w:rFonts w:ascii="Arial" w:eastAsia="Times New Roman" w:hAnsi="Arial" w:cs="Arial"/>
          <w:sz w:val="24"/>
          <w:szCs w:val="24"/>
          <w:lang w:val="mn-MN"/>
        </w:rPr>
        <w:t xml:space="preserve">Монгол Улсын Засгийн газар 1991 оноос Дэлхийн банк, Азийн хөгжлийн банкны гишүүнээр элсэн орсноос хойш олон талт болон хоёр талт зээлдүүлэгчдээс хөнгөлөлттэй нөхцөлтэй зээл, тусламж, техник туслалцааг авч ашиглаж ирсэн билээ. Улмаар 2021 оны эцэст нийт гадаад зээлийн </w:t>
      </w:r>
      <w:r w:rsidRPr="0046672D">
        <w:rPr>
          <w:rFonts w:ascii="Arial" w:hAnsi="Arial" w:cs="Arial"/>
          <w:sz w:val="24"/>
          <w:szCs w:val="24"/>
          <w:lang w:val="mn-MN"/>
        </w:rPr>
        <w:t>үлдэгдэл 16,517.</w:t>
      </w:r>
      <w:r w:rsidR="00D91072" w:rsidRPr="0046672D">
        <w:rPr>
          <w:rFonts w:ascii="Arial" w:hAnsi="Arial" w:cs="Arial"/>
          <w:sz w:val="24"/>
          <w:szCs w:val="24"/>
          <w:lang w:val="mn-MN"/>
        </w:rPr>
        <w:t>7</w:t>
      </w:r>
      <w:r w:rsidRPr="0046672D">
        <w:rPr>
          <w:rFonts w:ascii="Arial" w:hAnsi="Arial" w:cs="Arial"/>
          <w:sz w:val="24"/>
          <w:szCs w:val="24"/>
          <w:lang w:val="mn-MN"/>
        </w:rPr>
        <w:t> тэрбум төгрөгтэй тэнцэж байна. Энэ нь Засгийн газрын нийт өрийн багцын 60.7 хувьтай тэнцэх дүн юм. Олон улсын банк санхүүгийн байгууллага, түншлэгч орнуудаас олгосон хөнгөлөлттэй зээлийн хөрөнгөөр хэрэгжүүлж буй 92 төсөл, хөтөлбөрийн хүрээнд 2021 онд нийт 1,391.4 тэрбум төгрөгийг авч ашигласнаас 285.0 тэрбум төгрөгийг төсвийн дэмжлэгийн зориулалтаар, 1,106.4 тэрбум төгрөгийг төсөл, хөтөлбөр хэрэгжүүлэх зориулалтаар авч ашиглажээ.</w:t>
      </w:r>
    </w:p>
    <w:p w14:paraId="3D29FB31" w14:textId="77777777" w:rsidR="000B6A0A" w:rsidRPr="0046672D" w:rsidRDefault="000B6A0A" w:rsidP="000B6A0A">
      <w:pPr>
        <w:spacing w:before="240" w:after="0"/>
        <w:rPr>
          <w:rFonts w:ascii="Arial" w:hAnsi="Arial" w:cs="Arial"/>
          <w:i/>
          <w:sz w:val="24"/>
          <w:szCs w:val="24"/>
          <w:lang w:val="mn-MN"/>
        </w:rPr>
      </w:pPr>
      <w:r w:rsidRPr="0046672D">
        <w:rPr>
          <w:rFonts w:ascii="Arial" w:hAnsi="Arial" w:cs="Arial"/>
          <w:i/>
          <w:sz w:val="24"/>
          <w:szCs w:val="24"/>
          <w:lang w:val="mn-MN"/>
        </w:rPr>
        <w:tab/>
      </w:r>
      <w:r w:rsidRPr="0046672D">
        <w:rPr>
          <w:rFonts w:ascii="Arial" w:hAnsi="Arial" w:cs="Arial"/>
          <w:i/>
          <w:sz w:val="20"/>
          <w:szCs w:val="20"/>
          <w:lang w:val="mn-MN"/>
        </w:rPr>
        <w:t xml:space="preserve">Хүснэгт №4: Гадаад зээлийн ашиглалт, 2019-2021 он </w:t>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t>/тэрбум төгрөг/</w:t>
      </w:r>
    </w:p>
    <w:tbl>
      <w:tblPr>
        <w:tblW w:w="9760" w:type="dxa"/>
        <w:tblInd w:w="-5" w:type="dxa"/>
        <w:tblLook w:val="04A0" w:firstRow="1" w:lastRow="0" w:firstColumn="1" w:lastColumn="0" w:noHBand="0" w:noVBand="1"/>
      </w:tblPr>
      <w:tblGrid>
        <w:gridCol w:w="3113"/>
        <w:gridCol w:w="2525"/>
        <w:gridCol w:w="2078"/>
        <w:gridCol w:w="2044"/>
      </w:tblGrid>
      <w:tr w:rsidR="000B6A0A" w:rsidRPr="0046672D" w14:paraId="7B31D7AB" w14:textId="77777777" w:rsidTr="00901ED0">
        <w:trPr>
          <w:trHeight w:val="215"/>
        </w:trPr>
        <w:tc>
          <w:tcPr>
            <w:tcW w:w="3113"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0E96685C" w14:textId="77777777" w:rsidR="000B6A0A" w:rsidRPr="0046672D" w:rsidRDefault="000B6A0A" w:rsidP="00F51A8E">
            <w:pPr>
              <w:spacing w:after="0" w:line="240" w:lineRule="auto"/>
              <w:jc w:val="center"/>
              <w:rPr>
                <w:rFonts w:ascii="Arial" w:eastAsia="Times New Roman" w:hAnsi="Arial" w:cs="Arial"/>
                <w:b/>
                <w:lang w:val="mn-MN"/>
              </w:rPr>
            </w:pPr>
            <w:r w:rsidRPr="0046672D">
              <w:rPr>
                <w:rFonts w:ascii="Arial" w:eastAsia="Times New Roman" w:hAnsi="Arial" w:cs="Arial"/>
                <w:b/>
                <w:lang w:val="mn-MN"/>
              </w:rPr>
              <w:t>Төрөл</w:t>
            </w:r>
          </w:p>
        </w:tc>
        <w:tc>
          <w:tcPr>
            <w:tcW w:w="2525"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3B2E57EE" w14:textId="77777777" w:rsidR="000B6A0A" w:rsidRPr="0046672D" w:rsidRDefault="000B6A0A" w:rsidP="00F51A8E">
            <w:pPr>
              <w:spacing w:after="0" w:line="240" w:lineRule="auto"/>
              <w:jc w:val="center"/>
              <w:rPr>
                <w:rFonts w:ascii="Arial" w:eastAsia="Times New Roman" w:hAnsi="Arial" w:cs="Arial"/>
                <w:b/>
                <w:lang w:val="mn-MN"/>
              </w:rPr>
            </w:pPr>
            <w:r w:rsidRPr="0046672D">
              <w:rPr>
                <w:rFonts w:ascii="Arial" w:eastAsia="Times New Roman" w:hAnsi="Arial" w:cs="Arial"/>
                <w:b/>
                <w:lang w:val="mn-MN"/>
              </w:rPr>
              <w:t>2019</w:t>
            </w:r>
          </w:p>
        </w:tc>
        <w:tc>
          <w:tcPr>
            <w:tcW w:w="2078"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7BF01C60" w14:textId="77777777" w:rsidR="000B6A0A" w:rsidRPr="0046672D" w:rsidRDefault="000B6A0A" w:rsidP="00F51A8E">
            <w:pPr>
              <w:spacing w:after="0" w:line="240" w:lineRule="auto"/>
              <w:jc w:val="center"/>
              <w:rPr>
                <w:rFonts w:ascii="Arial" w:eastAsia="Times New Roman" w:hAnsi="Arial" w:cs="Arial"/>
                <w:b/>
                <w:lang w:val="mn-MN"/>
              </w:rPr>
            </w:pPr>
            <w:r w:rsidRPr="0046672D">
              <w:rPr>
                <w:rFonts w:ascii="Arial" w:eastAsia="Times New Roman" w:hAnsi="Arial" w:cs="Arial"/>
                <w:b/>
                <w:lang w:val="mn-MN"/>
              </w:rPr>
              <w:t>2020</w:t>
            </w:r>
          </w:p>
        </w:tc>
        <w:tc>
          <w:tcPr>
            <w:tcW w:w="2044"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457D83B0" w14:textId="77777777" w:rsidR="000B6A0A" w:rsidRPr="0046672D" w:rsidRDefault="000B6A0A" w:rsidP="00F51A8E">
            <w:pPr>
              <w:spacing w:after="0" w:line="240" w:lineRule="auto"/>
              <w:jc w:val="center"/>
              <w:rPr>
                <w:rFonts w:ascii="Arial" w:eastAsia="Times New Roman" w:hAnsi="Arial" w:cs="Arial"/>
                <w:b/>
                <w:lang w:val="mn-MN"/>
              </w:rPr>
            </w:pPr>
            <w:r w:rsidRPr="0046672D">
              <w:rPr>
                <w:rFonts w:ascii="Arial" w:eastAsia="Times New Roman" w:hAnsi="Arial" w:cs="Arial"/>
                <w:b/>
                <w:lang w:val="mn-MN"/>
              </w:rPr>
              <w:t>2021</w:t>
            </w:r>
          </w:p>
        </w:tc>
      </w:tr>
      <w:tr w:rsidR="000B6A0A" w:rsidRPr="0046672D" w14:paraId="79670D08" w14:textId="77777777" w:rsidTr="00901ED0">
        <w:trPr>
          <w:trHeight w:val="281"/>
        </w:trPr>
        <w:tc>
          <w:tcPr>
            <w:tcW w:w="3113" w:type="dxa"/>
            <w:tcBorders>
              <w:top w:val="nil"/>
              <w:left w:val="single" w:sz="4" w:space="0" w:color="auto"/>
              <w:bottom w:val="single" w:sz="4" w:space="0" w:color="auto"/>
              <w:right w:val="single" w:sz="4" w:space="0" w:color="auto"/>
            </w:tcBorders>
            <w:shd w:val="clear" w:color="auto" w:fill="auto"/>
            <w:vAlign w:val="center"/>
            <w:hideMark/>
          </w:tcPr>
          <w:p w14:paraId="422BA811" w14:textId="77777777" w:rsidR="000B6A0A" w:rsidRPr="0046672D" w:rsidRDefault="000B6A0A" w:rsidP="00F51A8E">
            <w:pPr>
              <w:spacing w:after="0" w:line="240" w:lineRule="auto"/>
              <w:rPr>
                <w:rFonts w:ascii="Arial" w:eastAsia="Times New Roman" w:hAnsi="Arial" w:cs="Arial"/>
                <w:color w:val="000000"/>
                <w:lang w:val="mn-MN"/>
              </w:rPr>
            </w:pPr>
            <w:r w:rsidRPr="0046672D">
              <w:rPr>
                <w:rFonts w:ascii="Arial" w:eastAsia="Times New Roman" w:hAnsi="Arial" w:cs="Arial"/>
                <w:color w:val="000000"/>
                <w:lang w:val="mn-MN"/>
              </w:rPr>
              <w:t>Хөтөлбөрийн зээл</w:t>
            </w:r>
          </w:p>
        </w:tc>
        <w:tc>
          <w:tcPr>
            <w:tcW w:w="2525" w:type="dxa"/>
            <w:tcBorders>
              <w:top w:val="nil"/>
              <w:left w:val="nil"/>
              <w:bottom w:val="single" w:sz="4" w:space="0" w:color="auto"/>
              <w:right w:val="single" w:sz="4" w:space="0" w:color="auto"/>
            </w:tcBorders>
            <w:shd w:val="clear" w:color="auto" w:fill="auto"/>
            <w:noWrap/>
            <w:vAlign w:val="center"/>
            <w:hideMark/>
          </w:tcPr>
          <w:p w14:paraId="1FDB7237" w14:textId="77777777" w:rsidR="000B6A0A" w:rsidRPr="0046672D" w:rsidRDefault="000B6A0A" w:rsidP="00F51A8E">
            <w:pPr>
              <w:spacing w:after="0" w:line="240" w:lineRule="auto"/>
              <w:jc w:val="right"/>
              <w:rPr>
                <w:rFonts w:ascii="Arial" w:eastAsia="Times New Roman" w:hAnsi="Arial" w:cs="Arial"/>
                <w:lang w:val="mn-MN"/>
              </w:rPr>
            </w:pPr>
            <w:r w:rsidRPr="0046672D">
              <w:rPr>
                <w:rFonts w:ascii="Arial" w:eastAsia="Times New Roman" w:hAnsi="Arial" w:cs="Arial"/>
                <w:lang w:val="mn-MN"/>
              </w:rPr>
              <w:t xml:space="preserve">409.5 </w:t>
            </w:r>
          </w:p>
        </w:tc>
        <w:tc>
          <w:tcPr>
            <w:tcW w:w="2078" w:type="dxa"/>
            <w:tcBorders>
              <w:top w:val="nil"/>
              <w:left w:val="nil"/>
              <w:bottom w:val="single" w:sz="4" w:space="0" w:color="auto"/>
              <w:right w:val="single" w:sz="4" w:space="0" w:color="auto"/>
            </w:tcBorders>
            <w:shd w:val="clear" w:color="auto" w:fill="auto"/>
            <w:noWrap/>
            <w:vAlign w:val="center"/>
            <w:hideMark/>
          </w:tcPr>
          <w:p w14:paraId="40B959E2" w14:textId="77777777" w:rsidR="000B6A0A" w:rsidRPr="0046672D" w:rsidRDefault="000B6A0A" w:rsidP="00F51A8E">
            <w:pPr>
              <w:spacing w:after="0" w:line="240" w:lineRule="auto"/>
              <w:jc w:val="right"/>
              <w:rPr>
                <w:rFonts w:ascii="Arial" w:eastAsia="Times New Roman" w:hAnsi="Arial" w:cs="Arial"/>
                <w:lang w:val="mn-MN"/>
              </w:rPr>
            </w:pPr>
            <w:r w:rsidRPr="0046672D">
              <w:rPr>
                <w:rFonts w:ascii="Arial" w:eastAsia="Times New Roman" w:hAnsi="Arial" w:cs="Arial"/>
                <w:lang w:val="mn-MN"/>
              </w:rPr>
              <w:t xml:space="preserve">1,978.1 </w:t>
            </w:r>
          </w:p>
        </w:tc>
        <w:tc>
          <w:tcPr>
            <w:tcW w:w="2044" w:type="dxa"/>
            <w:tcBorders>
              <w:top w:val="nil"/>
              <w:left w:val="nil"/>
              <w:bottom w:val="single" w:sz="4" w:space="0" w:color="auto"/>
              <w:right w:val="single" w:sz="4" w:space="0" w:color="auto"/>
            </w:tcBorders>
            <w:shd w:val="clear" w:color="auto" w:fill="auto"/>
            <w:noWrap/>
            <w:vAlign w:val="center"/>
            <w:hideMark/>
          </w:tcPr>
          <w:p w14:paraId="21BA0BE5" w14:textId="77777777" w:rsidR="000B6A0A" w:rsidRPr="0046672D" w:rsidRDefault="000B6A0A" w:rsidP="00F51A8E">
            <w:pPr>
              <w:spacing w:after="0" w:line="240" w:lineRule="auto"/>
              <w:jc w:val="right"/>
              <w:rPr>
                <w:rFonts w:ascii="Arial" w:eastAsia="Times New Roman" w:hAnsi="Arial" w:cs="Arial"/>
                <w:lang w:val="mn-MN"/>
              </w:rPr>
            </w:pPr>
            <w:r w:rsidRPr="0046672D">
              <w:rPr>
                <w:rFonts w:ascii="Arial" w:eastAsia="Times New Roman" w:hAnsi="Arial" w:cs="Arial"/>
                <w:lang w:val="mn-MN"/>
              </w:rPr>
              <w:t>285.0</w:t>
            </w:r>
          </w:p>
        </w:tc>
      </w:tr>
      <w:tr w:rsidR="000B6A0A" w:rsidRPr="0046672D" w14:paraId="309A2602" w14:textId="77777777" w:rsidTr="00901ED0">
        <w:trPr>
          <w:trHeight w:val="434"/>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14:paraId="016BD8A2" w14:textId="77777777" w:rsidR="000B6A0A" w:rsidRPr="0046672D" w:rsidRDefault="000B6A0A" w:rsidP="00F51A8E">
            <w:pPr>
              <w:spacing w:after="0" w:line="240" w:lineRule="auto"/>
              <w:rPr>
                <w:rFonts w:ascii="Arial" w:eastAsia="Times New Roman" w:hAnsi="Arial" w:cs="Arial"/>
                <w:lang w:val="mn-MN"/>
              </w:rPr>
            </w:pPr>
            <w:r w:rsidRPr="0046672D">
              <w:rPr>
                <w:rFonts w:ascii="Arial" w:eastAsia="Times New Roman" w:hAnsi="Arial" w:cs="Arial"/>
                <w:lang w:val="mn-MN"/>
              </w:rPr>
              <w:t>Төслийн зээл</w:t>
            </w:r>
          </w:p>
        </w:tc>
        <w:tc>
          <w:tcPr>
            <w:tcW w:w="2525" w:type="dxa"/>
            <w:tcBorders>
              <w:top w:val="nil"/>
              <w:left w:val="nil"/>
              <w:bottom w:val="single" w:sz="4" w:space="0" w:color="auto"/>
              <w:right w:val="single" w:sz="4" w:space="0" w:color="auto"/>
            </w:tcBorders>
            <w:shd w:val="clear" w:color="auto" w:fill="auto"/>
            <w:noWrap/>
            <w:vAlign w:val="center"/>
            <w:hideMark/>
          </w:tcPr>
          <w:p w14:paraId="2162618C" w14:textId="77777777" w:rsidR="000B6A0A" w:rsidRPr="0046672D" w:rsidRDefault="000B6A0A" w:rsidP="00F51A8E">
            <w:pPr>
              <w:spacing w:after="0" w:line="240" w:lineRule="auto"/>
              <w:jc w:val="right"/>
              <w:rPr>
                <w:rFonts w:ascii="Arial" w:eastAsia="Times New Roman" w:hAnsi="Arial" w:cs="Arial"/>
                <w:lang w:val="mn-MN"/>
              </w:rPr>
            </w:pPr>
            <w:r w:rsidRPr="0046672D">
              <w:rPr>
                <w:rFonts w:ascii="Arial" w:eastAsia="Times New Roman" w:hAnsi="Arial" w:cs="Arial"/>
                <w:lang w:val="mn-MN"/>
              </w:rPr>
              <w:t xml:space="preserve">1,229.1 </w:t>
            </w:r>
          </w:p>
        </w:tc>
        <w:tc>
          <w:tcPr>
            <w:tcW w:w="2078" w:type="dxa"/>
            <w:tcBorders>
              <w:top w:val="nil"/>
              <w:left w:val="nil"/>
              <w:bottom w:val="single" w:sz="4" w:space="0" w:color="auto"/>
              <w:right w:val="single" w:sz="4" w:space="0" w:color="auto"/>
            </w:tcBorders>
            <w:shd w:val="clear" w:color="auto" w:fill="auto"/>
            <w:noWrap/>
            <w:vAlign w:val="center"/>
            <w:hideMark/>
          </w:tcPr>
          <w:p w14:paraId="5644EF28" w14:textId="77777777" w:rsidR="000B6A0A" w:rsidRPr="0046672D" w:rsidRDefault="000B6A0A" w:rsidP="00F51A8E">
            <w:pPr>
              <w:spacing w:after="0" w:line="240" w:lineRule="auto"/>
              <w:jc w:val="right"/>
              <w:rPr>
                <w:rFonts w:ascii="Arial" w:eastAsia="Times New Roman" w:hAnsi="Arial" w:cs="Arial"/>
                <w:lang w:val="mn-MN"/>
              </w:rPr>
            </w:pPr>
            <w:r w:rsidRPr="0046672D">
              <w:rPr>
                <w:rFonts w:ascii="Arial" w:eastAsia="Times New Roman" w:hAnsi="Arial" w:cs="Arial"/>
                <w:lang w:val="mn-MN"/>
              </w:rPr>
              <w:t xml:space="preserve">1,390.3 </w:t>
            </w:r>
          </w:p>
        </w:tc>
        <w:tc>
          <w:tcPr>
            <w:tcW w:w="2044" w:type="dxa"/>
            <w:tcBorders>
              <w:top w:val="nil"/>
              <w:left w:val="nil"/>
              <w:bottom w:val="single" w:sz="4" w:space="0" w:color="auto"/>
              <w:right w:val="single" w:sz="4" w:space="0" w:color="auto"/>
            </w:tcBorders>
            <w:shd w:val="clear" w:color="auto" w:fill="auto"/>
            <w:noWrap/>
            <w:vAlign w:val="center"/>
            <w:hideMark/>
          </w:tcPr>
          <w:p w14:paraId="2D97B8D2" w14:textId="77777777" w:rsidR="000B6A0A" w:rsidRPr="0046672D" w:rsidRDefault="000B6A0A" w:rsidP="00F51A8E">
            <w:pPr>
              <w:spacing w:after="0" w:line="240" w:lineRule="auto"/>
              <w:jc w:val="right"/>
              <w:rPr>
                <w:rFonts w:ascii="Arial" w:eastAsia="Times New Roman" w:hAnsi="Arial" w:cs="Arial"/>
                <w:lang w:val="mn-MN"/>
              </w:rPr>
            </w:pPr>
            <w:r w:rsidRPr="0046672D">
              <w:rPr>
                <w:rFonts w:ascii="Arial" w:eastAsia="Times New Roman" w:hAnsi="Arial" w:cs="Arial"/>
                <w:lang w:val="mn-MN"/>
              </w:rPr>
              <w:t xml:space="preserve">1,106.4 </w:t>
            </w:r>
          </w:p>
        </w:tc>
      </w:tr>
      <w:tr w:rsidR="000B6A0A" w:rsidRPr="0046672D" w14:paraId="087AD1B4" w14:textId="77777777" w:rsidTr="00901ED0">
        <w:trPr>
          <w:trHeight w:val="317"/>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14:paraId="24B0ECC6" w14:textId="77777777" w:rsidR="000B6A0A" w:rsidRPr="0046672D" w:rsidRDefault="000B6A0A" w:rsidP="00F51A8E">
            <w:pPr>
              <w:spacing w:after="0" w:line="240" w:lineRule="auto"/>
              <w:rPr>
                <w:rFonts w:ascii="Arial" w:eastAsia="Times New Roman" w:hAnsi="Arial" w:cs="Arial"/>
                <w:b/>
                <w:lang w:val="mn-MN"/>
              </w:rPr>
            </w:pPr>
            <w:r w:rsidRPr="0046672D">
              <w:rPr>
                <w:rFonts w:ascii="Arial" w:eastAsia="Times New Roman" w:hAnsi="Arial" w:cs="Arial"/>
                <w:b/>
                <w:lang w:val="mn-MN"/>
              </w:rPr>
              <w:t>НИЙТ</w:t>
            </w:r>
          </w:p>
        </w:tc>
        <w:tc>
          <w:tcPr>
            <w:tcW w:w="2525" w:type="dxa"/>
            <w:tcBorders>
              <w:top w:val="nil"/>
              <w:left w:val="nil"/>
              <w:bottom w:val="single" w:sz="4" w:space="0" w:color="auto"/>
              <w:right w:val="single" w:sz="4" w:space="0" w:color="auto"/>
            </w:tcBorders>
            <w:shd w:val="clear" w:color="auto" w:fill="auto"/>
            <w:noWrap/>
            <w:vAlign w:val="center"/>
            <w:hideMark/>
          </w:tcPr>
          <w:p w14:paraId="32783DCC" w14:textId="77777777" w:rsidR="000B6A0A" w:rsidRPr="0046672D" w:rsidRDefault="000B6A0A" w:rsidP="00F51A8E">
            <w:pPr>
              <w:spacing w:after="0" w:line="240" w:lineRule="auto"/>
              <w:jc w:val="right"/>
              <w:rPr>
                <w:rFonts w:ascii="Arial" w:eastAsia="Times New Roman" w:hAnsi="Arial" w:cs="Arial"/>
                <w:b/>
                <w:lang w:val="mn-MN"/>
              </w:rPr>
            </w:pPr>
            <w:r w:rsidRPr="0046672D">
              <w:rPr>
                <w:rFonts w:ascii="Arial" w:eastAsia="Times New Roman" w:hAnsi="Arial" w:cs="Arial"/>
                <w:b/>
                <w:lang w:val="mn-MN"/>
              </w:rPr>
              <w:t xml:space="preserve">1,638.6 </w:t>
            </w:r>
          </w:p>
        </w:tc>
        <w:tc>
          <w:tcPr>
            <w:tcW w:w="2078" w:type="dxa"/>
            <w:tcBorders>
              <w:top w:val="nil"/>
              <w:left w:val="nil"/>
              <w:bottom w:val="single" w:sz="4" w:space="0" w:color="auto"/>
              <w:right w:val="single" w:sz="4" w:space="0" w:color="auto"/>
            </w:tcBorders>
            <w:shd w:val="clear" w:color="auto" w:fill="auto"/>
            <w:noWrap/>
            <w:vAlign w:val="center"/>
            <w:hideMark/>
          </w:tcPr>
          <w:p w14:paraId="49E79B18" w14:textId="77777777" w:rsidR="000B6A0A" w:rsidRPr="0046672D" w:rsidRDefault="000B6A0A" w:rsidP="00F51A8E">
            <w:pPr>
              <w:spacing w:after="0" w:line="240" w:lineRule="auto"/>
              <w:jc w:val="right"/>
              <w:rPr>
                <w:rFonts w:ascii="Arial" w:eastAsia="Times New Roman" w:hAnsi="Arial" w:cs="Arial"/>
                <w:b/>
                <w:lang w:val="mn-MN"/>
              </w:rPr>
            </w:pPr>
            <w:r w:rsidRPr="0046672D">
              <w:rPr>
                <w:rFonts w:ascii="Arial" w:eastAsia="Times New Roman" w:hAnsi="Arial" w:cs="Arial"/>
                <w:b/>
                <w:lang w:val="mn-MN"/>
              </w:rPr>
              <w:t xml:space="preserve">3,368.4 </w:t>
            </w:r>
          </w:p>
        </w:tc>
        <w:tc>
          <w:tcPr>
            <w:tcW w:w="2044" w:type="dxa"/>
            <w:tcBorders>
              <w:top w:val="nil"/>
              <w:left w:val="nil"/>
              <w:bottom w:val="single" w:sz="4" w:space="0" w:color="auto"/>
              <w:right w:val="single" w:sz="4" w:space="0" w:color="auto"/>
            </w:tcBorders>
            <w:shd w:val="clear" w:color="auto" w:fill="auto"/>
            <w:noWrap/>
            <w:vAlign w:val="center"/>
            <w:hideMark/>
          </w:tcPr>
          <w:p w14:paraId="5535B558" w14:textId="77777777" w:rsidR="000B6A0A" w:rsidRPr="0046672D" w:rsidRDefault="000B6A0A" w:rsidP="00F51A8E">
            <w:pPr>
              <w:spacing w:after="0" w:line="240" w:lineRule="auto"/>
              <w:jc w:val="right"/>
              <w:rPr>
                <w:rFonts w:ascii="Arial" w:eastAsia="Times New Roman" w:hAnsi="Arial" w:cs="Arial"/>
                <w:b/>
                <w:lang w:val="mn-MN"/>
              </w:rPr>
            </w:pPr>
            <w:r w:rsidRPr="0046672D">
              <w:rPr>
                <w:rFonts w:ascii="Arial" w:eastAsia="Times New Roman" w:hAnsi="Arial" w:cs="Arial"/>
                <w:b/>
                <w:lang w:val="mn-MN"/>
              </w:rPr>
              <w:t xml:space="preserve">1,391.4 </w:t>
            </w:r>
          </w:p>
        </w:tc>
      </w:tr>
    </w:tbl>
    <w:p w14:paraId="6ACBACF9" w14:textId="77777777" w:rsidR="000B6A0A" w:rsidRPr="0046672D" w:rsidRDefault="000B6A0A" w:rsidP="000B6A0A">
      <w:pPr>
        <w:spacing w:line="240" w:lineRule="auto"/>
        <w:ind w:left="6480" w:firstLine="720"/>
        <w:jc w:val="both"/>
        <w:textAlignment w:val="baseline"/>
        <w:rPr>
          <w:rFonts w:ascii="Arial" w:hAnsi="Arial" w:cs="Arial"/>
          <w:sz w:val="24"/>
          <w:szCs w:val="24"/>
          <w:lang w:val="mn-MN"/>
        </w:rPr>
      </w:pPr>
      <w:r w:rsidRPr="0046672D">
        <w:rPr>
          <w:rFonts w:ascii="Arial" w:hAnsi="Arial" w:cs="Arial"/>
          <w:i/>
          <w:lang w:val="mn-MN"/>
        </w:rPr>
        <w:t>Эх сурвалж: Сангийн яам</w:t>
      </w:r>
    </w:p>
    <w:p w14:paraId="22B7AA58" w14:textId="77777777" w:rsidR="000B6A0A" w:rsidRPr="0046672D" w:rsidRDefault="000B6A0A" w:rsidP="000B6A0A">
      <w:pPr>
        <w:spacing w:before="240" w:line="240" w:lineRule="auto"/>
        <w:ind w:firstLine="709"/>
        <w:jc w:val="both"/>
        <w:textAlignment w:val="baseline"/>
        <w:rPr>
          <w:rFonts w:ascii="Arial" w:eastAsia="Times New Roman" w:hAnsi="Arial" w:cs="Arial"/>
          <w:sz w:val="24"/>
          <w:szCs w:val="24"/>
          <w:lang w:val="mn-MN"/>
        </w:rPr>
      </w:pPr>
      <w:r w:rsidRPr="0046672D">
        <w:rPr>
          <w:rFonts w:ascii="Arial" w:eastAsia="Times New Roman" w:hAnsi="Arial" w:cs="Arial"/>
          <w:sz w:val="24"/>
          <w:szCs w:val="24"/>
          <w:lang w:val="mn-MN"/>
        </w:rPr>
        <w:t>Монгол Улсын Засгийн газар олон улсын гэрээгээр хүлээсэн үүргээ бүрэн биелүүлж 2021 онд гадаад зээлийн үйлчилгээний төлбөрт нийт 945.7 тэрбум төгрөгийг төлөхдөө үндсэн төлбөрт 732.8 тэрбум төгрөг, хүүгийн төлбөрт 212.9 тэрбум төгрөгийг тус тус төлсөн.</w:t>
      </w:r>
    </w:p>
    <w:p w14:paraId="7B0EBC5F" w14:textId="77777777" w:rsidR="000B6A0A" w:rsidRPr="0046672D" w:rsidRDefault="000B6A0A" w:rsidP="000B6A0A">
      <w:pPr>
        <w:spacing w:after="0" w:line="240" w:lineRule="auto"/>
        <w:ind w:firstLine="709"/>
        <w:jc w:val="both"/>
        <w:textAlignment w:val="baseline"/>
        <w:rPr>
          <w:rFonts w:ascii="Arial" w:hAnsi="Arial" w:cs="Arial"/>
          <w:i/>
          <w:sz w:val="24"/>
          <w:szCs w:val="24"/>
          <w:lang w:val="mn-MN"/>
        </w:rPr>
      </w:pPr>
      <w:r w:rsidRPr="0046672D">
        <w:rPr>
          <w:rFonts w:ascii="Arial" w:hAnsi="Arial" w:cs="Arial"/>
          <w:i/>
          <w:sz w:val="24"/>
          <w:szCs w:val="24"/>
          <w:lang w:val="mn-MN"/>
        </w:rPr>
        <w:tab/>
      </w:r>
      <w:r w:rsidRPr="0046672D">
        <w:rPr>
          <w:rFonts w:ascii="Arial" w:hAnsi="Arial" w:cs="Arial"/>
          <w:i/>
          <w:sz w:val="20"/>
          <w:szCs w:val="20"/>
          <w:lang w:val="mn-MN"/>
        </w:rPr>
        <w:t>Хүснэгт № 5: Гадаад зээлийн үйлчилгээ, 2019-2021</w:t>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t>/тэрбум.төгрөг/</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1933"/>
        <w:gridCol w:w="2285"/>
        <w:gridCol w:w="2242"/>
      </w:tblGrid>
      <w:tr w:rsidR="000B6A0A" w:rsidRPr="0046672D" w14:paraId="69693ACE" w14:textId="77777777" w:rsidTr="00F51A8E">
        <w:trPr>
          <w:trHeight w:val="316"/>
        </w:trPr>
        <w:tc>
          <w:tcPr>
            <w:tcW w:w="3336" w:type="dxa"/>
            <w:shd w:val="clear" w:color="auto" w:fill="1F3864" w:themeFill="accent1" w:themeFillShade="80"/>
            <w:noWrap/>
            <w:vAlign w:val="center"/>
            <w:hideMark/>
          </w:tcPr>
          <w:p w14:paraId="7F5D7082" w14:textId="77777777" w:rsidR="000B6A0A" w:rsidRPr="0046672D" w:rsidRDefault="000B6A0A" w:rsidP="00F51A8E">
            <w:pPr>
              <w:spacing w:after="0" w:line="240" w:lineRule="auto"/>
              <w:jc w:val="center"/>
              <w:rPr>
                <w:rFonts w:ascii="Arial" w:eastAsia="Times New Roman" w:hAnsi="Arial" w:cs="Arial"/>
                <w:b/>
                <w:color w:val="FFFFFF" w:themeColor="background1"/>
                <w:lang w:val="mn-MN"/>
              </w:rPr>
            </w:pPr>
            <w:r w:rsidRPr="0046672D">
              <w:rPr>
                <w:rFonts w:ascii="Arial" w:eastAsia="Times New Roman" w:hAnsi="Arial" w:cs="Arial"/>
                <w:b/>
                <w:color w:val="FFFFFF" w:themeColor="background1"/>
                <w:lang w:val="mn-MN"/>
              </w:rPr>
              <w:t>Төрөл</w:t>
            </w:r>
          </w:p>
        </w:tc>
        <w:tc>
          <w:tcPr>
            <w:tcW w:w="1933" w:type="dxa"/>
            <w:shd w:val="clear" w:color="auto" w:fill="1F3864" w:themeFill="accent1" w:themeFillShade="80"/>
            <w:noWrap/>
            <w:vAlign w:val="center"/>
            <w:hideMark/>
          </w:tcPr>
          <w:p w14:paraId="3EB22FED" w14:textId="77777777" w:rsidR="000B6A0A" w:rsidRPr="0046672D" w:rsidRDefault="000B6A0A" w:rsidP="00F51A8E">
            <w:pPr>
              <w:spacing w:after="0" w:line="240" w:lineRule="auto"/>
              <w:jc w:val="center"/>
              <w:rPr>
                <w:rFonts w:ascii="Arial" w:eastAsia="Times New Roman" w:hAnsi="Arial" w:cs="Arial"/>
                <w:b/>
                <w:color w:val="FFFFFF" w:themeColor="background1"/>
                <w:lang w:val="mn-MN"/>
              </w:rPr>
            </w:pPr>
            <w:r w:rsidRPr="0046672D">
              <w:rPr>
                <w:rFonts w:ascii="Arial" w:eastAsia="Times New Roman" w:hAnsi="Arial" w:cs="Arial"/>
                <w:b/>
                <w:color w:val="FFFFFF" w:themeColor="background1"/>
                <w:lang w:val="mn-MN"/>
              </w:rPr>
              <w:t>2019</w:t>
            </w:r>
          </w:p>
        </w:tc>
        <w:tc>
          <w:tcPr>
            <w:tcW w:w="2285" w:type="dxa"/>
            <w:shd w:val="clear" w:color="auto" w:fill="1F3864" w:themeFill="accent1" w:themeFillShade="80"/>
            <w:noWrap/>
            <w:vAlign w:val="center"/>
            <w:hideMark/>
          </w:tcPr>
          <w:p w14:paraId="54E564F2" w14:textId="77777777" w:rsidR="000B6A0A" w:rsidRPr="0046672D" w:rsidRDefault="000B6A0A" w:rsidP="00F51A8E">
            <w:pPr>
              <w:spacing w:after="0" w:line="240" w:lineRule="auto"/>
              <w:jc w:val="center"/>
              <w:rPr>
                <w:rFonts w:ascii="Arial" w:eastAsia="Times New Roman" w:hAnsi="Arial" w:cs="Arial"/>
                <w:b/>
                <w:color w:val="FFFFFF" w:themeColor="background1"/>
                <w:lang w:val="mn-MN"/>
              </w:rPr>
            </w:pPr>
            <w:r w:rsidRPr="0046672D">
              <w:rPr>
                <w:rFonts w:ascii="Arial" w:eastAsia="Times New Roman" w:hAnsi="Arial" w:cs="Arial"/>
                <w:b/>
                <w:color w:val="FFFFFF" w:themeColor="background1"/>
                <w:lang w:val="mn-MN"/>
              </w:rPr>
              <w:t>2020</w:t>
            </w:r>
          </w:p>
        </w:tc>
        <w:tc>
          <w:tcPr>
            <w:tcW w:w="2242" w:type="dxa"/>
            <w:shd w:val="clear" w:color="auto" w:fill="1F3864" w:themeFill="accent1" w:themeFillShade="80"/>
            <w:noWrap/>
            <w:vAlign w:val="center"/>
            <w:hideMark/>
          </w:tcPr>
          <w:p w14:paraId="7F5E8D8C" w14:textId="77777777" w:rsidR="000B6A0A" w:rsidRPr="0046672D" w:rsidRDefault="000B6A0A" w:rsidP="00F51A8E">
            <w:pPr>
              <w:spacing w:after="0" w:line="240" w:lineRule="auto"/>
              <w:jc w:val="center"/>
              <w:rPr>
                <w:rFonts w:ascii="Arial" w:eastAsia="Times New Roman" w:hAnsi="Arial" w:cs="Arial"/>
                <w:b/>
                <w:color w:val="FFFFFF" w:themeColor="background1"/>
                <w:lang w:val="mn-MN"/>
              </w:rPr>
            </w:pPr>
            <w:r w:rsidRPr="0046672D">
              <w:rPr>
                <w:rFonts w:ascii="Arial" w:eastAsia="Times New Roman" w:hAnsi="Arial" w:cs="Arial"/>
                <w:b/>
                <w:color w:val="FFFFFF" w:themeColor="background1"/>
                <w:lang w:val="mn-MN"/>
              </w:rPr>
              <w:t>2021</w:t>
            </w:r>
          </w:p>
        </w:tc>
      </w:tr>
      <w:tr w:rsidR="000B6A0A" w:rsidRPr="0046672D" w14:paraId="237144C5" w14:textId="77777777" w:rsidTr="00F51A8E">
        <w:trPr>
          <w:trHeight w:val="327"/>
        </w:trPr>
        <w:tc>
          <w:tcPr>
            <w:tcW w:w="3336" w:type="dxa"/>
            <w:shd w:val="clear" w:color="auto" w:fill="auto"/>
            <w:vAlign w:val="center"/>
            <w:hideMark/>
          </w:tcPr>
          <w:p w14:paraId="0501CFED" w14:textId="77777777" w:rsidR="000B6A0A" w:rsidRPr="0046672D" w:rsidRDefault="000B6A0A" w:rsidP="00F51A8E">
            <w:pPr>
              <w:spacing w:after="0" w:line="240" w:lineRule="auto"/>
              <w:rPr>
                <w:rFonts w:ascii="Arial" w:eastAsia="Times New Roman" w:hAnsi="Arial" w:cs="Arial"/>
                <w:color w:val="000000"/>
                <w:lang w:val="mn-MN"/>
              </w:rPr>
            </w:pPr>
            <w:r w:rsidRPr="0046672D">
              <w:rPr>
                <w:rFonts w:ascii="Arial" w:eastAsia="Times New Roman" w:hAnsi="Arial" w:cs="Arial"/>
                <w:color w:val="000000"/>
                <w:lang w:val="mn-MN"/>
              </w:rPr>
              <w:t>Үндсэн төлбөр</w:t>
            </w:r>
          </w:p>
        </w:tc>
        <w:tc>
          <w:tcPr>
            <w:tcW w:w="1933" w:type="dxa"/>
            <w:shd w:val="clear" w:color="auto" w:fill="auto"/>
            <w:noWrap/>
            <w:vAlign w:val="center"/>
            <w:hideMark/>
          </w:tcPr>
          <w:p w14:paraId="31925778" w14:textId="77777777" w:rsidR="000B6A0A" w:rsidRPr="0046672D" w:rsidRDefault="000B6A0A" w:rsidP="00F51A8E">
            <w:pPr>
              <w:spacing w:after="0" w:line="240" w:lineRule="auto"/>
              <w:jc w:val="right"/>
              <w:rPr>
                <w:rFonts w:ascii="Arial" w:eastAsia="Times New Roman" w:hAnsi="Arial" w:cs="Arial"/>
                <w:color w:val="000000"/>
                <w:lang w:val="mn-MN"/>
              </w:rPr>
            </w:pPr>
            <w:r w:rsidRPr="0046672D">
              <w:rPr>
                <w:rFonts w:ascii="Arial" w:hAnsi="Arial" w:cs="Arial"/>
                <w:lang w:val="mn-MN"/>
              </w:rPr>
              <w:t>438.3</w:t>
            </w:r>
          </w:p>
        </w:tc>
        <w:tc>
          <w:tcPr>
            <w:tcW w:w="2285" w:type="dxa"/>
            <w:shd w:val="clear" w:color="auto" w:fill="auto"/>
            <w:noWrap/>
            <w:vAlign w:val="center"/>
            <w:hideMark/>
          </w:tcPr>
          <w:p w14:paraId="56325C0D" w14:textId="77777777" w:rsidR="000B6A0A" w:rsidRPr="0046672D" w:rsidRDefault="000B6A0A" w:rsidP="00F51A8E">
            <w:pPr>
              <w:spacing w:after="0" w:line="240" w:lineRule="auto"/>
              <w:jc w:val="right"/>
              <w:rPr>
                <w:rFonts w:ascii="Arial" w:eastAsia="Times New Roman" w:hAnsi="Arial" w:cs="Arial"/>
                <w:color w:val="000000"/>
                <w:lang w:val="mn-MN"/>
              </w:rPr>
            </w:pPr>
            <w:r w:rsidRPr="0046672D">
              <w:rPr>
                <w:rFonts w:ascii="Arial" w:hAnsi="Arial" w:cs="Arial"/>
                <w:lang w:val="mn-MN"/>
              </w:rPr>
              <w:t>691.0</w:t>
            </w:r>
          </w:p>
        </w:tc>
        <w:tc>
          <w:tcPr>
            <w:tcW w:w="2242" w:type="dxa"/>
            <w:shd w:val="clear" w:color="auto" w:fill="auto"/>
            <w:noWrap/>
            <w:vAlign w:val="center"/>
            <w:hideMark/>
          </w:tcPr>
          <w:p w14:paraId="6502472C" w14:textId="77777777" w:rsidR="000B6A0A" w:rsidRPr="0046672D" w:rsidRDefault="000B6A0A" w:rsidP="00F51A8E">
            <w:pPr>
              <w:spacing w:after="0" w:line="240" w:lineRule="auto"/>
              <w:jc w:val="right"/>
              <w:rPr>
                <w:rFonts w:ascii="Arial" w:eastAsia="Times New Roman" w:hAnsi="Arial" w:cs="Arial"/>
                <w:color w:val="000000"/>
                <w:lang w:val="mn-MN"/>
              </w:rPr>
            </w:pPr>
            <w:r w:rsidRPr="0046672D">
              <w:rPr>
                <w:rFonts w:ascii="Arial" w:hAnsi="Arial" w:cs="Arial"/>
                <w:lang w:val="mn-MN"/>
              </w:rPr>
              <w:t>732.8</w:t>
            </w:r>
          </w:p>
        </w:tc>
      </w:tr>
      <w:tr w:rsidR="000B6A0A" w:rsidRPr="0046672D" w14:paraId="3AA3AC2B" w14:textId="77777777" w:rsidTr="00F51A8E">
        <w:trPr>
          <w:trHeight w:val="327"/>
        </w:trPr>
        <w:tc>
          <w:tcPr>
            <w:tcW w:w="3336" w:type="dxa"/>
            <w:shd w:val="clear" w:color="auto" w:fill="auto"/>
            <w:noWrap/>
            <w:vAlign w:val="center"/>
            <w:hideMark/>
          </w:tcPr>
          <w:p w14:paraId="4B67EE9E" w14:textId="77777777" w:rsidR="000B6A0A" w:rsidRPr="0046672D" w:rsidRDefault="000B6A0A" w:rsidP="00F51A8E">
            <w:pPr>
              <w:spacing w:after="0" w:line="240" w:lineRule="auto"/>
              <w:rPr>
                <w:rFonts w:ascii="Arial" w:eastAsia="Times New Roman" w:hAnsi="Arial" w:cs="Arial"/>
                <w:color w:val="000000"/>
                <w:lang w:val="mn-MN"/>
              </w:rPr>
            </w:pPr>
            <w:r w:rsidRPr="0046672D">
              <w:rPr>
                <w:rFonts w:ascii="Arial" w:eastAsia="Times New Roman" w:hAnsi="Arial" w:cs="Arial"/>
                <w:color w:val="000000"/>
                <w:lang w:val="mn-MN"/>
              </w:rPr>
              <w:t>Хүүгийн төлбөр</w:t>
            </w:r>
          </w:p>
        </w:tc>
        <w:tc>
          <w:tcPr>
            <w:tcW w:w="1933" w:type="dxa"/>
            <w:shd w:val="clear" w:color="auto" w:fill="auto"/>
            <w:noWrap/>
            <w:vAlign w:val="center"/>
            <w:hideMark/>
          </w:tcPr>
          <w:p w14:paraId="6D39EDF3" w14:textId="77777777" w:rsidR="000B6A0A" w:rsidRPr="0046672D" w:rsidRDefault="000B6A0A" w:rsidP="00F51A8E">
            <w:pPr>
              <w:spacing w:after="0" w:line="240" w:lineRule="auto"/>
              <w:jc w:val="right"/>
              <w:rPr>
                <w:rFonts w:ascii="Arial" w:eastAsia="Times New Roman" w:hAnsi="Arial" w:cs="Arial"/>
                <w:color w:val="000000"/>
                <w:lang w:val="mn-MN"/>
              </w:rPr>
            </w:pPr>
            <w:r w:rsidRPr="0046672D">
              <w:rPr>
                <w:rFonts w:ascii="Arial" w:hAnsi="Arial" w:cs="Arial"/>
                <w:lang w:val="mn-MN"/>
              </w:rPr>
              <w:t>167.5</w:t>
            </w:r>
          </w:p>
        </w:tc>
        <w:tc>
          <w:tcPr>
            <w:tcW w:w="2285" w:type="dxa"/>
            <w:shd w:val="clear" w:color="auto" w:fill="auto"/>
            <w:noWrap/>
            <w:vAlign w:val="center"/>
            <w:hideMark/>
          </w:tcPr>
          <w:p w14:paraId="626A7936" w14:textId="77777777" w:rsidR="000B6A0A" w:rsidRPr="0046672D" w:rsidRDefault="000B6A0A" w:rsidP="00F51A8E">
            <w:pPr>
              <w:spacing w:after="0" w:line="240" w:lineRule="auto"/>
              <w:jc w:val="right"/>
              <w:rPr>
                <w:rFonts w:ascii="Arial" w:eastAsia="Times New Roman" w:hAnsi="Arial" w:cs="Arial"/>
                <w:color w:val="000000"/>
                <w:lang w:val="mn-MN"/>
              </w:rPr>
            </w:pPr>
            <w:r w:rsidRPr="0046672D">
              <w:rPr>
                <w:rFonts w:ascii="Arial" w:hAnsi="Arial" w:cs="Arial"/>
                <w:lang w:val="mn-MN"/>
              </w:rPr>
              <w:t>197.9</w:t>
            </w:r>
          </w:p>
        </w:tc>
        <w:tc>
          <w:tcPr>
            <w:tcW w:w="2242" w:type="dxa"/>
            <w:shd w:val="clear" w:color="auto" w:fill="auto"/>
            <w:noWrap/>
            <w:vAlign w:val="center"/>
            <w:hideMark/>
          </w:tcPr>
          <w:p w14:paraId="29B9093A" w14:textId="77777777" w:rsidR="000B6A0A" w:rsidRPr="0046672D" w:rsidRDefault="000B6A0A" w:rsidP="00F51A8E">
            <w:pPr>
              <w:spacing w:after="0" w:line="240" w:lineRule="auto"/>
              <w:jc w:val="right"/>
              <w:rPr>
                <w:rFonts w:ascii="Arial" w:eastAsia="Times New Roman" w:hAnsi="Arial" w:cs="Arial"/>
                <w:color w:val="000000"/>
                <w:lang w:val="mn-MN"/>
              </w:rPr>
            </w:pPr>
            <w:r w:rsidRPr="0046672D">
              <w:rPr>
                <w:rFonts w:ascii="Arial" w:hAnsi="Arial" w:cs="Arial"/>
                <w:lang w:val="mn-MN"/>
              </w:rPr>
              <w:t>212.9</w:t>
            </w:r>
          </w:p>
        </w:tc>
      </w:tr>
      <w:tr w:rsidR="000B6A0A" w:rsidRPr="0046672D" w14:paraId="0685E158" w14:textId="77777777" w:rsidTr="00F51A8E">
        <w:trPr>
          <w:trHeight w:val="316"/>
        </w:trPr>
        <w:tc>
          <w:tcPr>
            <w:tcW w:w="3336" w:type="dxa"/>
            <w:shd w:val="clear" w:color="auto" w:fill="auto"/>
            <w:noWrap/>
            <w:vAlign w:val="center"/>
            <w:hideMark/>
          </w:tcPr>
          <w:p w14:paraId="3410CD02" w14:textId="77777777" w:rsidR="000B6A0A" w:rsidRPr="0046672D" w:rsidRDefault="000B6A0A" w:rsidP="00F51A8E">
            <w:pPr>
              <w:spacing w:after="0" w:line="240" w:lineRule="auto"/>
              <w:rPr>
                <w:rFonts w:ascii="Arial" w:eastAsia="Times New Roman" w:hAnsi="Arial" w:cs="Arial"/>
                <w:b/>
                <w:color w:val="000000"/>
                <w:lang w:val="mn-MN"/>
              </w:rPr>
            </w:pPr>
            <w:r w:rsidRPr="0046672D">
              <w:rPr>
                <w:rFonts w:ascii="Arial" w:eastAsia="Times New Roman" w:hAnsi="Arial" w:cs="Arial"/>
                <w:b/>
                <w:color w:val="000000"/>
                <w:lang w:val="mn-MN"/>
              </w:rPr>
              <w:t>НИЙТ</w:t>
            </w:r>
          </w:p>
        </w:tc>
        <w:tc>
          <w:tcPr>
            <w:tcW w:w="1933" w:type="dxa"/>
            <w:shd w:val="clear" w:color="auto" w:fill="auto"/>
            <w:noWrap/>
            <w:vAlign w:val="center"/>
            <w:hideMark/>
          </w:tcPr>
          <w:p w14:paraId="039581F9" w14:textId="77777777" w:rsidR="000B6A0A" w:rsidRPr="0046672D" w:rsidRDefault="000B6A0A" w:rsidP="00F51A8E">
            <w:pPr>
              <w:spacing w:after="0" w:line="240" w:lineRule="auto"/>
              <w:jc w:val="right"/>
              <w:rPr>
                <w:rFonts w:ascii="Arial" w:eastAsia="Times New Roman" w:hAnsi="Arial" w:cs="Arial"/>
                <w:b/>
                <w:color w:val="000000"/>
                <w:lang w:val="mn-MN"/>
              </w:rPr>
            </w:pPr>
            <w:r w:rsidRPr="0046672D">
              <w:rPr>
                <w:rFonts w:ascii="Arial" w:hAnsi="Arial" w:cs="Arial"/>
                <w:b/>
                <w:lang w:val="mn-MN"/>
              </w:rPr>
              <w:t>605.8</w:t>
            </w:r>
          </w:p>
        </w:tc>
        <w:tc>
          <w:tcPr>
            <w:tcW w:w="2285" w:type="dxa"/>
            <w:shd w:val="clear" w:color="auto" w:fill="auto"/>
            <w:noWrap/>
            <w:vAlign w:val="center"/>
            <w:hideMark/>
          </w:tcPr>
          <w:p w14:paraId="19A7E26F" w14:textId="77777777" w:rsidR="000B6A0A" w:rsidRPr="0046672D" w:rsidRDefault="000B6A0A" w:rsidP="00F51A8E">
            <w:pPr>
              <w:spacing w:after="0" w:line="240" w:lineRule="auto"/>
              <w:jc w:val="right"/>
              <w:rPr>
                <w:rFonts w:ascii="Arial" w:eastAsia="Times New Roman" w:hAnsi="Arial" w:cs="Arial"/>
                <w:b/>
                <w:color w:val="000000"/>
                <w:lang w:val="mn-MN"/>
              </w:rPr>
            </w:pPr>
            <w:r w:rsidRPr="0046672D">
              <w:rPr>
                <w:rFonts w:ascii="Arial" w:hAnsi="Arial" w:cs="Arial"/>
                <w:b/>
                <w:lang w:val="mn-MN"/>
              </w:rPr>
              <w:t>888.9</w:t>
            </w:r>
          </w:p>
        </w:tc>
        <w:tc>
          <w:tcPr>
            <w:tcW w:w="2242" w:type="dxa"/>
            <w:shd w:val="clear" w:color="auto" w:fill="auto"/>
            <w:noWrap/>
            <w:vAlign w:val="center"/>
            <w:hideMark/>
          </w:tcPr>
          <w:p w14:paraId="58A67FE9" w14:textId="77777777" w:rsidR="000B6A0A" w:rsidRPr="0046672D" w:rsidRDefault="000B6A0A" w:rsidP="00F51A8E">
            <w:pPr>
              <w:spacing w:after="0" w:line="240" w:lineRule="auto"/>
              <w:jc w:val="right"/>
              <w:rPr>
                <w:rFonts w:ascii="Arial" w:eastAsia="Times New Roman" w:hAnsi="Arial" w:cs="Arial"/>
                <w:b/>
                <w:color w:val="000000"/>
                <w:lang w:val="mn-MN"/>
              </w:rPr>
            </w:pPr>
            <w:r w:rsidRPr="0046672D">
              <w:rPr>
                <w:rFonts w:ascii="Arial" w:hAnsi="Arial" w:cs="Arial"/>
                <w:b/>
                <w:lang w:val="mn-MN"/>
              </w:rPr>
              <w:t>945.7</w:t>
            </w:r>
          </w:p>
        </w:tc>
      </w:tr>
    </w:tbl>
    <w:p w14:paraId="59229C52" w14:textId="77777777" w:rsidR="000B6A0A" w:rsidRPr="0046672D" w:rsidRDefault="000B6A0A" w:rsidP="000B6A0A">
      <w:pPr>
        <w:spacing w:line="240" w:lineRule="auto"/>
        <w:ind w:left="7200"/>
        <w:jc w:val="both"/>
        <w:textAlignment w:val="baseline"/>
        <w:rPr>
          <w:rFonts w:ascii="Arial" w:eastAsia="Times New Roman" w:hAnsi="Arial" w:cs="Arial"/>
          <w:sz w:val="24"/>
          <w:szCs w:val="24"/>
          <w:lang w:val="mn-MN"/>
        </w:rPr>
      </w:pPr>
      <w:r w:rsidRPr="0046672D">
        <w:rPr>
          <w:rFonts w:ascii="Arial" w:hAnsi="Arial" w:cs="Arial"/>
          <w:i/>
          <w:lang w:val="mn-MN"/>
        </w:rPr>
        <w:t>Эх сурвалж: Сангийн яам</w:t>
      </w:r>
    </w:p>
    <w:p w14:paraId="1FD3EE33" w14:textId="77777777" w:rsidR="000B6A0A" w:rsidRPr="0046672D" w:rsidRDefault="000B6A0A" w:rsidP="000B6A0A">
      <w:pPr>
        <w:pStyle w:val="Heading3"/>
        <w:spacing w:after="240" w:line="240" w:lineRule="auto"/>
        <w:rPr>
          <w:rFonts w:ascii="Arial" w:hAnsi="Arial" w:cs="Arial"/>
          <w:b/>
          <w:color w:val="auto"/>
        </w:rPr>
      </w:pPr>
      <w:r w:rsidRPr="0046672D">
        <w:rPr>
          <w:rFonts w:ascii="Arial" w:hAnsi="Arial" w:cs="Arial"/>
          <w:b/>
          <w:color w:val="auto"/>
        </w:rPr>
        <w:tab/>
        <w:t>1.2.4.Засгийн газрын өрийн баталгаа</w:t>
      </w:r>
    </w:p>
    <w:p w14:paraId="2065F066" w14:textId="77777777" w:rsidR="000B6A0A" w:rsidRPr="0046672D" w:rsidRDefault="000B6A0A" w:rsidP="000B6A0A">
      <w:pPr>
        <w:ind w:firstLine="360"/>
        <w:jc w:val="both"/>
        <w:rPr>
          <w:rFonts w:ascii="Arial" w:hAnsi="Arial" w:cs="Arial"/>
          <w:sz w:val="24"/>
          <w:szCs w:val="24"/>
          <w:lang w:val="mn-MN"/>
        </w:rPr>
      </w:pPr>
      <w:r w:rsidRPr="0046672D">
        <w:rPr>
          <w:rFonts w:ascii="Arial" w:hAnsi="Arial" w:cs="Arial"/>
          <w:sz w:val="24"/>
          <w:szCs w:val="24"/>
          <w:lang w:val="mn-MN"/>
        </w:rPr>
        <w:tab/>
        <w:t xml:space="preserve">Засгийн газрын өрийн баталгааны үлдэгдэл 2021 оны жилийн эцсийн байдлаар 876.5 тэрбум төгрөг болж, 2020 оны жилийн эцсээс 183.8 тэрбум төгрөгөөр буурав. Үүнээс Монгол Улсын Хөгжлийн банкны баталгааны үлдэгдэл 820.9 тэрбум төгрөг, Монголын иргэний агаарын тээвэр хувьцаат компани /“МИАТ” ХК/-ний баталгааны </w:t>
      </w:r>
      <w:r w:rsidRPr="0046672D">
        <w:rPr>
          <w:rFonts w:ascii="Arial" w:hAnsi="Arial" w:cs="Arial"/>
          <w:sz w:val="24"/>
          <w:szCs w:val="24"/>
          <w:lang w:val="mn-MN"/>
        </w:rPr>
        <w:lastRenderedPageBreak/>
        <w:t>үлдэгдэл 29.0 тэрбум төгрөг, “Эрдэнэс Монгол” ХК-ний баталгааны үлдэгдэл 26.5 тэрбум төгрөг байна.</w:t>
      </w:r>
    </w:p>
    <w:p w14:paraId="01C432AE" w14:textId="77777777" w:rsidR="000B6A0A" w:rsidRPr="0046672D" w:rsidRDefault="000B6A0A" w:rsidP="000B6A0A">
      <w:pPr>
        <w:spacing w:after="0"/>
        <w:ind w:firstLine="360"/>
        <w:rPr>
          <w:rFonts w:ascii="Arial" w:hAnsi="Arial" w:cs="Arial"/>
          <w:sz w:val="20"/>
          <w:szCs w:val="20"/>
          <w:lang w:val="mn-MN"/>
        </w:rPr>
      </w:pPr>
      <w:r w:rsidRPr="0046672D">
        <w:rPr>
          <w:rFonts w:ascii="Arial" w:hAnsi="Arial" w:cs="Arial"/>
          <w:i/>
          <w:sz w:val="20"/>
          <w:szCs w:val="20"/>
          <w:lang w:val="mn-MN"/>
        </w:rPr>
        <w:tab/>
        <w:t>Хүснэгт № 6: Засгийн газрын өрийн баталгаа, 2021.12.31</w:t>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r>
      <w:r w:rsidRPr="0046672D">
        <w:rPr>
          <w:rFonts w:ascii="Arial" w:hAnsi="Arial" w:cs="Arial"/>
          <w:i/>
          <w:sz w:val="20"/>
          <w:szCs w:val="20"/>
          <w:lang w:val="mn-MN"/>
        </w:rPr>
        <w:tab/>
      </w:r>
    </w:p>
    <w:tbl>
      <w:tblPr>
        <w:tblStyle w:val="TableGrid"/>
        <w:tblW w:w="9781" w:type="dxa"/>
        <w:tblLayout w:type="fixed"/>
        <w:tblLook w:val="04A0" w:firstRow="1" w:lastRow="0" w:firstColumn="1" w:lastColumn="0" w:noHBand="0" w:noVBand="1"/>
      </w:tblPr>
      <w:tblGrid>
        <w:gridCol w:w="579"/>
        <w:gridCol w:w="1826"/>
        <w:gridCol w:w="3119"/>
        <w:gridCol w:w="1260"/>
        <w:gridCol w:w="1625"/>
        <w:gridCol w:w="1372"/>
      </w:tblGrid>
      <w:tr w:rsidR="000B6A0A" w:rsidRPr="0046672D" w14:paraId="1FFB9C72" w14:textId="77777777" w:rsidTr="00F51A8E">
        <w:trPr>
          <w:trHeight w:val="240"/>
        </w:trPr>
        <w:tc>
          <w:tcPr>
            <w:tcW w:w="579" w:type="dxa"/>
            <w:vMerge w:val="restart"/>
            <w:shd w:val="clear" w:color="auto" w:fill="1F3864" w:themeFill="accent1" w:themeFillShade="80"/>
            <w:vAlign w:val="center"/>
          </w:tcPr>
          <w:p w14:paraId="5ED8E479" w14:textId="77777777" w:rsidR="000B6A0A" w:rsidRPr="0046672D" w:rsidRDefault="000B6A0A" w:rsidP="00F51A8E">
            <w:pPr>
              <w:jc w:val="both"/>
              <w:rPr>
                <w:rFonts w:ascii="Arial" w:hAnsi="Arial" w:cs="Arial"/>
                <w:b/>
                <w:sz w:val="20"/>
                <w:szCs w:val="20"/>
                <w:lang w:val="mn-MN"/>
              </w:rPr>
            </w:pPr>
            <w:r w:rsidRPr="0046672D">
              <w:rPr>
                <w:rFonts w:ascii="Arial" w:hAnsi="Arial" w:cs="Arial"/>
                <w:b/>
                <w:sz w:val="20"/>
                <w:szCs w:val="20"/>
                <w:lang w:val="mn-MN"/>
              </w:rPr>
              <w:t>№</w:t>
            </w:r>
          </w:p>
        </w:tc>
        <w:tc>
          <w:tcPr>
            <w:tcW w:w="1826" w:type="dxa"/>
            <w:vMerge w:val="restart"/>
            <w:shd w:val="clear" w:color="auto" w:fill="1F3864" w:themeFill="accent1" w:themeFillShade="80"/>
            <w:vAlign w:val="center"/>
          </w:tcPr>
          <w:p w14:paraId="41C1D6B1" w14:textId="77777777" w:rsidR="000B6A0A" w:rsidRPr="0046672D" w:rsidRDefault="000B6A0A" w:rsidP="00F51A8E">
            <w:pPr>
              <w:jc w:val="center"/>
              <w:rPr>
                <w:rFonts w:ascii="Arial" w:hAnsi="Arial" w:cs="Arial"/>
                <w:b/>
                <w:sz w:val="20"/>
                <w:szCs w:val="20"/>
                <w:lang w:val="mn-MN"/>
              </w:rPr>
            </w:pPr>
            <w:r w:rsidRPr="0046672D">
              <w:rPr>
                <w:rFonts w:ascii="Arial" w:hAnsi="Arial" w:cs="Arial"/>
                <w:b/>
                <w:sz w:val="20"/>
                <w:szCs w:val="20"/>
                <w:lang w:val="mn-MN"/>
              </w:rPr>
              <w:t>Баталгаа гаргуулагч</w:t>
            </w:r>
          </w:p>
        </w:tc>
        <w:tc>
          <w:tcPr>
            <w:tcW w:w="3119" w:type="dxa"/>
            <w:vMerge w:val="restart"/>
            <w:shd w:val="clear" w:color="auto" w:fill="1F3864" w:themeFill="accent1" w:themeFillShade="80"/>
            <w:vAlign w:val="center"/>
          </w:tcPr>
          <w:p w14:paraId="445621E3" w14:textId="77777777" w:rsidR="000B6A0A" w:rsidRPr="0046672D" w:rsidRDefault="000B6A0A" w:rsidP="00F51A8E">
            <w:pPr>
              <w:jc w:val="center"/>
              <w:rPr>
                <w:rFonts w:ascii="Arial" w:hAnsi="Arial" w:cs="Arial"/>
                <w:b/>
                <w:sz w:val="20"/>
                <w:szCs w:val="20"/>
                <w:lang w:val="mn-MN"/>
              </w:rPr>
            </w:pPr>
            <w:r w:rsidRPr="0046672D">
              <w:rPr>
                <w:rFonts w:ascii="Arial" w:hAnsi="Arial" w:cs="Arial"/>
                <w:b/>
                <w:sz w:val="20"/>
                <w:szCs w:val="20"/>
                <w:lang w:val="mn-MN"/>
              </w:rPr>
              <w:t>Зээлдүүлэгч</w:t>
            </w:r>
          </w:p>
        </w:tc>
        <w:tc>
          <w:tcPr>
            <w:tcW w:w="1260" w:type="dxa"/>
            <w:vMerge w:val="restart"/>
            <w:shd w:val="clear" w:color="auto" w:fill="1F3864" w:themeFill="accent1" w:themeFillShade="80"/>
            <w:vAlign w:val="center"/>
          </w:tcPr>
          <w:p w14:paraId="375ED649" w14:textId="77777777" w:rsidR="000B6A0A" w:rsidRPr="0046672D" w:rsidRDefault="000B6A0A" w:rsidP="00F51A8E">
            <w:pPr>
              <w:jc w:val="center"/>
              <w:rPr>
                <w:rFonts w:ascii="Arial" w:hAnsi="Arial" w:cs="Arial"/>
                <w:b/>
                <w:sz w:val="20"/>
                <w:szCs w:val="20"/>
                <w:lang w:val="mn-MN"/>
              </w:rPr>
            </w:pPr>
            <w:r w:rsidRPr="0046672D">
              <w:rPr>
                <w:rFonts w:ascii="Arial" w:hAnsi="Arial" w:cs="Arial"/>
                <w:b/>
                <w:sz w:val="20"/>
                <w:szCs w:val="20"/>
                <w:lang w:val="mn-MN"/>
              </w:rPr>
              <w:t>Валют</w:t>
            </w:r>
          </w:p>
        </w:tc>
        <w:tc>
          <w:tcPr>
            <w:tcW w:w="2997" w:type="dxa"/>
            <w:gridSpan w:val="2"/>
            <w:shd w:val="clear" w:color="auto" w:fill="1F3864" w:themeFill="accent1" w:themeFillShade="80"/>
            <w:vAlign w:val="center"/>
          </w:tcPr>
          <w:p w14:paraId="4C4F79AC" w14:textId="77777777" w:rsidR="000B6A0A" w:rsidRPr="0046672D" w:rsidRDefault="000B6A0A" w:rsidP="00F51A8E">
            <w:pPr>
              <w:jc w:val="center"/>
              <w:rPr>
                <w:rFonts w:ascii="Arial" w:hAnsi="Arial" w:cs="Arial"/>
                <w:b/>
                <w:sz w:val="20"/>
                <w:szCs w:val="20"/>
                <w:lang w:val="mn-MN"/>
              </w:rPr>
            </w:pPr>
            <w:r w:rsidRPr="0046672D">
              <w:rPr>
                <w:rFonts w:ascii="Arial" w:hAnsi="Arial" w:cs="Arial"/>
                <w:b/>
                <w:sz w:val="20"/>
                <w:szCs w:val="20"/>
                <w:lang w:val="mn-MN"/>
              </w:rPr>
              <w:t>2021</w:t>
            </w:r>
          </w:p>
        </w:tc>
      </w:tr>
      <w:tr w:rsidR="000B6A0A" w:rsidRPr="0046672D" w14:paraId="6BF935E8" w14:textId="77777777" w:rsidTr="00F51A8E">
        <w:trPr>
          <w:trHeight w:val="52"/>
        </w:trPr>
        <w:tc>
          <w:tcPr>
            <w:tcW w:w="579" w:type="dxa"/>
            <w:vMerge/>
            <w:shd w:val="clear" w:color="auto" w:fill="1F3864" w:themeFill="accent1" w:themeFillShade="80"/>
            <w:vAlign w:val="center"/>
          </w:tcPr>
          <w:p w14:paraId="12AD768B" w14:textId="77777777" w:rsidR="000B6A0A" w:rsidRPr="0046672D" w:rsidRDefault="000B6A0A" w:rsidP="00F51A8E">
            <w:pPr>
              <w:jc w:val="both"/>
              <w:rPr>
                <w:rFonts w:ascii="Arial" w:hAnsi="Arial" w:cs="Arial"/>
                <w:b/>
                <w:sz w:val="20"/>
                <w:szCs w:val="20"/>
                <w:lang w:val="mn-MN"/>
              </w:rPr>
            </w:pPr>
          </w:p>
        </w:tc>
        <w:tc>
          <w:tcPr>
            <w:tcW w:w="1826" w:type="dxa"/>
            <w:vMerge/>
            <w:shd w:val="clear" w:color="auto" w:fill="1F3864" w:themeFill="accent1" w:themeFillShade="80"/>
            <w:vAlign w:val="center"/>
          </w:tcPr>
          <w:p w14:paraId="23A95DA8" w14:textId="77777777" w:rsidR="000B6A0A" w:rsidRPr="0046672D" w:rsidRDefault="000B6A0A" w:rsidP="00F51A8E">
            <w:pPr>
              <w:jc w:val="both"/>
              <w:rPr>
                <w:rFonts w:ascii="Arial" w:hAnsi="Arial" w:cs="Arial"/>
                <w:b/>
                <w:sz w:val="20"/>
                <w:szCs w:val="20"/>
                <w:lang w:val="mn-MN"/>
              </w:rPr>
            </w:pPr>
          </w:p>
        </w:tc>
        <w:tc>
          <w:tcPr>
            <w:tcW w:w="3119" w:type="dxa"/>
            <w:vMerge/>
            <w:shd w:val="clear" w:color="auto" w:fill="1F3864" w:themeFill="accent1" w:themeFillShade="80"/>
            <w:vAlign w:val="center"/>
          </w:tcPr>
          <w:p w14:paraId="337AC17C" w14:textId="77777777" w:rsidR="000B6A0A" w:rsidRPr="0046672D" w:rsidRDefault="000B6A0A" w:rsidP="00F51A8E">
            <w:pPr>
              <w:jc w:val="both"/>
              <w:rPr>
                <w:rFonts w:ascii="Arial" w:hAnsi="Arial" w:cs="Arial"/>
                <w:b/>
                <w:sz w:val="20"/>
                <w:szCs w:val="20"/>
                <w:lang w:val="mn-MN"/>
              </w:rPr>
            </w:pPr>
          </w:p>
        </w:tc>
        <w:tc>
          <w:tcPr>
            <w:tcW w:w="1260" w:type="dxa"/>
            <w:vMerge/>
            <w:shd w:val="clear" w:color="auto" w:fill="1F3864" w:themeFill="accent1" w:themeFillShade="80"/>
            <w:vAlign w:val="center"/>
          </w:tcPr>
          <w:p w14:paraId="075D8885" w14:textId="77777777" w:rsidR="000B6A0A" w:rsidRPr="0046672D" w:rsidRDefault="000B6A0A" w:rsidP="00F51A8E">
            <w:pPr>
              <w:jc w:val="both"/>
              <w:rPr>
                <w:rFonts w:ascii="Arial" w:hAnsi="Arial" w:cs="Arial"/>
                <w:b/>
                <w:sz w:val="20"/>
                <w:szCs w:val="20"/>
                <w:lang w:val="mn-MN"/>
              </w:rPr>
            </w:pPr>
          </w:p>
        </w:tc>
        <w:tc>
          <w:tcPr>
            <w:tcW w:w="1625" w:type="dxa"/>
            <w:shd w:val="clear" w:color="auto" w:fill="1F3864" w:themeFill="accent1" w:themeFillShade="80"/>
            <w:vAlign w:val="center"/>
          </w:tcPr>
          <w:p w14:paraId="2A4AFAF5" w14:textId="77777777" w:rsidR="000B6A0A" w:rsidRPr="0046672D" w:rsidRDefault="000B6A0A" w:rsidP="00F51A8E">
            <w:pPr>
              <w:jc w:val="center"/>
              <w:rPr>
                <w:rFonts w:ascii="Arial" w:hAnsi="Arial" w:cs="Arial"/>
                <w:b/>
                <w:sz w:val="20"/>
                <w:szCs w:val="20"/>
                <w:lang w:val="mn-MN"/>
              </w:rPr>
            </w:pPr>
            <w:r w:rsidRPr="0046672D">
              <w:rPr>
                <w:rFonts w:ascii="Arial" w:hAnsi="Arial" w:cs="Arial"/>
                <w:b/>
                <w:sz w:val="20"/>
                <w:szCs w:val="20"/>
                <w:lang w:val="mn-MN"/>
              </w:rPr>
              <w:t>Үндсэн валют /сая/</w:t>
            </w:r>
          </w:p>
        </w:tc>
        <w:tc>
          <w:tcPr>
            <w:tcW w:w="1372" w:type="dxa"/>
            <w:shd w:val="clear" w:color="auto" w:fill="1F3864" w:themeFill="accent1" w:themeFillShade="80"/>
            <w:vAlign w:val="center"/>
          </w:tcPr>
          <w:p w14:paraId="198A5C07" w14:textId="77777777" w:rsidR="000B6A0A" w:rsidRPr="0046672D" w:rsidRDefault="000B6A0A" w:rsidP="00F51A8E">
            <w:pPr>
              <w:jc w:val="center"/>
              <w:rPr>
                <w:rFonts w:ascii="Arial" w:hAnsi="Arial" w:cs="Arial"/>
                <w:b/>
                <w:sz w:val="20"/>
                <w:szCs w:val="20"/>
                <w:lang w:val="mn-MN"/>
              </w:rPr>
            </w:pPr>
            <w:r w:rsidRPr="0046672D">
              <w:rPr>
                <w:rFonts w:ascii="Arial" w:hAnsi="Arial" w:cs="Arial"/>
                <w:b/>
                <w:sz w:val="20"/>
                <w:szCs w:val="20"/>
                <w:lang w:val="mn-MN"/>
              </w:rPr>
              <w:t>Тэрбум төгрөг</w:t>
            </w:r>
          </w:p>
        </w:tc>
      </w:tr>
      <w:tr w:rsidR="000B6A0A" w:rsidRPr="0046672D" w14:paraId="2E58047B" w14:textId="77777777" w:rsidTr="00F51A8E">
        <w:trPr>
          <w:trHeight w:val="354"/>
        </w:trPr>
        <w:tc>
          <w:tcPr>
            <w:tcW w:w="579" w:type="dxa"/>
            <w:vAlign w:val="center"/>
          </w:tcPr>
          <w:p w14:paraId="5295FC6B" w14:textId="77777777" w:rsidR="000B6A0A" w:rsidRPr="0046672D" w:rsidRDefault="000B6A0A" w:rsidP="00F51A8E">
            <w:pPr>
              <w:jc w:val="both"/>
              <w:rPr>
                <w:rFonts w:ascii="Arial" w:hAnsi="Arial" w:cs="Arial"/>
                <w:sz w:val="20"/>
                <w:szCs w:val="20"/>
                <w:lang w:val="mn-MN"/>
              </w:rPr>
            </w:pPr>
            <w:r w:rsidRPr="0046672D">
              <w:rPr>
                <w:rFonts w:ascii="Arial" w:hAnsi="Arial" w:cs="Arial"/>
                <w:sz w:val="20"/>
                <w:szCs w:val="20"/>
                <w:lang w:val="mn-MN"/>
              </w:rPr>
              <w:t>1</w:t>
            </w:r>
          </w:p>
        </w:tc>
        <w:tc>
          <w:tcPr>
            <w:tcW w:w="1826" w:type="dxa"/>
            <w:vAlign w:val="center"/>
          </w:tcPr>
          <w:p w14:paraId="5F016784"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“МИАТ” ТӨХК</w:t>
            </w:r>
          </w:p>
        </w:tc>
        <w:tc>
          <w:tcPr>
            <w:tcW w:w="3119" w:type="dxa"/>
            <w:vAlign w:val="center"/>
          </w:tcPr>
          <w:p w14:paraId="53ED1A34"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АНУ</w:t>
            </w:r>
            <w:r w:rsidRPr="0046672D">
              <w:rPr>
                <w:rStyle w:val="FootnoteReference"/>
                <w:rFonts w:ascii="Arial" w:hAnsi="Arial" w:cs="Arial"/>
                <w:sz w:val="20"/>
                <w:szCs w:val="20"/>
                <w:lang w:val="mn-MN"/>
              </w:rPr>
              <w:footnoteReference w:id="4"/>
            </w:r>
            <w:r w:rsidRPr="0046672D">
              <w:rPr>
                <w:rFonts w:ascii="Arial" w:hAnsi="Arial" w:cs="Arial"/>
                <w:sz w:val="20"/>
                <w:szCs w:val="20"/>
                <w:lang w:val="mn-MN"/>
              </w:rPr>
              <w:t>-ын Хувийн экспортын санхүүжилтийн корпорац /PEFCO/</w:t>
            </w:r>
          </w:p>
        </w:tc>
        <w:tc>
          <w:tcPr>
            <w:tcW w:w="1260" w:type="dxa"/>
            <w:vAlign w:val="center"/>
          </w:tcPr>
          <w:p w14:paraId="4A132245" w14:textId="77777777" w:rsidR="000B6A0A" w:rsidRPr="0046672D" w:rsidRDefault="000B6A0A" w:rsidP="00F51A8E">
            <w:pPr>
              <w:jc w:val="center"/>
              <w:rPr>
                <w:rFonts w:ascii="Arial" w:hAnsi="Arial" w:cs="Arial"/>
                <w:sz w:val="20"/>
                <w:szCs w:val="20"/>
                <w:lang w:val="mn-MN"/>
              </w:rPr>
            </w:pPr>
            <w:r w:rsidRPr="0046672D">
              <w:rPr>
                <w:rFonts w:ascii="Arial" w:hAnsi="Arial" w:cs="Arial"/>
                <w:sz w:val="20"/>
                <w:szCs w:val="20"/>
                <w:lang w:val="mn-MN"/>
              </w:rPr>
              <w:t>Ам.доллар</w:t>
            </w:r>
          </w:p>
        </w:tc>
        <w:tc>
          <w:tcPr>
            <w:tcW w:w="1625" w:type="dxa"/>
            <w:vAlign w:val="center"/>
          </w:tcPr>
          <w:p w14:paraId="5B1681B0"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10.2</w:t>
            </w:r>
          </w:p>
        </w:tc>
        <w:tc>
          <w:tcPr>
            <w:tcW w:w="1372" w:type="dxa"/>
            <w:vAlign w:val="center"/>
          </w:tcPr>
          <w:p w14:paraId="097A27DD"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29.0</w:t>
            </w:r>
          </w:p>
        </w:tc>
      </w:tr>
      <w:tr w:rsidR="000B6A0A" w:rsidRPr="0046672D" w14:paraId="127AD7BC" w14:textId="77777777" w:rsidTr="00F51A8E">
        <w:trPr>
          <w:trHeight w:val="431"/>
        </w:trPr>
        <w:tc>
          <w:tcPr>
            <w:tcW w:w="579" w:type="dxa"/>
            <w:vAlign w:val="center"/>
          </w:tcPr>
          <w:p w14:paraId="01B0A932" w14:textId="77777777" w:rsidR="000B6A0A" w:rsidRPr="0046672D" w:rsidRDefault="000B6A0A" w:rsidP="00F51A8E">
            <w:pPr>
              <w:jc w:val="both"/>
              <w:rPr>
                <w:rFonts w:ascii="Arial" w:hAnsi="Arial" w:cs="Arial"/>
                <w:sz w:val="20"/>
                <w:szCs w:val="20"/>
                <w:lang w:val="mn-MN"/>
              </w:rPr>
            </w:pPr>
            <w:r w:rsidRPr="0046672D">
              <w:rPr>
                <w:rFonts w:ascii="Arial" w:hAnsi="Arial" w:cs="Arial"/>
                <w:sz w:val="20"/>
                <w:szCs w:val="20"/>
                <w:lang w:val="mn-MN"/>
              </w:rPr>
              <w:t>2</w:t>
            </w:r>
          </w:p>
        </w:tc>
        <w:tc>
          <w:tcPr>
            <w:tcW w:w="1826" w:type="dxa"/>
            <w:vAlign w:val="center"/>
          </w:tcPr>
          <w:p w14:paraId="715793B7"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Монгол Улсын Хөгжлийн банк</w:t>
            </w:r>
          </w:p>
        </w:tc>
        <w:tc>
          <w:tcPr>
            <w:tcW w:w="3119" w:type="dxa"/>
            <w:vAlign w:val="center"/>
          </w:tcPr>
          <w:p w14:paraId="47CAC84C"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Японы хөрөнгө оруулагчид</w:t>
            </w:r>
          </w:p>
        </w:tc>
        <w:tc>
          <w:tcPr>
            <w:tcW w:w="1260" w:type="dxa"/>
            <w:vAlign w:val="center"/>
          </w:tcPr>
          <w:p w14:paraId="4972DCE8" w14:textId="77777777" w:rsidR="000B6A0A" w:rsidRPr="0046672D" w:rsidRDefault="000B6A0A" w:rsidP="00F51A8E">
            <w:pPr>
              <w:jc w:val="center"/>
              <w:rPr>
                <w:rFonts w:ascii="Arial" w:hAnsi="Arial" w:cs="Arial"/>
                <w:sz w:val="20"/>
                <w:szCs w:val="20"/>
                <w:lang w:val="mn-MN"/>
              </w:rPr>
            </w:pPr>
            <w:r w:rsidRPr="0046672D">
              <w:rPr>
                <w:rFonts w:ascii="Arial" w:hAnsi="Arial" w:cs="Arial"/>
                <w:sz w:val="20"/>
                <w:szCs w:val="20"/>
                <w:lang w:val="mn-MN"/>
              </w:rPr>
              <w:t>Иен</w:t>
            </w:r>
          </w:p>
        </w:tc>
        <w:tc>
          <w:tcPr>
            <w:tcW w:w="1625" w:type="dxa"/>
            <w:vAlign w:val="center"/>
          </w:tcPr>
          <w:p w14:paraId="56918D31"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30,000.0</w:t>
            </w:r>
          </w:p>
        </w:tc>
        <w:tc>
          <w:tcPr>
            <w:tcW w:w="1372" w:type="dxa"/>
            <w:vAlign w:val="center"/>
          </w:tcPr>
          <w:p w14:paraId="28E273A2"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744.0</w:t>
            </w:r>
          </w:p>
        </w:tc>
      </w:tr>
      <w:tr w:rsidR="000B6A0A" w:rsidRPr="0046672D" w14:paraId="08F9ED4F" w14:textId="77777777" w:rsidTr="00F51A8E">
        <w:trPr>
          <w:trHeight w:val="431"/>
        </w:trPr>
        <w:tc>
          <w:tcPr>
            <w:tcW w:w="579" w:type="dxa"/>
            <w:vAlign w:val="center"/>
          </w:tcPr>
          <w:p w14:paraId="0DB2FE86" w14:textId="77777777" w:rsidR="000B6A0A" w:rsidRPr="0046672D" w:rsidRDefault="000B6A0A" w:rsidP="00F51A8E">
            <w:pPr>
              <w:jc w:val="both"/>
              <w:rPr>
                <w:rFonts w:ascii="Arial" w:hAnsi="Arial" w:cs="Arial"/>
                <w:sz w:val="20"/>
                <w:szCs w:val="20"/>
                <w:lang w:val="mn-MN"/>
              </w:rPr>
            </w:pPr>
            <w:r w:rsidRPr="0046672D">
              <w:rPr>
                <w:rFonts w:ascii="Arial" w:hAnsi="Arial" w:cs="Arial"/>
                <w:sz w:val="20"/>
                <w:szCs w:val="20"/>
                <w:lang w:val="mn-MN"/>
              </w:rPr>
              <w:t>3</w:t>
            </w:r>
          </w:p>
        </w:tc>
        <w:tc>
          <w:tcPr>
            <w:tcW w:w="1826" w:type="dxa"/>
            <w:vAlign w:val="center"/>
          </w:tcPr>
          <w:p w14:paraId="26DB0923"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Монгол Улсын Хөгжлийн банк</w:t>
            </w:r>
          </w:p>
        </w:tc>
        <w:tc>
          <w:tcPr>
            <w:tcW w:w="3119" w:type="dxa"/>
            <w:vAlign w:val="center"/>
          </w:tcPr>
          <w:p w14:paraId="3BFA4EDE"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Хятадын хөгжлийн банк /China Development Bank/</w:t>
            </w:r>
          </w:p>
        </w:tc>
        <w:tc>
          <w:tcPr>
            <w:tcW w:w="1260" w:type="dxa"/>
            <w:vAlign w:val="center"/>
          </w:tcPr>
          <w:p w14:paraId="0CB07B9C" w14:textId="77777777" w:rsidR="000B6A0A" w:rsidRPr="0046672D" w:rsidRDefault="000B6A0A" w:rsidP="00F51A8E">
            <w:pPr>
              <w:jc w:val="center"/>
              <w:rPr>
                <w:rFonts w:ascii="Arial" w:hAnsi="Arial" w:cs="Arial"/>
                <w:sz w:val="20"/>
                <w:szCs w:val="20"/>
                <w:lang w:val="mn-MN"/>
              </w:rPr>
            </w:pPr>
            <w:r w:rsidRPr="0046672D">
              <w:rPr>
                <w:rFonts w:ascii="Arial" w:hAnsi="Arial" w:cs="Arial"/>
                <w:sz w:val="20"/>
                <w:szCs w:val="20"/>
                <w:lang w:val="mn-MN"/>
              </w:rPr>
              <w:t>Ам.доллар</w:t>
            </w:r>
          </w:p>
        </w:tc>
        <w:tc>
          <w:tcPr>
            <w:tcW w:w="1625" w:type="dxa"/>
            <w:vAlign w:val="center"/>
          </w:tcPr>
          <w:p w14:paraId="6982C4CB"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27.0</w:t>
            </w:r>
          </w:p>
        </w:tc>
        <w:tc>
          <w:tcPr>
            <w:tcW w:w="1372" w:type="dxa"/>
            <w:vAlign w:val="center"/>
          </w:tcPr>
          <w:p w14:paraId="58C497A1"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76.9</w:t>
            </w:r>
          </w:p>
        </w:tc>
      </w:tr>
      <w:tr w:rsidR="000B6A0A" w:rsidRPr="0046672D" w14:paraId="2AC8E843" w14:textId="77777777" w:rsidTr="00F51A8E">
        <w:trPr>
          <w:trHeight w:val="431"/>
        </w:trPr>
        <w:tc>
          <w:tcPr>
            <w:tcW w:w="579" w:type="dxa"/>
            <w:vAlign w:val="center"/>
          </w:tcPr>
          <w:p w14:paraId="77119FCD" w14:textId="77777777" w:rsidR="000B6A0A" w:rsidRPr="0046672D" w:rsidRDefault="000B6A0A" w:rsidP="00F51A8E">
            <w:pPr>
              <w:jc w:val="both"/>
              <w:rPr>
                <w:rFonts w:ascii="Arial" w:hAnsi="Arial" w:cs="Arial"/>
                <w:sz w:val="20"/>
                <w:szCs w:val="20"/>
                <w:lang w:val="mn-MN"/>
              </w:rPr>
            </w:pPr>
            <w:r w:rsidRPr="0046672D">
              <w:rPr>
                <w:rFonts w:ascii="Arial" w:hAnsi="Arial" w:cs="Arial"/>
                <w:sz w:val="20"/>
                <w:szCs w:val="20"/>
                <w:lang w:val="mn-MN"/>
              </w:rPr>
              <w:t>4</w:t>
            </w:r>
          </w:p>
        </w:tc>
        <w:tc>
          <w:tcPr>
            <w:tcW w:w="1826" w:type="dxa"/>
            <w:vAlign w:val="center"/>
          </w:tcPr>
          <w:p w14:paraId="7A2C6CD6"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Эрдэнэс Монгол ХХК</w:t>
            </w:r>
          </w:p>
        </w:tc>
        <w:tc>
          <w:tcPr>
            <w:tcW w:w="3119" w:type="dxa"/>
            <w:vAlign w:val="center"/>
          </w:tcPr>
          <w:p w14:paraId="15584734" w14:textId="77777777" w:rsidR="000B6A0A" w:rsidRPr="0046672D" w:rsidRDefault="000B6A0A" w:rsidP="00F51A8E">
            <w:pPr>
              <w:rPr>
                <w:rFonts w:ascii="Arial" w:hAnsi="Arial" w:cs="Arial"/>
                <w:sz w:val="20"/>
                <w:szCs w:val="20"/>
                <w:lang w:val="mn-MN"/>
              </w:rPr>
            </w:pPr>
            <w:r w:rsidRPr="0046672D">
              <w:rPr>
                <w:rFonts w:ascii="Arial" w:hAnsi="Arial" w:cs="Arial"/>
                <w:sz w:val="20"/>
                <w:szCs w:val="20"/>
                <w:lang w:val="mn-MN"/>
              </w:rPr>
              <w:t>Азийн хөгжлийн банк /Asian Development bank/</w:t>
            </w:r>
          </w:p>
        </w:tc>
        <w:tc>
          <w:tcPr>
            <w:tcW w:w="1260" w:type="dxa"/>
            <w:vAlign w:val="center"/>
          </w:tcPr>
          <w:p w14:paraId="76B05A4C" w14:textId="77777777" w:rsidR="000B6A0A" w:rsidRPr="0046672D" w:rsidRDefault="000B6A0A" w:rsidP="00F51A8E">
            <w:pPr>
              <w:jc w:val="center"/>
              <w:rPr>
                <w:rFonts w:ascii="Arial" w:hAnsi="Arial" w:cs="Arial"/>
                <w:sz w:val="20"/>
                <w:szCs w:val="20"/>
                <w:lang w:val="mn-MN"/>
              </w:rPr>
            </w:pPr>
            <w:r w:rsidRPr="0046672D">
              <w:rPr>
                <w:rFonts w:ascii="Arial" w:hAnsi="Arial" w:cs="Arial"/>
                <w:sz w:val="20"/>
                <w:szCs w:val="20"/>
                <w:lang w:val="mn-MN"/>
              </w:rPr>
              <w:t>Ам.доллар</w:t>
            </w:r>
          </w:p>
        </w:tc>
        <w:tc>
          <w:tcPr>
            <w:tcW w:w="1625" w:type="dxa"/>
            <w:vAlign w:val="center"/>
          </w:tcPr>
          <w:p w14:paraId="66850F97"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9.3</w:t>
            </w:r>
          </w:p>
        </w:tc>
        <w:tc>
          <w:tcPr>
            <w:tcW w:w="1372" w:type="dxa"/>
            <w:vAlign w:val="center"/>
          </w:tcPr>
          <w:p w14:paraId="19B408F9" w14:textId="77777777" w:rsidR="000B6A0A" w:rsidRPr="0046672D" w:rsidRDefault="000B6A0A" w:rsidP="00F51A8E">
            <w:pPr>
              <w:jc w:val="right"/>
              <w:rPr>
                <w:rFonts w:ascii="Arial" w:hAnsi="Arial" w:cs="Arial"/>
                <w:sz w:val="20"/>
                <w:szCs w:val="20"/>
                <w:lang w:val="mn-MN"/>
              </w:rPr>
            </w:pPr>
            <w:r w:rsidRPr="0046672D">
              <w:rPr>
                <w:rFonts w:ascii="Arial" w:hAnsi="Arial" w:cs="Arial"/>
                <w:sz w:val="20"/>
                <w:szCs w:val="20"/>
                <w:lang w:val="mn-MN"/>
              </w:rPr>
              <w:t>26.5</w:t>
            </w:r>
          </w:p>
        </w:tc>
      </w:tr>
      <w:tr w:rsidR="000B6A0A" w:rsidRPr="0046672D" w14:paraId="2CCE3556" w14:textId="77777777" w:rsidTr="00F51A8E">
        <w:trPr>
          <w:trHeight w:val="208"/>
        </w:trPr>
        <w:tc>
          <w:tcPr>
            <w:tcW w:w="8409" w:type="dxa"/>
            <w:gridSpan w:val="5"/>
            <w:vAlign w:val="center"/>
          </w:tcPr>
          <w:p w14:paraId="788327D4" w14:textId="77777777" w:rsidR="000B6A0A" w:rsidRPr="0046672D" w:rsidRDefault="000B6A0A" w:rsidP="00F51A8E">
            <w:pPr>
              <w:jc w:val="center"/>
              <w:rPr>
                <w:rFonts w:ascii="Arial" w:hAnsi="Arial" w:cs="Arial"/>
                <w:b/>
                <w:sz w:val="20"/>
                <w:szCs w:val="20"/>
                <w:lang w:val="mn-MN"/>
              </w:rPr>
            </w:pPr>
            <w:r w:rsidRPr="0046672D">
              <w:rPr>
                <w:rFonts w:ascii="Arial" w:hAnsi="Arial" w:cs="Arial"/>
                <w:b/>
                <w:sz w:val="20"/>
                <w:szCs w:val="20"/>
                <w:lang w:val="mn-MN"/>
              </w:rPr>
              <w:t>НИЙТ</w:t>
            </w:r>
          </w:p>
        </w:tc>
        <w:tc>
          <w:tcPr>
            <w:tcW w:w="1372" w:type="dxa"/>
            <w:vAlign w:val="center"/>
          </w:tcPr>
          <w:p w14:paraId="5A9BF9E2" w14:textId="77777777" w:rsidR="000B6A0A" w:rsidRPr="0046672D" w:rsidRDefault="000B6A0A" w:rsidP="00F51A8E">
            <w:pPr>
              <w:jc w:val="right"/>
              <w:rPr>
                <w:rFonts w:ascii="Arial" w:hAnsi="Arial" w:cs="Arial"/>
                <w:b/>
                <w:sz w:val="20"/>
                <w:szCs w:val="20"/>
                <w:lang w:val="mn-MN"/>
              </w:rPr>
            </w:pPr>
            <w:r w:rsidRPr="0046672D">
              <w:rPr>
                <w:rFonts w:ascii="Arial" w:hAnsi="Arial" w:cs="Arial"/>
                <w:b/>
                <w:sz w:val="20"/>
                <w:szCs w:val="20"/>
                <w:lang w:val="mn-MN"/>
              </w:rPr>
              <w:t>876.5</w:t>
            </w:r>
          </w:p>
        </w:tc>
      </w:tr>
    </w:tbl>
    <w:p w14:paraId="7DE0DCBC" w14:textId="77777777" w:rsidR="000B6A0A" w:rsidRPr="0046672D" w:rsidRDefault="000B6A0A" w:rsidP="000B6A0A">
      <w:pPr>
        <w:ind w:left="7200"/>
        <w:jc w:val="both"/>
        <w:rPr>
          <w:rFonts w:ascii="Arial" w:hAnsi="Arial" w:cs="Arial"/>
          <w:sz w:val="24"/>
          <w:szCs w:val="24"/>
          <w:lang w:val="mn-MN"/>
        </w:rPr>
      </w:pPr>
      <w:r w:rsidRPr="0046672D">
        <w:rPr>
          <w:rFonts w:ascii="Arial" w:hAnsi="Arial" w:cs="Arial"/>
          <w:i/>
          <w:lang w:val="mn-MN"/>
        </w:rPr>
        <w:t>Эх сурвалж: Сангийн яам</w:t>
      </w:r>
    </w:p>
    <w:p w14:paraId="368116DA" w14:textId="77777777" w:rsidR="000B6A0A" w:rsidRPr="0046672D" w:rsidRDefault="000B6A0A" w:rsidP="000B6A0A">
      <w:pPr>
        <w:ind w:firstLine="360"/>
        <w:jc w:val="both"/>
        <w:rPr>
          <w:rFonts w:ascii="Arial" w:hAnsi="Arial" w:cs="Arial"/>
          <w:sz w:val="24"/>
          <w:szCs w:val="24"/>
          <w:lang w:val="mn-MN"/>
        </w:rPr>
      </w:pPr>
      <w:r w:rsidRPr="0046672D">
        <w:rPr>
          <w:rFonts w:ascii="Arial" w:hAnsi="Arial" w:cs="Arial"/>
          <w:sz w:val="24"/>
          <w:szCs w:val="24"/>
          <w:lang w:val="mn-MN"/>
        </w:rPr>
        <w:tab/>
        <w:t>Засгийн газрын өрийн баталгааны үлдэгдлийн 78.0 хувийг Монгол Улсын Хөгжлийн банкны 30.0 тэрбум иений “Самурай” үнэт цаасны төлбөр эзэлж байгаа бөгөөд 2023 онд төлөгдөх хуваарьтай бол “МИАТ” ХК-ийн зээл 2023 онд, Монгол Улсын Хөгжлийн банкны Хятадын хөгжлийн банкнаас авч ашигласан зээл 2022 онд, “Эрдэнэс Монгол” ХХК-ийн техник, туслалцааны зээл 2031 онд тус тус төлөгдөж дуусах хуваарьтай байна.</w:t>
      </w:r>
    </w:p>
    <w:p w14:paraId="11567B18" w14:textId="77777777" w:rsidR="000B6A0A" w:rsidRPr="0046672D" w:rsidRDefault="000B6A0A" w:rsidP="000B6A0A">
      <w:pPr>
        <w:pStyle w:val="Heading3"/>
        <w:spacing w:before="0" w:after="240" w:line="240" w:lineRule="auto"/>
        <w:rPr>
          <w:rFonts w:ascii="Arial" w:hAnsi="Arial" w:cs="Arial"/>
          <w:b/>
          <w:color w:val="auto"/>
        </w:rPr>
      </w:pPr>
      <w:r w:rsidRPr="0046672D">
        <w:rPr>
          <w:rFonts w:ascii="Arial" w:hAnsi="Arial" w:cs="Arial"/>
          <w:b/>
          <w:color w:val="auto"/>
        </w:rPr>
        <w:tab/>
        <w:t>1.2.5.Барих-Шилжүүлэх төрлийн концесс</w:t>
      </w:r>
    </w:p>
    <w:p w14:paraId="3DBD0FA6" w14:textId="77777777" w:rsidR="000B6A0A" w:rsidRPr="0046672D" w:rsidRDefault="000B6A0A" w:rsidP="000B6A0A">
      <w:pPr>
        <w:ind w:firstLine="360"/>
        <w:jc w:val="both"/>
        <w:rPr>
          <w:rFonts w:ascii="Arial" w:hAnsi="Arial" w:cs="Arial"/>
          <w:sz w:val="24"/>
          <w:szCs w:val="24"/>
          <w:lang w:val="mn-MN"/>
        </w:rPr>
      </w:pPr>
      <w:r w:rsidRPr="0046672D">
        <w:rPr>
          <w:rFonts w:ascii="Arial" w:hAnsi="Arial" w:cs="Arial"/>
          <w:sz w:val="24"/>
          <w:szCs w:val="24"/>
          <w:lang w:val="mn-MN"/>
        </w:rPr>
        <w:tab/>
        <w:t>Өрийн удирдлагын тухай хуулийн 40 дүгээр зүйлийн 40.7 дахь хэсэгт “Улсын болон орон нутгийн төсвөөс эргэн төлөгдөх нөхцөлтэй концессын гэрээг хүчин төгөлдөр болсон өдрөөр өрийн мэдээллийн нэгдсэн санд оруулж, концессын гэрээний дагуу улирал бүр гарсан ашиглалтыг үндэслэж Засгийн газрын өрд бүртгэнэ” гэж заасны дагуу Сангийн яам Концессын асуудал хариуцсан төрийн захиргааны байгууллага болон орон нутгийн Засаг захиргааны байгууллагуудаас улирал бүр ашиглалт, гүйцэтгэлийн мэдээллийг авч нэгтгэн Засгийн газрын өрд бүртгэж байна.</w:t>
      </w:r>
    </w:p>
    <w:p w14:paraId="190E3B88" w14:textId="77777777" w:rsidR="000B6A0A" w:rsidRPr="0046672D" w:rsidRDefault="000B6A0A" w:rsidP="000B6A0A">
      <w:pPr>
        <w:ind w:firstLine="360"/>
        <w:jc w:val="both"/>
        <w:rPr>
          <w:rFonts w:ascii="Arial" w:hAnsi="Arial" w:cs="Arial"/>
          <w:i/>
          <w:sz w:val="20"/>
          <w:szCs w:val="20"/>
          <w:lang w:val="mn-MN"/>
        </w:rPr>
      </w:pPr>
      <w:r w:rsidRPr="0046672D">
        <w:rPr>
          <w:rFonts w:ascii="Arial" w:hAnsi="Arial" w:cs="Arial"/>
          <w:noProof/>
          <w:sz w:val="20"/>
          <w:szCs w:val="20"/>
        </w:rPr>
        <w:drawing>
          <wp:anchor distT="0" distB="0" distL="114300" distR="114300" simplePos="0" relativeHeight="251658245" behindDoc="0" locked="0" layoutInCell="1" allowOverlap="1" wp14:anchorId="3FF79658" wp14:editId="184F93B9">
            <wp:simplePos x="0" y="0"/>
            <wp:positionH relativeFrom="column">
              <wp:posOffset>206375</wp:posOffset>
            </wp:positionH>
            <wp:positionV relativeFrom="paragraph">
              <wp:posOffset>212725</wp:posOffset>
            </wp:positionV>
            <wp:extent cx="5524500" cy="2331720"/>
            <wp:effectExtent l="0" t="0" r="0" b="1143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46672D">
        <w:rPr>
          <w:rFonts w:ascii="Arial" w:hAnsi="Arial" w:cs="Arial"/>
          <w:i/>
          <w:sz w:val="20"/>
          <w:szCs w:val="20"/>
          <w:lang w:val="mn-MN"/>
        </w:rPr>
        <w:tab/>
        <w:t xml:space="preserve">График № 5: Барих-Шилжүүлэх төрлийн концесс, 2017-2021 </w:t>
      </w:r>
      <w:r w:rsidRPr="0046672D">
        <w:rPr>
          <w:rFonts w:ascii="Arial" w:hAnsi="Arial" w:cs="Arial"/>
          <w:i/>
          <w:sz w:val="20"/>
          <w:szCs w:val="20"/>
          <w:lang w:val="mn-MN"/>
        </w:rPr>
        <w:tab/>
      </w:r>
      <w:r w:rsidRPr="0046672D">
        <w:rPr>
          <w:rFonts w:ascii="Arial" w:hAnsi="Arial" w:cs="Arial"/>
          <w:i/>
          <w:sz w:val="20"/>
          <w:szCs w:val="20"/>
          <w:lang w:val="mn-MN"/>
        </w:rPr>
        <w:tab/>
        <w:t>/тэрбум төгрөг/</w:t>
      </w:r>
    </w:p>
    <w:p w14:paraId="520E9D48" w14:textId="77777777" w:rsidR="000B6A0A" w:rsidRPr="0046672D" w:rsidRDefault="000B6A0A" w:rsidP="000B6A0A">
      <w:pPr>
        <w:ind w:firstLine="360"/>
        <w:jc w:val="both"/>
        <w:rPr>
          <w:rFonts w:ascii="Arial" w:hAnsi="Arial" w:cs="Arial"/>
          <w:sz w:val="24"/>
          <w:szCs w:val="24"/>
          <w:lang w:val="mn-MN"/>
        </w:rPr>
      </w:pPr>
    </w:p>
    <w:p w14:paraId="15B4BAEF" w14:textId="77777777" w:rsidR="000B6A0A" w:rsidRPr="0046672D" w:rsidRDefault="000B6A0A" w:rsidP="000B6A0A">
      <w:pPr>
        <w:pStyle w:val="ListParagraph"/>
        <w:ind w:left="0"/>
        <w:jc w:val="both"/>
        <w:rPr>
          <w:rFonts w:ascii="Arial" w:hAnsi="Arial" w:cs="Arial"/>
          <w:sz w:val="24"/>
          <w:szCs w:val="24"/>
          <w:lang w:val="mn-MN"/>
        </w:rPr>
      </w:pPr>
    </w:p>
    <w:p w14:paraId="51742C41" w14:textId="77777777" w:rsidR="000B6A0A" w:rsidRPr="0046672D" w:rsidRDefault="000B6A0A" w:rsidP="000B6A0A">
      <w:pPr>
        <w:pStyle w:val="ListParagraph"/>
        <w:ind w:left="0"/>
        <w:jc w:val="both"/>
        <w:rPr>
          <w:rFonts w:ascii="Arial" w:hAnsi="Arial" w:cs="Arial"/>
          <w:sz w:val="24"/>
          <w:szCs w:val="24"/>
          <w:lang w:val="mn-MN"/>
        </w:rPr>
      </w:pPr>
    </w:p>
    <w:p w14:paraId="70D293C0" w14:textId="77777777" w:rsidR="000B6A0A" w:rsidRPr="0046672D" w:rsidRDefault="000B6A0A" w:rsidP="000B6A0A">
      <w:pPr>
        <w:pStyle w:val="ListParagraph"/>
        <w:ind w:left="0"/>
        <w:jc w:val="both"/>
        <w:rPr>
          <w:rFonts w:ascii="Arial" w:hAnsi="Arial" w:cs="Arial"/>
          <w:sz w:val="24"/>
          <w:szCs w:val="24"/>
          <w:lang w:val="mn-MN"/>
        </w:rPr>
      </w:pPr>
    </w:p>
    <w:p w14:paraId="597B1A4B" w14:textId="77777777" w:rsidR="000B6A0A" w:rsidRPr="0046672D" w:rsidRDefault="000B6A0A" w:rsidP="000B6A0A">
      <w:pPr>
        <w:pStyle w:val="ListParagraph"/>
        <w:ind w:left="0"/>
        <w:jc w:val="both"/>
        <w:rPr>
          <w:rFonts w:ascii="Arial" w:hAnsi="Arial" w:cs="Arial"/>
          <w:sz w:val="24"/>
          <w:szCs w:val="24"/>
          <w:lang w:val="mn-MN"/>
        </w:rPr>
      </w:pPr>
    </w:p>
    <w:p w14:paraId="62AC9EAA" w14:textId="77777777" w:rsidR="000B6A0A" w:rsidRPr="0046672D" w:rsidRDefault="000B6A0A" w:rsidP="000B6A0A">
      <w:pPr>
        <w:pStyle w:val="ListParagraph"/>
        <w:ind w:left="0"/>
        <w:jc w:val="both"/>
        <w:rPr>
          <w:rFonts w:ascii="Arial" w:hAnsi="Arial" w:cs="Arial"/>
          <w:sz w:val="24"/>
          <w:szCs w:val="24"/>
          <w:lang w:val="mn-MN"/>
        </w:rPr>
      </w:pPr>
    </w:p>
    <w:p w14:paraId="134FBD6C" w14:textId="77777777" w:rsidR="000B6A0A" w:rsidRPr="0046672D" w:rsidRDefault="000B6A0A" w:rsidP="000B6A0A">
      <w:pPr>
        <w:pStyle w:val="ListParagraph"/>
        <w:ind w:left="0"/>
        <w:jc w:val="both"/>
        <w:rPr>
          <w:rFonts w:ascii="Arial" w:hAnsi="Arial" w:cs="Arial"/>
          <w:sz w:val="24"/>
          <w:szCs w:val="24"/>
          <w:lang w:val="mn-MN"/>
        </w:rPr>
      </w:pPr>
    </w:p>
    <w:p w14:paraId="75228DA8" w14:textId="77777777" w:rsidR="000B6A0A" w:rsidRPr="0046672D" w:rsidRDefault="000B6A0A" w:rsidP="000B6A0A">
      <w:pPr>
        <w:pStyle w:val="ListParagraph"/>
        <w:ind w:left="0"/>
        <w:jc w:val="both"/>
        <w:rPr>
          <w:rFonts w:ascii="Arial" w:hAnsi="Arial" w:cs="Arial"/>
          <w:sz w:val="24"/>
          <w:szCs w:val="24"/>
          <w:lang w:val="mn-MN"/>
        </w:rPr>
      </w:pPr>
    </w:p>
    <w:p w14:paraId="49A1536D" w14:textId="77777777" w:rsidR="000B6A0A" w:rsidRPr="0046672D" w:rsidRDefault="000B6A0A" w:rsidP="000B6A0A">
      <w:pPr>
        <w:pStyle w:val="ListParagraph"/>
        <w:ind w:left="0"/>
        <w:jc w:val="both"/>
        <w:rPr>
          <w:rFonts w:ascii="Arial" w:hAnsi="Arial" w:cs="Arial"/>
          <w:sz w:val="24"/>
          <w:szCs w:val="24"/>
          <w:lang w:val="mn-MN"/>
        </w:rPr>
      </w:pPr>
    </w:p>
    <w:p w14:paraId="4D0A5DEE" w14:textId="77777777" w:rsidR="000B6A0A" w:rsidRPr="0046672D" w:rsidRDefault="000B6A0A" w:rsidP="000B6A0A">
      <w:pPr>
        <w:pStyle w:val="ListParagraph"/>
        <w:ind w:left="0"/>
        <w:jc w:val="both"/>
        <w:rPr>
          <w:rFonts w:ascii="Arial" w:hAnsi="Arial" w:cs="Arial"/>
          <w:sz w:val="24"/>
          <w:szCs w:val="24"/>
          <w:lang w:val="mn-MN"/>
        </w:rPr>
      </w:pPr>
    </w:p>
    <w:p w14:paraId="21C24B6E" w14:textId="77777777" w:rsidR="000B6A0A" w:rsidRPr="0046672D" w:rsidRDefault="000B6A0A" w:rsidP="000B6A0A">
      <w:pPr>
        <w:pStyle w:val="ListParagraph"/>
        <w:ind w:left="0"/>
        <w:jc w:val="both"/>
        <w:rPr>
          <w:rFonts w:ascii="Arial" w:hAnsi="Arial" w:cs="Arial"/>
          <w:sz w:val="24"/>
          <w:szCs w:val="24"/>
          <w:lang w:val="mn-MN"/>
        </w:rPr>
      </w:pPr>
    </w:p>
    <w:p w14:paraId="35D477E1" w14:textId="77777777" w:rsidR="000B6A0A" w:rsidRPr="0046672D" w:rsidRDefault="000B6A0A" w:rsidP="000B6A0A">
      <w:pPr>
        <w:pStyle w:val="ListParagraph"/>
        <w:ind w:left="0"/>
        <w:jc w:val="both"/>
        <w:rPr>
          <w:rFonts w:ascii="Arial" w:hAnsi="Arial" w:cs="Arial"/>
          <w:i/>
          <w:lang w:val="mn-MN"/>
        </w:rPr>
      </w:pPr>
    </w:p>
    <w:p w14:paraId="3307C011" w14:textId="77777777" w:rsidR="000B6A0A" w:rsidRPr="0046672D" w:rsidRDefault="000B6A0A" w:rsidP="000B6A0A">
      <w:pPr>
        <w:pStyle w:val="ListParagraph"/>
        <w:spacing w:before="240"/>
        <w:ind w:left="5760" w:firstLine="720"/>
        <w:jc w:val="both"/>
        <w:rPr>
          <w:rFonts w:ascii="Arial" w:hAnsi="Arial" w:cs="Arial"/>
          <w:sz w:val="24"/>
          <w:szCs w:val="24"/>
          <w:lang w:val="mn-MN"/>
        </w:rPr>
      </w:pPr>
      <w:r w:rsidRPr="0046672D">
        <w:rPr>
          <w:rFonts w:ascii="Arial" w:hAnsi="Arial" w:cs="Arial"/>
          <w:i/>
          <w:lang w:val="mn-MN"/>
        </w:rPr>
        <w:t>Эх сурвалж: Сангийн яам</w:t>
      </w:r>
    </w:p>
    <w:p w14:paraId="4B601109" w14:textId="77777777" w:rsidR="000B6A0A" w:rsidRPr="0046672D" w:rsidRDefault="000B6A0A" w:rsidP="000B6A0A">
      <w:pPr>
        <w:pStyle w:val="ListParagraph"/>
        <w:ind w:left="0"/>
        <w:jc w:val="both"/>
        <w:rPr>
          <w:rFonts w:ascii="Arial" w:hAnsi="Arial" w:cs="Arial"/>
          <w:lang w:val="mn-MN"/>
        </w:rPr>
        <w:sectPr w:rsidR="000B6A0A" w:rsidRPr="0046672D" w:rsidSect="002A2F8C">
          <w:type w:val="continuous"/>
          <w:pgSz w:w="11906" w:h="16838" w:code="9"/>
          <w:pgMar w:top="1134" w:right="851" w:bottom="851" w:left="1247" w:header="720" w:footer="720" w:gutter="0"/>
          <w:cols w:space="720"/>
          <w:titlePg/>
          <w:docGrid w:linePitch="360"/>
        </w:sectPr>
      </w:pPr>
      <w:r w:rsidRPr="0046672D">
        <w:rPr>
          <w:rFonts w:ascii="Arial" w:hAnsi="Arial" w:cs="Arial"/>
          <w:sz w:val="24"/>
          <w:szCs w:val="24"/>
          <w:lang w:val="mn-MN"/>
        </w:rPr>
        <w:lastRenderedPageBreak/>
        <w:tab/>
        <w:t xml:space="preserve"> Улсын болон орон нутгийн төсвөөс эргэн төлөх нөхцөлтэй концессын өрийн үлдэгдэл 2021 оны эцсийн байдлаар 673.5 тэрбум төгрөгт хүрч, өмнөх оны мөн үеэс 176.7 тэрбум төгрөгөөр буурсан. Үүнээс Улсын төсвөөс эргэн төлөгдөх нийт 10 гэрээний өрийн үлдэгдэл 673.5 тэрбум төгрөг, орон нутгийн төсвөөс эргэн төлөгдөх нийт 3 гэрээний өрийн үлдэгдэл 0.4 тэрбум төгрөгтэй тэнцэж байна</w:t>
      </w:r>
    </w:p>
    <w:p w14:paraId="3F7A5D56" w14:textId="77777777" w:rsidR="000B6A0A" w:rsidRPr="0046672D" w:rsidRDefault="000B6A0A" w:rsidP="000B6A0A">
      <w:pPr>
        <w:rPr>
          <w:rFonts w:ascii="Arial" w:hAnsi="Arial" w:cs="Arial"/>
          <w:b/>
          <w:sz w:val="24"/>
          <w:szCs w:val="24"/>
          <w:lang w:val="mn-MN"/>
        </w:rPr>
      </w:pPr>
      <w:r w:rsidRPr="0046672D">
        <w:rPr>
          <w:rFonts w:ascii="Arial" w:hAnsi="Arial" w:cs="Arial"/>
          <w:b/>
          <w:sz w:val="24"/>
          <w:szCs w:val="24"/>
          <w:lang w:val="mn-MN"/>
        </w:rPr>
        <w:lastRenderedPageBreak/>
        <w:t xml:space="preserve">  2. САНХҮҮЖИЛТИЙН БОЛОМЖИТ ЭХ ҮҮСВЭР  </w:t>
      </w:r>
    </w:p>
    <w:p w14:paraId="545B88A1" w14:textId="77777777" w:rsidR="000B6A0A" w:rsidRPr="0046672D" w:rsidRDefault="000B6A0A" w:rsidP="000B6A0A">
      <w:pPr>
        <w:pStyle w:val="Heading1"/>
        <w:pBdr>
          <w:bottom w:val="none" w:sz="0" w:space="0" w:color="auto"/>
        </w:pBdr>
        <w:sectPr w:rsidR="000B6A0A" w:rsidRPr="0046672D" w:rsidSect="002A2F8C">
          <w:type w:val="continuous"/>
          <w:pgSz w:w="11906" w:h="16838" w:code="9"/>
          <w:pgMar w:top="1134" w:right="851" w:bottom="851" w:left="1247" w:header="720" w:footer="720" w:gutter="0"/>
          <w:pgNumType w:start="0"/>
          <w:cols w:space="720"/>
          <w:titlePg/>
          <w:docGrid w:linePitch="360"/>
        </w:sectPr>
      </w:pPr>
    </w:p>
    <w:p w14:paraId="569560E7" w14:textId="77777777" w:rsidR="000B6A0A" w:rsidRPr="0046672D" w:rsidRDefault="000B6A0A" w:rsidP="000B6A0A">
      <w:pPr>
        <w:pStyle w:val="NoSpacing"/>
        <w:spacing w:line="240" w:lineRule="auto"/>
        <w:ind w:left="720"/>
        <w:rPr>
          <w:rFonts w:ascii="Arial" w:hAnsi="Arial" w:cs="Arial"/>
          <w:b/>
          <w:sz w:val="24"/>
          <w:szCs w:val="24"/>
        </w:rPr>
      </w:pPr>
      <w:r w:rsidRPr="0046672D">
        <w:rPr>
          <w:rFonts w:ascii="Arial" w:hAnsi="Arial" w:cs="Arial"/>
          <w:b/>
          <w:sz w:val="24"/>
          <w:szCs w:val="24"/>
        </w:rPr>
        <w:lastRenderedPageBreak/>
        <w:t>2.1.Засгийн газрын гадаад зээлийн эх үүсвэр</w:t>
      </w:r>
    </w:p>
    <w:p w14:paraId="3BB364A5"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Засгийн газар 2017 оноос эхлэн Төрийн сангийн мөнгөн хөрөнгийн удирдлага, өрийн удирдлагыг сайжруулах зорилтын хүрээнд өндөр хүүтэй, богино хугацаатай арилжааны зээллэгээс татгалзаж, урт хугацаатай, хөнгөлөлттэй нөхцөлтэй гадаад зээлийг төсвийн санхүүжилтэд түлхүү авч ашиглаж эхэлсэн.</w:t>
      </w:r>
    </w:p>
    <w:p w14:paraId="6C28E8E7"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Засгийн газрын өрийн удирдлагын 2019-2022 оны стратегийн баримт бичгийн хэрэгжилтийн хугацаанд Засгийн газрын санхүүжилтийн хэрэгцээний дийлэнх хувийг гадаад хөнгөлөлттэй нөхцөлтэй зээлийн эх үүсвэрээр санхүүжүүлсээр ирсэн бол 2022 онд хөнгөлөлттэй нөхцөлтэй зээллэгийн эх үүсвэрийг үргэлжлүүлэн ашиглахаар төлөвлөсөн.</w:t>
      </w:r>
    </w:p>
    <w:p w14:paraId="787BD363" w14:textId="77777777" w:rsidR="000B6A0A" w:rsidRPr="0046672D" w:rsidRDefault="000B6A0A" w:rsidP="000B6A0A">
      <w:pPr>
        <w:pStyle w:val="NoSpacing"/>
        <w:spacing w:line="240" w:lineRule="auto"/>
        <w:rPr>
          <w:rFonts w:ascii="Arial" w:hAnsi="Arial" w:cs="Arial"/>
          <w:sz w:val="24"/>
          <w:szCs w:val="24"/>
        </w:rPr>
      </w:pPr>
    </w:p>
    <w:p w14:paraId="41696557" w14:textId="77777777" w:rsidR="000B6A0A" w:rsidRPr="0046672D" w:rsidRDefault="000B6A0A" w:rsidP="000B6A0A">
      <w:pPr>
        <w:pStyle w:val="NoSpacing"/>
        <w:spacing w:line="240" w:lineRule="auto"/>
        <w:rPr>
          <w:i/>
        </w:rPr>
        <w:sectPr w:rsidR="000B6A0A" w:rsidRPr="0046672D" w:rsidSect="002A2F8C">
          <w:type w:val="continuous"/>
          <w:pgSz w:w="11906" w:h="16838" w:code="9"/>
          <w:pgMar w:top="1134" w:right="851" w:bottom="851" w:left="1247" w:header="720" w:footer="720" w:gutter="0"/>
          <w:pgNumType w:start="0"/>
          <w:cols w:space="720"/>
          <w:titlePg/>
          <w:docGrid w:linePitch="360"/>
        </w:sectPr>
      </w:pPr>
    </w:p>
    <w:p w14:paraId="0361957F" w14:textId="77777777" w:rsidR="000B6A0A" w:rsidRPr="0046672D" w:rsidRDefault="000B6A0A" w:rsidP="000B6A0A">
      <w:pPr>
        <w:pStyle w:val="Caption"/>
        <w:keepNext/>
        <w:spacing w:after="0"/>
        <w:ind w:left="720"/>
        <w:rPr>
          <w:rFonts w:ascii="Arial" w:hAnsi="Arial" w:cs="Arial"/>
          <w:color w:val="auto"/>
          <w:sz w:val="20"/>
          <w:szCs w:val="20"/>
          <w:lang w:val="mn-MN"/>
        </w:rPr>
      </w:pPr>
      <w:r w:rsidRPr="0046672D">
        <w:rPr>
          <w:rFonts w:ascii="Arial" w:hAnsi="Arial" w:cs="Arial"/>
          <w:color w:val="auto"/>
          <w:sz w:val="20"/>
          <w:szCs w:val="20"/>
          <w:lang w:val="mn-MN"/>
        </w:rPr>
        <w:lastRenderedPageBreak/>
        <w:t>Хүснэгт</w:t>
      </w:r>
      <w:r w:rsidRPr="0046672D" w:rsidDel="00315F1E">
        <w:rPr>
          <w:rFonts w:ascii="Arial" w:hAnsi="Arial" w:cs="Arial"/>
          <w:color w:val="auto"/>
          <w:sz w:val="20"/>
          <w:szCs w:val="20"/>
          <w:lang w:val="mn-MN"/>
        </w:rPr>
        <w:t xml:space="preserve"> </w:t>
      </w:r>
      <w:r w:rsidRPr="0046672D">
        <w:rPr>
          <w:rFonts w:ascii="Arial" w:hAnsi="Arial" w:cs="Arial"/>
          <w:color w:val="auto"/>
          <w:sz w:val="20"/>
          <w:szCs w:val="20"/>
          <w:lang w:val="mn-MN"/>
        </w:rPr>
        <w:t>№ 7: Шинээр татсан эх үүсвэрийн хэмжээ, 2019-2021 он</w:t>
      </w:r>
      <w:r w:rsidRPr="0046672D">
        <w:rPr>
          <w:rFonts w:ascii="Arial" w:hAnsi="Arial" w:cs="Arial"/>
          <w:color w:val="auto"/>
          <w:sz w:val="20"/>
          <w:szCs w:val="20"/>
          <w:lang w:val="mn-MN"/>
        </w:rPr>
        <w:tab/>
      </w:r>
      <w:r w:rsidRPr="0046672D">
        <w:rPr>
          <w:rFonts w:ascii="Arial" w:hAnsi="Arial" w:cs="Arial"/>
          <w:color w:val="auto"/>
          <w:sz w:val="20"/>
          <w:szCs w:val="20"/>
          <w:lang w:val="mn-MN"/>
        </w:rPr>
        <w:tab/>
        <w:t>/тэрбум төгрөг/</w:t>
      </w:r>
    </w:p>
    <w:tbl>
      <w:tblPr>
        <w:tblStyle w:val="TableGrid"/>
        <w:tblW w:w="9798" w:type="dxa"/>
        <w:jc w:val="center"/>
        <w:tblLook w:val="04A0" w:firstRow="1" w:lastRow="0" w:firstColumn="1" w:lastColumn="0" w:noHBand="0" w:noVBand="1"/>
      </w:tblPr>
      <w:tblGrid>
        <w:gridCol w:w="5134"/>
        <w:gridCol w:w="1588"/>
        <w:gridCol w:w="1538"/>
        <w:gridCol w:w="1538"/>
      </w:tblGrid>
      <w:tr w:rsidR="000B6A0A" w:rsidRPr="0046672D" w14:paraId="74C9C33C" w14:textId="77777777" w:rsidTr="00F51A8E">
        <w:trPr>
          <w:trHeight w:val="260"/>
          <w:jc w:val="center"/>
        </w:trPr>
        <w:tc>
          <w:tcPr>
            <w:tcW w:w="5134" w:type="dxa"/>
            <w:shd w:val="clear" w:color="auto" w:fill="1F3864" w:themeFill="accent1" w:themeFillShade="80"/>
            <w:noWrap/>
            <w:hideMark/>
          </w:tcPr>
          <w:p w14:paraId="51B0E946" w14:textId="77777777" w:rsidR="000B6A0A" w:rsidRPr="0046672D" w:rsidRDefault="000B6A0A" w:rsidP="00F51A8E">
            <w:pPr>
              <w:jc w:val="center"/>
              <w:rPr>
                <w:rFonts w:ascii="Arial" w:eastAsia="Times New Roman" w:hAnsi="Arial" w:cs="Arial"/>
                <w:b/>
                <w:sz w:val="20"/>
                <w:szCs w:val="24"/>
                <w:lang w:val="mn-MN"/>
              </w:rPr>
            </w:pPr>
            <w:r w:rsidRPr="0046672D">
              <w:rPr>
                <w:rFonts w:ascii="Arial" w:eastAsia="Times New Roman" w:hAnsi="Arial" w:cs="Arial"/>
                <w:b/>
                <w:sz w:val="20"/>
                <w:szCs w:val="24"/>
                <w:lang w:val="mn-MN"/>
              </w:rPr>
              <w:t>Эх үүсвэр</w:t>
            </w:r>
          </w:p>
        </w:tc>
        <w:tc>
          <w:tcPr>
            <w:tcW w:w="1588" w:type="dxa"/>
            <w:shd w:val="clear" w:color="auto" w:fill="1F3864" w:themeFill="accent1" w:themeFillShade="80"/>
            <w:noWrap/>
            <w:hideMark/>
          </w:tcPr>
          <w:p w14:paraId="0AF20EDB" w14:textId="77777777" w:rsidR="000B6A0A" w:rsidRPr="0046672D" w:rsidRDefault="000B6A0A" w:rsidP="00F51A8E">
            <w:pPr>
              <w:jc w:val="center"/>
              <w:rPr>
                <w:rFonts w:ascii="Arial" w:eastAsia="Times New Roman" w:hAnsi="Arial" w:cs="Arial"/>
                <w:b/>
                <w:sz w:val="20"/>
                <w:szCs w:val="24"/>
                <w:lang w:val="mn-MN"/>
              </w:rPr>
            </w:pPr>
            <w:r w:rsidRPr="0046672D">
              <w:rPr>
                <w:rFonts w:ascii="Arial" w:eastAsia="Times New Roman" w:hAnsi="Arial" w:cs="Arial"/>
                <w:b/>
                <w:sz w:val="20"/>
                <w:szCs w:val="24"/>
                <w:lang w:val="mn-MN"/>
              </w:rPr>
              <w:t>2019</w:t>
            </w:r>
          </w:p>
        </w:tc>
        <w:tc>
          <w:tcPr>
            <w:tcW w:w="1538" w:type="dxa"/>
            <w:shd w:val="clear" w:color="auto" w:fill="1F3864" w:themeFill="accent1" w:themeFillShade="80"/>
            <w:noWrap/>
            <w:hideMark/>
          </w:tcPr>
          <w:p w14:paraId="033094AB" w14:textId="77777777" w:rsidR="000B6A0A" w:rsidRPr="0046672D" w:rsidRDefault="000B6A0A" w:rsidP="00F51A8E">
            <w:pPr>
              <w:jc w:val="center"/>
              <w:rPr>
                <w:rFonts w:ascii="Arial" w:eastAsia="Times New Roman" w:hAnsi="Arial" w:cs="Arial"/>
                <w:b/>
                <w:sz w:val="20"/>
                <w:szCs w:val="24"/>
                <w:lang w:val="mn-MN"/>
              </w:rPr>
            </w:pPr>
            <w:r w:rsidRPr="0046672D">
              <w:rPr>
                <w:rFonts w:ascii="Arial" w:eastAsia="Times New Roman" w:hAnsi="Arial" w:cs="Arial"/>
                <w:b/>
                <w:sz w:val="20"/>
                <w:szCs w:val="24"/>
                <w:lang w:val="mn-MN"/>
              </w:rPr>
              <w:t>2020</w:t>
            </w:r>
          </w:p>
        </w:tc>
        <w:tc>
          <w:tcPr>
            <w:tcW w:w="1538" w:type="dxa"/>
            <w:shd w:val="clear" w:color="auto" w:fill="1F3864" w:themeFill="accent1" w:themeFillShade="80"/>
            <w:noWrap/>
            <w:hideMark/>
          </w:tcPr>
          <w:p w14:paraId="79C424EE" w14:textId="77777777" w:rsidR="000B6A0A" w:rsidRPr="0046672D" w:rsidRDefault="000B6A0A" w:rsidP="00F51A8E">
            <w:pPr>
              <w:jc w:val="center"/>
              <w:rPr>
                <w:rFonts w:ascii="Arial" w:eastAsia="Times New Roman" w:hAnsi="Arial" w:cs="Arial"/>
                <w:b/>
                <w:sz w:val="20"/>
                <w:szCs w:val="24"/>
                <w:lang w:val="mn-MN"/>
              </w:rPr>
            </w:pPr>
            <w:r w:rsidRPr="0046672D">
              <w:rPr>
                <w:rFonts w:ascii="Arial" w:eastAsia="Times New Roman" w:hAnsi="Arial" w:cs="Arial"/>
                <w:b/>
                <w:sz w:val="20"/>
                <w:szCs w:val="24"/>
                <w:lang w:val="mn-MN"/>
              </w:rPr>
              <w:t>2021</w:t>
            </w:r>
          </w:p>
        </w:tc>
      </w:tr>
      <w:tr w:rsidR="000B6A0A" w:rsidRPr="0046672D" w14:paraId="1126196D" w14:textId="77777777" w:rsidTr="00F51A8E">
        <w:trPr>
          <w:trHeight w:val="260"/>
          <w:jc w:val="center"/>
        </w:trPr>
        <w:tc>
          <w:tcPr>
            <w:tcW w:w="5134" w:type="dxa"/>
            <w:noWrap/>
            <w:hideMark/>
          </w:tcPr>
          <w:p w14:paraId="7B53C09E" w14:textId="77777777" w:rsidR="000B6A0A" w:rsidRPr="0046672D" w:rsidRDefault="000B6A0A" w:rsidP="00F51A8E">
            <w:pPr>
              <w:ind w:firstLineChars="200" w:firstLine="400"/>
              <w:rPr>
                <w:rFonts w:ascii="Arial" w:eastAsia="Times New Roman" w:hAnsi="Arial" w:cs="Arial"/>
                <w:sz w:val="20"/>
                <w:szCs w:val="24"/>
                <w:lang w:val="mn-MN"/>
              </w:rPr>
            </w:pPr>
            <w:r w:rsidRPr="0046672D">
              <w:rPr>
                <w:rFonts w:ascii="Arial" w:eastAsia="Times New Roman" w:hAnsi="Arial" w:cs="Arial"/>
                <w:sz w:val="20"/>
                <w:szCs w:val="24"/>
                <w:lang w:val="mn-MN"/>
              </w:rPr>
              <w:t>Олон талт эх үүсвэр</w:t>
            </w:r>
          </w:p>
        </w:tc>
        <w:tc>
          <w:tcPr>
            <w:tcW w:w="1588" w:type="dxa"/>
            <w:noWrap/>
          </w:tcPr>
          <w:p w14:paraId="571155EC" w14:textId="77777777" w:rsidR="000B6A0A" w:rsidRPr="0046672D" w:rsidRDefault="000B6A0A" w:rsidP="00F51A8E">
            <w:pPr>
              <w:jc w:val="right"/>
              <w:rPr>
                <w:rFonts w:ascii="Arial" w:eastAsia="Times New Roman" w:hAnsi="Arial" w:cs="Arial"/>
                <w:sz w:val="20"/>
                <w:szCs w:val="24"/>
                <w:lang w:val="mn-MN"/>
              </w:rPr>
            </w:pPr>
            <w:r w:rsidRPr="0046672D">
              <w:rPr>
                <w:rFonts w:ascii="Arial" w:eastAsia="Times New Roman" w:hAnsi="Arial" w:cs="Arial"/>
                <w:sz w:val="20"/>
                <w:szCs w:val="24"/>
                <w:lang w:val="mn-MN"/>
              </w:rPr>
              <w:t>801.2</w:t>
            </w:r>
          </w:p>
        </w:tc>
        <w:tc>
          <w:tcPr>
            <w:tcW w:w="1538" w:type="dxa"/>
            <w:noWrap/>
          </w:tcPr>
          <w:p w14:paraId="4F1A278F" w14:textId="77777777" w:rsidR="000B6A0A" w:rsidRPr="0046672D" w:rsidRDefault="000B6A0A" w:rsidP="00F51A8E">
            <w:pPr>
              <w:jc w:val="right"/>
              <w:rPr>
                <w:rFonts w:ascii="Arial" w:eastAsia="Times New Roman" w:hAnsi="Arial" w:cs="Arial"/>
                <w:sz w:val="20"/>
                <w:szCs w:val="24"/>
                <w:lang w:val="mn-MN"/>
              </w:rPr>
            </w:pPr>
            <w:r w:rsidRPr="0046672D">
              <w:rPr>
                <w:rFonts w:ascii="Arial" w:eastAsia="Times New Roman" w:hAnsi="Arial" w:cs="Arial"/>
                <w:sz w:val="20"/>
                <w:szCs w:val="24"/>
                <w:lang w:val="mn-MN"/>
              </w:rPr>
              <w:t>2,030.4</w:t>
            </w:r>
          </w:p>
        </w:tc>
        <w:tc>
          <w:tcPr>
            <w:tcW w:w="1538" w:type="dxa"/>
            <w:noWrap/>
          </w:tcPr>
          <w:p w14:paraId="396C7736" w14:textId="77777777" w:rsidR="000B6A0A" w:rsidRPr="0046672D" w:rsidRDefault="000B6A0A" w:rsidP="00F51A8E">
            <w:pPr>
              <w:jc w:val="right"/>
              <w:rPr>
                <w:rFonts w:ascii="Arial" w:eastAsia="Times New Roman" w:hAnsi="Arial" w:cs="Arial"/>
                <w:sz w:val="20"/>
                <w:szCs w:val="24"/>
                <w:lang w:val="mn-MN"/>
              </w:rPr>
            </w:pPr>
            <w:r w:rsidRPr="0046672D">
              <w:rPr>
                <w:rFonts w:ascii="Arial" w:eastAsia="Times New Roman" w:hAnsi="Arial" w:cs="Arial"/>
                <w:sz w:val="20"/>
                <w:szCs w:val="24"/>
                <w:lang w:val="mn-MN"/>
              </w:rPr>
              <w:t>942.3</w:t>
            </w:r>
          </w:p>
        </w:tc>
      </w:tr>
      <w:tr w:rsidR="000B6A0A" w:rsidRPr="0046672D" w14:paraId="4BAF10FA" w14:textId="77777777" w:rsidTr="00F51A8E">
        <w:trPr>
          <w:trHeight w:val="260"/>
          <w:jc w:val="center"/>
        </w:trPr>
        <w:tc>
          <w:tcPr>
            <w:tcW w:w="5134" w:type="dxa"/>
            <w:noWrap/>
            <w:hideMark/>
          </w:tcPr>
          <w:p w14:paraId="7DAA3705" w14:textId="77777777" w:rsidR="000B6A0A" w:rsidRPr="0046672D" w:rsidRDefault="000B6A0A" w:rsidP="00F51A8E">
            <w:pPr>
              <w:ind w:firstLineChars="200" w:firstLine="400"/>
              <w:rPr>
                <w:rFonts w:ascii="Arial" w:eastAsia="Times New Roman" w:hAnsi="Arial" w:cs="Arial"/>
                <w:sz w:val="20"/>
                <w:szCs w:val="24"/>
                <w:lang w:val="mn-MN"/>
              </w:rPr>
            </w:pPr>
            <w:r w:rsidRPr="0046672D">
              <w:rPr>
                <w:rFonts w:ascii="Arial" w:eastAsia="Times New Roman" w:hAnsi="Arial" w:cs="Arial"/>
                <w:sz w:val="20"/>
                <w:szCs w:val="24"/>
                <w:lang w:val="mn-MN"/>
              </w:rPr>
              <w:t>Хоёр талт эх үүсвэр</w:t>
            </w:r>
          </w:p>
        </w:tc>
        <w:tc>
          <w:tcPr>
            <w:tcW w:w="1588" w:type="dxa"/>
            <w:noWrap/>
          </w:tcPr>
          <w:p w14:paraId="060DC583" w14:textId="77777777" w:rsidR="000B6A0A" w:rsidRPr="0046672D" w:rsidRDefault="000B6A0A" w:rsidP="00F51A8E">
            <w:pPr>
              <w:jc w:val="right"/>
              <w:rPr>
                <w:rFonts w:ascii="Arial" w:eastAsia="Times New Roman" w:hAnsi="Arial" w:cs="Arial"/>
                <w:sz w:val="20"/>
                <w:szCs w:val="24"/>
                <w:lang w:val="mn-MN"/>
              </w:rPr>
            </w:pPr>
            <w:r w:rsidRPr="0046672D">
              <w:rPr>
                <w:rFonts w:ascii="Arial" w:eastAsia="Times New Roman" w:hAnsi="Arial" w:cs="Arial"/>
                <w:sz w:val="20"/>
                <w:szCs w:val="24"/>
                <w:lang w:val="mn-MN"/>
              </w:rPr>
              <w:t>837.4</w:t>
            </w:r>
          </w:p>
        </w:tc>
        <w:tc>
          <w:tcPr>
            <w:tcW w:w="1538" w:type="dxa"/>
            <w:noWrap/>
          </w:tcPr>
          <w:p w14:paraId="595EEE75" w14:textId="77777777" w:rsidR="000B6A0A" w:rsidRPr="0046672D" w:rsidRDefault="000B6A0A" w:rsidP="00F51A8E">
            <w:pPr>
              <w:jc w:val="right"/>
              <w:rPr>
                <w:rFonts w:ascii="Arial" w:eastAsia="Times New Roman" w:hAnsi="Arial" w:cs="Arial"/>
                <w:sz w:val="20"/>
                <w:szCs w:val="24"/>
                <w:lang w:val="mn-MN"/>
              </w:rPr>
            </w:pPr>
            <w:r w:rsidRPr="0046672D">
              <w:rPr>
                <w:rFonts w:ascii="Arial" w:eastAsia="Times New Roman" w:hAnsi="Arial" w:cs="Arial"/>
                <w:sz w:val="20"/>
                <w:szCs w:val="24"/>
                <w:lang w:val="mn-MN"/>
              </w:rPr>
              <w:t>1,338.0</w:t>
            </w:r>
          </w:p>
        </w:tc>
        <w:tc>
          <w:tcPr>
            <w:tcW w:w="1538" w:type="dxa"/>
            <w:noWrap/>
          </w:tcPr>
          <w:p w14:paraId="29EEDD5D" w14:textId="7EEE7ABF" w:rsidR="000B6A0A" w:rsidRPr="0046672D" w:rsidRDefault="000B6A0A" w:rsidP="00F51A8E">
            <w:pPr>
              <w:jc w:val="right"/>
              <w:rPr>
                <w:rFonts w:ascii="Arial" w:eastAsia="Times New Roman" w:hAnsi="Arial" w:cs="Arial"/>
                <w:sz w:val="20"/>
                <w:szCs w:val="24"/>
                <w:lang w:val="mn-MN"/>
              </w:rPr>
            </w:pPr>
            <w:r w:rsidRPr="0046672D">
              <w:rPr>
                <w:rFonts w:ascii="Arial" w:eastAsia="Times New Roman" w:hAnsi="Arial" w:cs="Arial"/>
                <w:sz w:val="20"/>
                <w:szCs w:val="24"/>
                <w:lang w:val="mn-MN"/>
              </w:rPr>
              <w:t>44</w:t>
            </w:r>
            <w:r w:rsidR="009B46BB" w:rsidRPr="0046672D">
              <w:rPr>
                <w:rFonts w:ascii="Arial" w:eastAsia="Times New Roman" w:hAnsi="Arial" w:cs="Arial"/>
                <w:sz w:val="20"/>
                <w:szCs w:val="24"/>
                <w:lang w:val="mn-MN"/>
              </w:rPr>
              <w:t>9</w:t>
            </w:r>
            <w:r w:rsidRPr="0046672D">
              <w:rPr>
                <w:rFonts w:ascii="Arial" w:eastAsia="Times New Roman" w:hAnsi="Arial" w:cs="Arial"/>
                <w:sz w:val="20"/>
                <w:szCs w:val="24"/>
                <w:lang w:val="mn-MN"/>
              </w:rPr>
              <w:t>.</w:t>
            </w:r>
            <w:r w:rsidR="009B46BB" w:rsidRPr="0046672D">
              <w:rPr>
                <w:rFonts w:ascii="Arial" w:eastAsia="Times New Roman" w:hAnsi="Arial" w:cs="Arial"/>
                <w:sz w:val="20"/>
                <w:szCs w:val="24"/>
                <w:lang w:val="mn-MN"/>
              </w:rPr>
              <w:t>1</w:t>
            </w:r>
          </w:p>
        </w:tc>
      </w:tr>
      <w:tr w:rsidR="000B6A0A" w:rsidRPr="0046672D" w14:paraId="1013F331" w14:textId="77777777" w:rsidTr="00F51A8E">
        <w:trPr>
          <w:trHeight w:val="260"/>
          <w:jc w:val="center"/>
        </w:trPr>
        <w:tc>
          <w:tcPr>
            <w:tcW w:w="5134" w:type="dxa"/>
            <w:shd w:val="clear" w:color="auto" w:fill="1F3864" w:themeFill="accent1" w:themeFillShade="80"/>
            <w:noWrap/>
            <w:hideMark/>
          </w:tcPr>
          <w:p w14:paraId="162B18A5" w14:textId="77777777" w:rsidR="000B6A0A" w:rsidRPr="0046672D" w:rsidRDefault="000B6A0A" w:rsidP="00F51A8E">
            <w:pPr>
              <w:jc w:val="center"/>
              <w:rPr>
                <w:rFonts w:ascii="Arial" w:eastAsia="Times New Roman" w:hAnsi="Arial" w:cs="Arial"/>
                <w:b/>
                <w:sz w:val="20"/>
                <w:szCs w:val="24"/>
                <w:lang w:val="mn-MN"/>
              </w:rPr>
            </w:pPr>
            <w:r w:rsidRPr="0046672D">
              <w:rPr>
                <w:rFonts w:ascii="Arial" w:eastAsia="Times New Roman" w:hAnsi="Arial" w:cs="Arial"/>
                <w:b/>
                <w:sz w:val="20"/>
                <w:szCs w:val="24"/>
                <w:lang w:val="mn-MN"/>
              </w:rPr>
              <w:t>НИЙТ</w:t>
            </w:r>
          </w:p>
        </w:tc>
        <w:tc>
          <w:tcPr>
            <w:tcW w:w="1588" w:type="dxa"/>
            <w:shd w:val="clear" w:color="auto" w:fill="1F3864" w:themeFill="accent1" w:themeFillShade="80"/>
            <w:noWrap/>
          </w:tcPr>
          <w:p w14:paraId="0E5D32E8" w14:textId="77777777" w:rsidR="000B6A0A" w:rsidRPr="0046672D" w:rsidRDefault="000B6A0A" w:rsidP="00F51A8E">
            <w:pPr>
              <w:jc w:val="right"/>
              <w:rPr>
                <w:rFonts w:ascii="Arial" w:eastAsia="Times New Roman" w:hAnsi="Arial" w:cs="Arial"/>
                <w:b/>
                <w:sz w:val="20"/>
                <w:szCs w:val="20"/>
                <w:highlight w:val="yellow"/>
                <w:lang w:val="mn-MN"/>
              </w:rPr>
            </w:pPr>
            <w:r w:rsidRPr="0046672D">
              <w:rPr>
                <w:rFonts w:ascii="Arial" w:eastAsia="Times New Roman" w:hAnsi="Arial" w:cs="Arial"/>
                <w:b/>
                <w:sz w:val="20"/>
                <w:szCs w:val="24"/>
                <w:lang w:val="mn-MN"/>
              </w:rPr>
              <w:t>1,638.6</w:t>
            </w:r>
          </w:p>
        </w:tc>
        <w:tc>
          <w:tcPr>
            <w:tcW w:w="1538" w:type="dxa"/>
            <w:shd w:val="clear" w:color="auto" w:fill="1F3864" w:themeFill="accent1" w:themeFillShade="80"/>
            <w:noWrap/>
          </w:tcPr>
          <w:p w14:paraId="2876B444" w14:textId="77777777" w:rsidR="000B6A0A" w:rsidRPr="0046672D" w:rsidRDefault="000B6A0A" w:rsidP="00F51A8E">
            <w:pPr>
              <w:jc w:val="right"/>
              <w:rPr>
                <w:rFonts w:ascii="Arial" w:eastAsia="Times New Roman" w:hAnsi="Arial" w:cs="Arial"/>
                <w:b/>
                <w:sz w:val="20"/>
                <w:szCs w:val="24"/>
                <w:highlight w:val="yellow"/>
                <w:lang w:val="mn-MN"/>
              </w:rPr>
            </w:pPr>
            <w:r w:rsidRPr="0046672D">
              <w:rPr>
                <w:rFonts w:ascii="Arial" w:eastAsia="Times New Roman" w:hAnsi="Arial" w:cs="Arial"/>
                <w:b/>
                <w:sz w:val="20"/>
                <w:szCs w:val="24"/>
                <w:lang w:val="mn-MN"/>
              </w:rPr>
              <w:t>3,368.4</w:t>
            </w:r>
          </w:p>
        </w:tc>
        <w:tc>
          <w:tcPr>
            <w:tcW w:w="1538" w:type="dxa"/>
            <w:shd w:val="clear" w:color="auto" w:fill="1F3864" w:themeFill="accent1" w:themeFillShade="80"/>
            <w:noWrap/>
          </w:tcPr>
          <w:p w14:paraId="6CEE6134" w14:textId="4AFDBEB2" w:rsidR="000B6A0A" w:rsidRPr="0046672D" w:rsidRDefault="000B6A0A" w:rsidP="00F51A8E">
            <w:pPr>
              <w:jc w:val="right"/>
              <w:rPr>
                <w:rFonts w:ascii="Arial" w:eastAsia="Times New Roman" w:hAnsi="Arial" w:cs="Arial"/>
                <w:b/>
                <w:sz w:val="20"/>
                <w:szCs w:val="24"/>
                <w:highlight w:val="yellow"/>
                <w:lang w:val="mn-MN"/>
              </w:rPr>
            </w:pPr>
            <w:r w:rsidRPr="0046672D">
              <w:rPr>
                <w:rFonts w:ascii="Arial" w:eastAsia="Times New Roman" w:hAnsi="Arial" w:cs="Arial"/>
                <w:b/>
                <w:sz w:val="20"/>
                <w:szCs w:val="24"/>
                <w:lang w:val="mn-MN"/>
              </w:rPr>
              <w:t>1,39</w:t>
            </w:r>
            <w:r w:rsidR="00BA27E0" w:rsidRPr="0046672D">
              <w:rPr>
                <w:rFonts w:ascii="Arial" w:eastAsia="Times New Roman" w:hAnsi="Arial" w:cs="Arial"/>
                <w:b/>
                <w:sz w:val="20"/>
                <w:szCs w:val="24"/>
                <w:lang w:val="mn-MN"/>
              </w:rPr>
              <w:t>1</w:t>
            </w:r>
            <w:r w:rsidRPr="0046672D">
              <w:rPr>
                <w:rFonts w:ascii="Arial" w:eastAsia="Times New Roman" w:hAnsi="Arial" w:cs="Arial"/>
                <w:b/>
                <w:sz w:val="20"/>
                <w:szCs w:val="24"/>
                <w:lang w:val="mn-MN"/>
              </w:rPr>
              <w:t>.</w:t>
            </w:r>
            <w:r w:rsidR="00BA27E0" w:rsidRPr="0046672D">
              <w:rPr>
                <w:rFonts w:ascii="Arial" w:eastAsia="Times New Roman" w:hAnsi="Arial" w:cs="Arial"/>
                <w:b/>
                <w:sz w:val="20"/>
                <w:szCs w:val="24"/>
                <w:lang w:val="mn-MN"/>
              </w:rPr>
              <w:t>4</w:t>
            </w:r>
          </w:p>
        </w:tc>
      </w:tr>
    </w:tbl>
    <w:p w14:paraId="68655678" w14:textId="77777777" w:rsidR="000B6A0A" w:rsidRPr="0046672D" w:rsidRDefault="000B6A0A" w:rsidP="000B6A0A">
      <w:pPr>
        <w:pStyle w:val="ListParagraph"/>
        <w:spacing w:after="0"/>
        <w:ind w:left="6480" w:firstLine="720"/>
        <w:jc w:val="both"/>
        <w:rPr>
          <w:rFonts w:ascii="Arial" w:hAnsi="Arial" w:cs="Arial"/>
          <w:sz w:val="24"/>
          <w:szCs w:val="24"/>
          <w:lang w:val="mn-MN"/>
        </w:rPr>
      </w:pPr>
      <w:r w:rsidRPr="0046672D">
        <w:rPr>
          <w:rFonts w:ascii="Arial" w:hAnsi="Arial" w:cs="Arial"/>
          <w:i/>
          <w:lang w:val="mn-MN"/>
        </w:rPr>
        <w:t>Эх сурвалж: Сангийн яам</w:t>
      </w:r>
    </w:p>
    <w:p w14:paraId="12B3383A" w14:textId="77777777" w:rsidR="000B6A0A" w:rsidRPr="0046672D" w:rsidRDefault="000B6A0A" w:rsidP="000B6A0A">
      <w:pPr>
        <w:pStyle w:val="NoSpacing"/>
        <w:spacing w:after="0"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pgNumType w:start="0"/>
          <w:cols w:space="720"/>
          <w:titlePg/>
          <w:docGrid w:linePitch="360"/>
        </w:sectPr>
      </w:pPr>
    </w:p>
    <w:p w14:paraId="0080BB80" w14:textId="77777777" w:rsidR="000B6A0A" w:rsidRPr="0046672D" w:rsidRDefault="000B6A0A" w:rsidP="000B6A0A">
      <w:pPr>
        <w:pStyle w:val="Heading2"/>
        <w:numPr>
          <w:ilvl w:val="0"/>
          <w:numId w:val="0"/>
        </w:numPr>
        <w:ind w:left="540"/>
      </w:pPr>
      <w:r w:rsidRPr="0046672D">
        <w:lastRenderedPageBreak/>
        <w:tab/>
      </w:r>
    </w:p>
    <w:p w14:paraId="65A5DA57" w14:textId="77777777" w:rsidR="000B6A0A" w:rsidRPr="0046672D" w:rsidRDefault="000B6A0A" w:rsidP="000B6A0A">
      <w:pPr>
        <w:pStyle w:val="Heading2"/>
        <w:numPr>
          <w:ilvl w:val="0"/>
          <w:numId w:val="0"/>
        </w:numPr>
        <w:ind w:left="540"/>
      </w:pPr>
      <w:r w:rsidRPr="0046672D">
        <w:tab/>
        <w:t>2.2.Арилжааны нөхцөлтэй гадаад эх үүсвэр</w:t>
      </w:r>
    </w:p>
    <w:p w14:paraId="26B62854" w14:textId="77777777" w:rsidR="000B6A0A" w:rsidRPr="0046672D" w:rsidRDefault="000B6A0A" w:rsidP="000B6A0A">
      <w:pPr>
        <w:pStyle w:val="NoSpacing"/>
        <w:spacing w:after="0" w:line="240" w:lineRule="auto"/>
        <w:rPr>
          <w:rFonts w:ascii="Arial" w:hAnsi="Arial" w:cs="Arial"/>
          <w:sz w:val="24"/>
          <w:szCs w:val="24"/>
        </w:rPr>
      </w:pPr>
    </w:p>
    <w:p w14:paraId="3535F2F6" w14:textId="77777777" w:rsidR="000B6A0A" w:rsidRPr="0046672D" w:rsidRDefault="000B6A0A" w:rsidP="000B6A0A">
      <w:pPr>
        <w:pStyle w:val="NoSpacing"/>
        <w:spacing w:after="0"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pgNumType w:start="0"/>
          <w:cols w:space="720"/>
          <w:titlePg/>
          <w:docGrid w:linePitch="360"/>
        </w:sectPr>
      </w:pPr>
    </w:p>
    <w:p w14:paraId="71B6960A" w14:textId="77777777" w:rsidR="000B6A0A" w:rsidRPr="0046672D" w:rsidRDefault="000B6A0A" w:rsidP="000B6A0A">
      <w:pPr>
        <w:pStyle w:val="NoSpacing"/>
        <w:spacing w:after="0" w:line="240" w:lineRule="auto"/>
        <w:rPr>
          <w:rFonts w:ascii="Arial" w:hAnsi="Arial" w:cs="Arial"/>
          <w:sz w:val="24"/>
          <w:szCs w:val="24"/>
        </w:rPr>
      </w:pPr>
      <w:r w:rsidRPr="0046672D">
        <w:rPr>
          <w:rFonts w:ascii="Arial" w:hAnsi="Arial" w:cs="Arial"/>
          <w:sz w:val="24"/>
          <w:szCs w:val="24"/>
        </w:rPr>
        <w:lastRenderedPageBreak/>
        <w:tab/>
        <w:t>Засгийн газраас 2012 онд 1.5 тэрбум ам.доллартой тэнцэх Чингис гадаад бонд, 2015 онд 1.0 тэрбум юань (161.2 сая ам.доллар)-тай тэнцэх ДимСам бонд, 2016 онд 500.0 сая ам.доллартой тэнцэх Мазаалай бонд, 2017 онд 600.0 сая ам.доллартой тэнцэх Хуралдай бонд болон 800.0 сая ам.доллартой тэнцэх Гэрэгэ бонд зэрэг нийт 3.6 тэрбум ам.долларын гадаад үнэт цаасыг олон улсын зах зээлд арилжаалсан.</w:t>
      </w:r>
    </w:p>
    <w:p w14:paraId="04A6F333" w14:textId="77777777" w:rsidR="000B6A0A" w:rsidRPr="0046672D" w:rsidRDefault="000B6A0A" w:rsidP="000B6A0A">
      <w:pPr>
        <w:pStyle w:val="NoSpacing"/>
        <w:spacing w:after="0" w:line="240" w:lineRule="auto"/>
        <w:rPr>
          <w:rFonts w:ascii="Arial" w:hAnsi="Arial" w:cs="Arial"/>
          <w:sz w:val="24"/>
          <w:szCs w:val="24"/>
        </w:rPr>
      </w:pPr>
    </w:p>
    <w:p w14:paraId="13CC9EDB" w14:textId="77777777" w:rsidR="000B6A0A" w:rsidRPr="0046672D" w:rsidRDefault="000B6A0A" w:rsidP="000B6A0A">
      <w:pPr>
        <w:pStyle w:val="NoSpacing"/>
        <w:spacing w:after="0" w:line="240" w:lineRule="auto"/>
        <w:rPr>
          <w:rFonts w:ascii="Arial" w:hAnsi="Arial" w:cs="Arial"/>
          <w:sz w:val="24"/>
          <w:szCs w:val="24"/>
        </w:rPr>
      </w:pPr>
      <w:r w:rsidRPr="0046672D">
        <w:rPr>
          <w:rFonts w:ascii="Arial" w:hAnsi="Arial" w:cs="Arial"/>
          <w:sz w:val="24"/>
          <w:szCs w:val="24"/>
        </w:rPr>
        <w:tab/>
        <w:t>ОУВС-ийн өргөтгөсөн санхүүжилтийн хөтөлбөрийн хүрээнд Монгол Улсын Засгийн газар арилжааны нөхцөлтэй гадаад зээллэгийг зөвхөн дахин санхүүжилтийн зориулалтаар арилжаалахаар тохирсон бөгөөд шинээр төсөл хөтөлбөр, төсвийн алдагдлыг санхүүжүүлэх зориулалтаар гадаад зээллэг авахыг улирлын шалгуур үзүүлэлтийн дагуу хориглож байв.</w:t>
      </w:r>
    </w:p>
    <w:p w14:paraId="2BF6FB4C" w14:textId="77777777" w:rsidR="000B6A0A" w:rsidRPr="0046672D" w:rsidRDefault="000B6A0A" w:rsidP="000B6A0A">
      <w:pPr>
        <w:pStyle w:val="NoSpacing"/>
        <w:spacing w:after="0" w:line="240" w:lineRule="auto"/>
        <w:rPr>
          <w:rFonts w:ascii="Arial" w:hAnsi="Arial" w:cs="Arial"/>
          <w:sz w:val="24"/>
          <w:szCs w:val="24"/>
        </w:rPr>
      </w:pPr>
    </w:p>
    <w:p w14:paraId="3D134DE1" w14:textId="77777777" w:rsidR="000B6A0A" w:rsidRPr="0046672D" w:rsidRDefault="000B6A0A" w:rsidP="000B6A0A">
      <w:pPr>
        <w:pStyle w:val="NoSpacing"/>
        <w:spacing w:after="0" w:line="240" w:lineRule="auto"/>
        <w:rPr>
          <w:rFonts w:ascii="Arial" w:hAnsi="Arial" w:cs="Arial"/>
          <w:sz w:val="24"/>
          <w:szCs w:val="24"/>
        </w:rPr>
      </w:pPr>
      <w:r w:rsidRPr="0046672D">
        <w:rPr>
          <w:rFonts w:ascii="Arial" w:hAnsi="Arial" w:cs="Arial"/>
          <w:sz w:val="24"/>
          <w:szCs w:val="24"/>
        </w:rPr>
        <w:tab/>
        <w:t xml:space="preserve">Засгийн газрын өрийн удирдлагын 2023-2025 оны стратегийн баримт бичгийн хэрэгжих хугацаанд 2023 оны 5 дугаар сард Гэрэгэ </w:t>
      </w:r>
      <w:r w:rsidRPr="0046672D">
        <w:rPr>
          <w:rFonts w:ascii="Arial" w:hAnsi="Arial" w:cs="Arial"/>
          <w:color w:val="000000" w:themeColor="text1"/>
          <w:sz w:val="24"/>
          <w:szCs w:val="24"/>
        </w:rPr>
        <w:t>бондын</w:t>
      </w:r>
      <w:r w:rsidRPr="0046672D">
        <w:rPr>
          <w:rFonts w:ascii="Arial" w:hAnsi="Arial" w:cs="Arial"/>
          <w:color w:val="FF0000"/>
          <w:sz w:val="24"/>
          <w:szCs w:val="24"/>
        </w:rPr>
        <w:t xml:space="preserve"> </w:t>
      </w:r>
      <w:r w:rsidRPr="0046672D">
        <w:rPr>
          <w:rFonts w:ascii="Arial" w:hAnsi="Arial" w:cs="Arial"/>
          <w:sz w:val="24"/>
          <w:szCs w:val="24"/>
        </w:rPr>
        <w:t xml:space="preserve">533.1 сая ам.доллар, 2024 оны 3 дугаар сард Хуралдай үнэт цаасны 600.0 сая ам.доллартой тэнцэх эргэн төлөлтүүд хийгдэх бол 2023 оны 12 дугаар сард Хөгжлийн банкны зүгээс Засгийн газрын баталгаа бүхий Самурай </w:t>
      </w:r>
      <w:r w:rsidRPr="0046672D">
        <w:rPr>
          <w:rFonts w:ascii="Arial" w:hAnsi="Arial" w:cs="Arial"/>
          <w:color w:val="000000" w:themeColor="text1"/>
          <w:sz w:val="24"/>
          <w:szCs w:val="24"/>
        </w:rPr>
        <w:t>төслийн</w:t>
      </w:r>
      <w:r w:rsidRPr="0046672D">
        <w:rPr>
          <w:rFonts w:ascii="Arial" w:hAnsi="Arial" w:cs="Arial"/>
          <w:sz w:val="24"/>
          <w:szCs w:val="24"/>
        </w:rPr>
        <w:t xml:space="preserve"> хүрээнд арилжаалсан 30 тэрбум иентэй тэнцэх хөрөнгийг хөрөнгө оруулагчдад эргэн төлөх хуваарьтай байна.</w:t>
      </w:r>
    </w:p>
    <w:p w14:paraId="289F7E37" w14:textId="77777777" w:rsidR="000B6A0A" w:rsidRPr="0046672D" w:rsidRDefault="000B6A0A" w:rsidP="000B6A0A">
      <w:pPr>
        <w:pStyle w:val="NoSpacing"/>
        <w:spacing w:after="0" w:line="240" w:lineRule="auto"/>
        <w:rPr>
          <w:rFonts w:ascii="Arial" w:hAnsi="Arial" w:cs="Arial"/>
          <w:sz w:val="24"/>
          <w:szCs w:val="24"/>
        </w:rPr>
      </w:pPr>
    </w:p>
    <w:p w14:paraId="09B9D6C8" w14:textId="77777777" w:rsidR="000B6A0A" w:rsidRPr="0046672D" w:rsidRDefault="000B6A0A" w:rsidP="000B6A0A">
      <w:pPr>
        <w:spacing w:after="0"/>
        <w:ind w:firstLine="720"/>
        <w:jc w:val="both"/>
        <w:rPr>
          <w:rFonts w:ascii="Arial" w:hAnsi="Arial" w:cs="Arial"/>
          <w:i/>
          <w:sz w:val="20"/>
          <w:szCs w:val="20"/>
          <w:lang w:val="mn-MN"/>
        </w:rPr>
      </w:pPr>
      <w:r w:rsidRPr="0046672D">
        <w:rPr>
          <w:rFonts w:ascii="Arial" w:hAnsi="Arial" w:cs="Arial"/>
          <w:i/>
          <w:sz w:val="20"/>
          <w:szCs w:val="20"/>
          <w:lang w:val="mn-MN"/>
        </w:rPr>
        <w:t>Хүснэгт № 8: Гадаад үнэт цаас, тэрбум төгрөг, 2021.12.31</w:t>
      </w:r>
    </w:p>
    <w:tbl>
      <w:tblPr>
        <w:tblStyle w:val="TableGrid"/>
        <w:tblW w:w="9798" w:type="dxa"/>
        <w:tblLook w:val="04A0" w:firstRow="1" w:lastRow="0" w:firstColumn="1" w:lastColumn="0" w:noHBand="0" w:noVBand="1"/>
      </w:tblPr>
      <w:tblGrid>
        <w:gridCol w:w="678"/>
        <w:gridCol w:w="2530"/>
        <w:gridCol w:w="1794"/>
        <w:gridCol w:w="1308"/>
        <w:gridCol w:w="1805"/>
        <w:gridCol w:w="1683"/>
      </w:tblGrid>
      <w:tr w:rsidR="000B6A0A" w:rsidRPr="0046672D" w14:paraId="7CE1AEDB" w14:textId="77777777" w:rsidTr="00F51A8E">
        <w:trPr>
          <w:trHeight w:val="328"/>
        </w:trPr>
        <w:tc>
          <w:tcPr>
            <w:tcW w:w="678" w:type="dxa"/>
            <w:shd w:val="clear" w:color="auto" w:fill="1F3864" w:themeFill="accent1" w:themeFillShade="80"/>
            <w:noWrap/>
            <w:hideMark/>
          </w:tcPr>
          <w:p w14:paraId="39715F1E" w14:textId="77777777" w:rsidR="000B6A0A" w:rsidRPr="0046672D" w:rsidRDefault="000B6A0A" w:rsidP="00F51A8E">
            <w:pPr>
              <w:rPr>
                <w:rFonts w:ascii="Arial" w:eastAsia="Times New Roman" w:hAnsi="Arial" w:cs="Arial"/>
                <w:b/>
                <w:lang w:val="mn-MN"/>
              </w:rPr>
            </w:pPr>
            <w:r w:rsidRPr="0046672D">
              <w:rPr>
                <w:rFonts w:ascii="Arial" w:eastAsia="Times New Roman" w:hAnsi="Arial" w:cs="Arial"/>
                <w:b/>
                <w:lang w:val="mn-MN"/>
              </w:rPr>
              <w:t>№</w:t>
            </w:r>
          </w:p>
        </w:tc>
        <w:tc>
          <w:tcPr>
            <w:tcW w:w="2530" w:type="dxa"/>
            <w:shd w:val="clear" w:color="auto" w:fill="1F3864" w:themeFill="accent1" w:themeFillShade="80"/>
            <w:noWrap/>
            <w:hideMark/>
          </w:tcPr>
          <w:p w14:paraId="4D5ADF09"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Гадаад үнэт цаас</w:t>
            </w:r>
          </w:p>
        </w:tc>
        <w:tc>
          <w:tcPr>
            <w:tcW w:w="1794" w:type="dxa"/>
            <w:shd w:val="clear" w:color="auto" w:fill="1F3864" w:themeFill="accent1" w:themeFillShade="80"/>
            <w:noWrap/>
            <w:hideMark/>
          </w:tcPr>
          <w:p w14:paraId="322B2DA5"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Хүү</w:t>
            </w:r>
          </w:p>
        </w:tc>
        <w:tc>
          <w:tcPr>
            <w:tcW w:w="1308" w:type="dxa"/>
            <w:shd w:val="clear" w:color="auto" w:fill="1F3864" w:themeFill="accent1" w:themeFillShade="80"/>
            <w:noWrap/>
            <w:hideMark/>
          </w:tcPr>
          <w:p w14:paraId="3D82D075"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Хугацаа</w:t>
            </w:r>
          </w:p>
        </w:tc>
        <w:tc>
          <w:tcPr>
            <w:tcW w:w="1805" w:type="dxa"/>
            <w:shd w:val="clear" w:color="auto" w:fill="1F3864" w:themeFill="accent1" w:themeFillShade="80"/>
          </w:tcPr>
          <w:p w14:paraId="5E83F736"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Төлөгдөж дуусах огноо</w:t>
            </w:r>
          </w:p>
        </w:tc>
        <w:tc>
          <w:tcPr>
            <w:tcW w:w="1683" w:type="dxa"/>
            <w:shd w:val="clear" w:color="auto" w:fill="1F3864" w:themeFill="accent1" w:themeFillShade="80"/>
            <w:noWrap/>
            <w:hideMark/>
          </w:tcPr>
          <w:p w14:paraId="07AFC33D"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lang w:val="mn-MN"/>
              </w:rPr>
              <w:t>Үлдэгдэл</w:t>
            </w:r>
          </w:p>
        </w:tc>
      </w:tr>
      <w:tr w:rsidR="000B6A0A" w:rsidRPr="0046672D" w14:paraId="5A0DEED2" w14:textId="77777777" w:rsidTr="00F51A8E">
        <w:trPr>
          <w:trHeight w:val="338"/>
        </w:trPr>
        <w:tc>
          <w:tcPr>
            <w:tcW w:w="678" w:type="dxa"/>
            <w:noWrap/>
            <w:hideMark/>
          </w:tcPr>
          <w:p w14:paraId="78FE147F" w14:textId="77777777" w:rsidR="000B6A0A" w:rsidRPr="0046672D" w:rsidRDefault="000B6A0A" w:rsidP="00F51A8E">
            <w:pPr>
              <w:jc w:val="center"/>
              <w:rPr>
                <w:rFonts w:ascii="Arial" w:eastAsia="Times New Roman" w:hAnsi="Arial" w:cs="Arial"/>
                <w:lang w:val="mn-MN"/>
              </w:rPr>
            </w:pPr>
            <w:r w:rsidRPr="0046672D">
              <w:rPr>
                <w:rFonts w:ascii="Arial" w:eastAsia="Times New Roman" w:hAnsi="Arial" w:cs="Arial"/>
                <w:lang w:val="mn-MN"/>
              </w:rPr>
              <w:lastRenderedPageBreak/>
              <w:t>1</w:t>
            </w:r>
          </w:p>
        </w:tc>
        <w:tc>
          <w:tcPr>
            <w:tcW w:w="2530" w:type="dxa"/>
            <w:noWrap/>
            <w:hideMark/>
          </w:tcPr>
          <w:p w14:paraId="46653F9A" w14:textId="77777777" w:rsidR="000B6A0A" w:rsidRPr="0046672D" w:rsidRDefault="000B6A0A" w:rsidP="00F51A8E">
            <w:pPr>
              <w:rPr>
                <w:rFonts w:ascii="Arial" w:eastAsia="Times New Roman" w:hAnsi="Arial" w:cs="Arial"/>
                <w:lang w:val="mn-MN"/>
              </w:rPr>
            </w:pPr>
            <w:r w:rsidRPr="0046672D">
              <w:rPr>
                <w:rFonts w:ascii="Arial" w:eastAsia="Times New Roman" w:hAnsi="Arial" w:cs="Arial"/>
                <w:lang w:val="mn-MN"/>
              </w:rPr>
              <w:t>Чингис-2022</w:t>
            </w:r>
          </w:p>
        </w:tc>
        <w:tc>
          <w:tcPr>
            <w:tcW w:w="1794" w:type="dxa"/>
            <w:noWrap/>
            <w:hideMark/>
          </w:tcPr>
          <w:p w14:paraId="3545CD57"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5.125%</w:t>
            </w:r>
          </w:p>
        </w:tc>
        <w:tc>
          <w:tcPr>
            <w:tcW w:w="1308" w:type="dxa"/>
            <w:noWrap/>
            <w:hideMark/>
          </w:tcPr>
          <w:p w14:paraId="51E346A4"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10 жил</w:t>
            </w:r>
          </w:p>
        </w:tc>
        <w:tc>
          <w:tcPr>
            <w:tcW w:w="1805" w:type="dxa"/>
          </w:tcPr>
          <w:p w14:paraId="1719D8B9"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2022.12</w:t>
            </w:r>
          </w:p>
        </w:tc>
        <w:tc>
          <w:tcPr>
            <w:tcW w:w="1683" w:type="dxa"/>
            <w:noWrap/>
            <w:hideMark/>
          </w:tcPr>
          <w:p w14:paraId="559BEE33"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389.6</w:t>
            </w:r>
          </w:p>
        </w:tc>
      </w:tr>
      <w:tr w:rsidR="000B6A0A" w:rsidRPr="0046672D" w14:paraId="15F63ECF" w14:textId="77777777" w:rsidTr="00F51A8E">
        <w:trPr>
          <w:trHeight w:val="338"/>
        </w:trPr>
        <w:tc>
          <w:tcPr>
            <w:tcW w:w="678" w:type="dxa"/>
            <w:noWrap/>
          </w:tcPr>
          <w:p w14:paraId="638FD563"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2</w:t>
            </w:r>
          </w:p>
        </w:tc>
        <w:tc>
          <w:tcPr>
            <w:tcW w:w="2530" w:type="dxa"/>
            <w:noWrap/>
          </w:tcPr>
          <w:p w14:paraId="1FFA34C6" w14:textId="77777777" w:rsidR="000B6A0A" w:rsidRPr="0046672D" w:rsidRDefault="000B6A0A" w:rsidP="00F51A8E">
            <w:pPr>
              <w:rPr>
                <w:rFonts w:ascii="Arial" w:eastAsia="Times New Roman" w:hAnsi="Arial" w:cs="Arial"/>
                <w:color w:val="000000"/>
                <w:lang w:val="mn-MN"/>
              </w:rPr>
            </w:pPr>
            <w:r w:rsidRPr="0046672D">
              <w:rPr>
                <w:rFonts w:ascii="Arial" w:eastAsia="Times New Roman" w:hAnsi="Arial" w:cs="Arial"/>
                <w:lang w:val="mn-MN"/>
              </w:rPr>
              <w:t>Гэрэгэ</w:t>
            </w:r>
          </w:p>
        </w:tc>
        <w:tc>
          <w:tcPr>
            <w:tcW w:w="1794" w:type="dxa"/>
            <w:noWrap/>
          </w:tcPr>
          <w:p w14:paraId="5CC7426E"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5.625%</w:t>
            </w:r>
          </w:p>
        </w:tc>
        <w:tc>
          <w:tcPr>
            <w:tcW w:w="1308" w:type="dxa"/>
            <w:noWrap/>
          </w:tcPr>
          <w:p w14:paraId="634C6022"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5.5 жил</w:t>
            </w:r>
          </w:p>
        </w:tc>
        <w:tc>
          <w:tcPr>
            <w:tcW w:w="1805" w:type="dxa"/>
          </w:tcPr>
          <w:p w14:paraId="0410E0F5"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2023.05</w:t>
            </w:r>
          </w:p>
        </w:tc>
        <w:tc>
          <w:tcPr>
            <w:tcW w:w="1683" w:type="dxa"/>
            <w:noWrap/>
          </w:tcPr>
          <w:p w14:paraId="1692BA00"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1,518.4</w:t>
            </w:r>
          </w:p>
        </w:tc>
      </w:tr>
      <w:tr w:rsidR="000B6A0A" w:rsidRPr="0046672D" w14:paraId="57494F6D" w14:textId="77777777" w:rsidTr="00F51A8E">
        <w:trPr>
          <w:trHeight w:val="338"/>
        </w:trPr>
        <w:tc>
          <w:tcPr>
            <w:tcW w:w="678" w:type="dxa"/>
            <w:noWrap/>
            <w:hideMark/>
          </w:tcPr>
          <w:p w14:paraId="22D45681" w14:textId="77777777" w:rsidR="000B6A0A" w:rsidRPr="0046672D" w:rsidRDefault="000B6A0A" w:rsidP="00F51A8E">
            <w:pPr>
              <w:jc w:val="center"/>
              <w:rPr>
                <w:rFonts w:ascii="Arial" w:eastAsia="Times New Roman" w:hAnsi="Arial" w:cs="Arial"/>
                <w:lang w:val="mn-MN"/>
              </w:rPr>
            </w:pPr>
            <w:r w:rsidRPr="0046672D">
              <w:rPr>
                <w:rFonts w:ascii="Arial" w:eastAsia="Times New Roman" w:hAnsi="Arial" w:cs="Arial"/>
                <w:lang w:val="mn-MN"/>
              </w:rPr>
              <w:t>3</w:t>
            </w:r>
          </w:p>
        </w:tc>
        <w:tc>
          <w:tcPr>
            <w:tcW w:w="2530" w:type="dxa"/>
            <w:noWrap/>
          </w:tcPr>
          <w:p w14:paraId="47075B65" w14:textId="77777777" w:rsidR="000B6A0A" w:rsidRPr="0046672D" w:rsidRDefault="000B6A0A" w:rsidP="00F51A8E">
            <w:pPr>
              <w:rPr>
                <w:rFonts w:ascii="Arial" w:eastAsia="Times New Roman" w:hAnsi="Arial" w:cs="Arial"/>
                <w:lang w:val="mn-MN"/>
              </w:rPr>
            </w:pPr>
            <w:r w:rsidRPr="0046672D">
              <w:rPr>
                <w:rFonts w:ascii="Arial" w:eastAsia="Times New Roman" w:hAnsi="Arial" w:cs="Arial"/>
                <w:color w:val="000000"/>
                <w:lang w:val="mn-MN"/>
              </w:rPr>
              <w:t>Хуралдай</w:t>
            </w:r>
          </w:p>
        </w:tc>
        <w:tc>
          <w:tcPr>
            <w:tcW w:w="1794" w:type="dxa"/>
            <w:noWrap/>
          </w:tcPr>
          <w:p w14:paraId="004A04F1"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8.75%</w:t>
            </w:r>
          </w:p>
        </w:tc>
        <w:tc>
          <w:tcPr>
            <w:tcW w:w="1308" w:type="dxa"/>
            <w:noWrap/>
          </w:tcPr>
          <w:p w14:paraId="32AC3D76"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7 жил</w:t>
            </w:r>
          </w:p>
        </w:tc>
        <w:tc>
          <w:tcPr>
            <w:tcW w:w="1805" w:type="dxa"/>
          </w:tcPr>
          <w:p w14:paraId="14BE9C48"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2024.03</w:t>
            </w:r>
          </w:p>
        </w:tc>
        <w:tc>
          <w:tcPr>
            <w:tcW w:w="1683" w:type="dxa"/>
            <w:noWrap/>
          </w:tcPr>
          <w:p w14:paraId="6F7E31CC"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1,709.1</w:t>
            </w:r>
          </w:p>
        </w:tc>
      </w:tr>
      <w:tr w:rsidR="000B6A0A" w:rsidRPr="0046672D" w14:paraId="717846E3" w14:textId="77777777" w:rsidTr="00F51A8E">
        <w:trPr>
          <w:trHeight w:val="338"/>
        </w:trPr>
        <w:tc>
          <w:tcPr>
            <w:tcW w:w="678" w:type="dxa"/>
            <w:noWrap/>
            <w:hideMark/>
          </w:tcPr>
          <w:p w14:paraId="3278ED3A"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4</w:t>
            </w:r>
          </w:p>
        </w:tc>
        <w:tc>
          <w:tcPr>
            <w:tcW w:w="2530" w:type="dxa"/>
            <w:noWrap/>
            <w:hideMark/>
          </w:tcPr>
          <w:p w14:paraId="6431A1BC" w14:textId="77777777" w:rsidR="000B6A0A" w:rsidRPr="0046672D" w:rsidRDefault="000B6A0A" w:rsidP="00F51A8E">
            <w:pPr>
              <w:rPr>
                <w:rFonts w:ascii="Arial" w:eastAsia="Times New Roman" w:hAnsi="Arial" w:cs="Arial"/>
                <w:color w:val="000000"/>
                <w:lang w:val="mn-MN"/>
              </w:rPr>
            </w:pPr>
            <w:r w:rsidRPr="0046672D">
              <w:rPr>
                <w:rFonts w:ascii="Arial" w:eastAsia="Times New Roman" w:hAnsi="Arial" w:cs="Arial"/>
                <w:color w:val="000000"/>
                <w:lang w:val="mn-MN"/>
              </w:rPr>
              <w:t>Номад</w:t>
            </w:r>
          </w:p>
        </w:tc>
        <w:tc>
          <w:tcPr>
            <w:tcW w:w="1794" w:type="dxa"/>
            <w:noWrap/>
            <w:hideMark/>
          </w:tcPr>
          <w:p w14:paraId="5F169711"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5.125%</w:t>
            </w:r>
          </w:p>
        </w:tc>
        <w:tc>
          <w:tcPr>
            <w:tcW w:w="1308" w:type="dxa"/>
            <w:noWrap/>
            <w:hideMark/>
          </w:tcPr>
          <w:p w14:paraId="00AE44FD"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5.5 жил</w:t>
            </w:r>
          </w:p>
        </w:tc>
        <w:tc>
          <w:tcPr>
            <w:tcW w:w="1805" w:type="dxa"/>
          </w:tcPr>
          <w:p w14:paraId="38996145"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2026.04</w:t>
            </w:r>
          </w:p>
        </w:tc>
        <w:tc>
          <w:tcPr>
            <w:tcW w:w="1683" w:type="dxa"/>
            <w:noWrap/>
            <w:hideMark/>
          </w:tcPr>
          <w:p w14:paraId="6F357938" w14:textId="77777777" w:rsidR="000B6A0A" w:rsidRPr="0046672D" w:rsidRDefault="000B6A0A" w:rsidP="00F51A8E">
            <w:pPr>
              <w:jc w:val="right"/>
              <w:rPr>
                <w:rFonts w:ascii="Arial" w:eastAsia="Times New Roman" w:hAnsi="Arial" w:cs="Arial"/>
                <w:color w:val="000000"/>
                <w:lang w:val="mn-MN"/>
              </w:rPr>
            </w:pPr>
            <w:r w:rsidRPr="0046672D">
              <w:rPr>
                <w:rFonts w:ascii="Arial" w:eastAsia="Times New Roman" w:hAnsi="Arial" w:cs="Arial"/>
                <w:lang w:val="mn-MN"/>
              </w:rPr>
              <w:t>1,709.1</w:t>
            </w:r>
          </w:p>
        </w:tc>
      </w:tr>
      <w:tr w:rsidR="000B6A0A" w:rsidRPr="0046672D" w14:paraId="3AC24B41" w14:textId="77777777" w:rsidTr="00F51A8E">
        <w:trPr>
          <w:trHeight w:val="338"/>
        </w:trPr>
        <w:tc>
          <w:tcPr>
            <w:tcW w:w="678" w:type="dxa"/>
            <w:noWrap/>
            <w:hideMark/>
          </w:tcPr>
          <w:p w14:paraId="2E4461E2" w14:textId="77777777" w:rsidR="000B6A0A" w:rsidRPr="0046672D" w:rsidRDefault="000B6A0A" w:rsidP="00F51A8E">
            <w:pPr>
              <w:jc w:val="center"/>
              <w:rPr>
                <w:rFonts w:ascii="Arial" w:eastAsia="Times New Roman" w:hAnsi="Arial" w:cs="Arial"/>
                <w:lang w:val="mn-MN"/>
              </w:rPr>
            </w:pPr>
            <w:r w:rsidRPr="0046672D">
              <w:rPr>
                <w:rFonts w:ascii="Arial" w:eastAsia="Times New Roman" w:hAnsi="Arial" w:cs="Arial"/>
                <w:lang w:val="mn-MN"/>
              </w:rPr>
              <w:t>5</w:t>
            </w:r>
          </w:p>
        </w:tc>
        <w:tc>
          <w:tcPr>
            <w:tcW w:w="2530" w:type="dxa"/>
            <w:noWrap/>
            <w:hideMark/>
          </w:tcPr>
          <w:p w14:paraId="106BF8D7" w14:textId="77777777" w:rsidR="000B6A0A" w:rsidRPr="0046672D" w:rsidRDefault="000B6A0A" w:rsidP="00F51A8E">
            <w:pPr>
              <w:rPr>
                <w:rFonts w:ascii="Arial" w:eastAsia="Times New Roman" w:hAnsi="Arial" w:cs="Arial"/>
                <w:lang w:val="mn-MN"/>
              </w:rPr>
            </w:pPr>
            <w:r w:rsidRPr="0046672D">
              <w:rPr>
                <w:rFonts w:ascii="Arial" w:eastAsia="Times New Roman" w:hAnsi="Arial" w:cs="Arial"/>
                <w:lang w:val="mn-MN"/>
              </w:rPr>
              <w:t>Сенчири-2027</w:t>
            </w:r>
          </w:p>
        </w:tc>
        <w:tc>
          <w:tcPr>
            <w:tcW w:w="1794" w:type="dxa"/>
            <w:noWrap/>
            <w:hideMark/>
          </w:tcPr>
          <w:p w14:paraId="19360C80"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3.50%</w:t>
            </w:r>
          </w:p>
        </w:tc>
        <w:tc>
          <w:tcPr>
            <w:tcW w:w="1308" w:type="dxa"/>
            <w:noWrap/>
            <w:hideMark/>
          </w:tcPr>
          <w:p w14:paraId="498A4D69"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6 жил</w:t>
            </w:r>
          </w:p>
        </w:tc>
        <w:tc>
          <w:tcPr>
            <w:tcW w:w="1805" w:type="dxa"/>
          </w:tcPr>
          <w:p w14:paraId="59C896DA"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2027.07</w:t>
            </w:r>
          </w:p>
        </w:tc>
        <w:tc>
          <w:tcPr>
            <w:tcW w:w="1683" w:type="dxa"/>
            <w:noWrap/>
            <w:hideMark/>
          </w:tcPr>
          <w:p w14:paraId="7F4FFDA3"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1,424.2</w:t>
            </w:r>
          </w:p>
        </w:tc>
      </w:tr>
      <w:tr w:rsidR="000B6A0A" w:rsidRPr="0046672D" w14:paraId="431903D2" w14:textId="77777777" w:rsidTr="00F51A8E">
        <w:trPr>
          <w:trHeight w:val="338"/>
        </w:trPr>
        <w:tc>
          <w:tcPr>
            <w:tcW w:w="678" w:type="dxa"/>
            <w:noWrap/>
            <w:hideMark/>
          </w:tcPr>
          <w:p w14:paraId="4ACDCBF6"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6</w:t>
            </w:r>
          </w:p>
        </w:tc>
        <w:tc>
          <w:tcPr>
            <w:tcW w:w="2530" w:type="dxa"/>
            <w:noWrap/>
            <w:hideMark/>
          </w:tcPr>
          <w:p w14:paraId="541683EB" w14:textId="77777777" w:rsidR="000B6A0A" w:rsidRPr="0046672D" w:rsidRDefault="000B6A0A" w:rsidP="00F51A8E">
            <w:pPr>
              <w:rPr>
                <w:rFonts w:ascii="Arial" w:eastAsia="Times New Roman" w:hAnsi="Arial" w:cs="Arial"/>
                <w:color w:val="000000"/>
                <w:lang w:val="mn-MN"/>
              </w:rPr>
            </w:pPr>
            <w:r w:rsidRPr="0046672D">
              <w:rPr>
                <w:rFonts w:ascii="Arial" w:eastAsia="Times New Roman" w:hAnsi="Arial" w:cs="Arial"/>
                <w:color w:val="000000"/>
                <w:lang w:val="mn-MN"/>
              </w:rPr>
              <w:t>Сенчири-2031</w:t>
            </w:r>
          </w:p>
        </w:tc>
        <w:tc>
          <w:tcPr>
            <w:tcW w:w="1794" w:type="dxa"/>
            <w:noWrap/>
            <w:hideMark/>
          </w:tcPr>
          <w:p w14:paraId="7ECFA941"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4.45%</w:t>
            </w:r>
          </w:p>
        </w:tc>
        <w:tc>
          <w:tcPr>
            <w:tcW w:w="1308" w:type="dxa"/>
            <w:noWrap/>
            <w:hideMark/>
          </w:tcPr>
          <w:p w14:paraId="7F9D2F7A" w14:textId="77777777" w:rsidR="000B6A0A" w:rsidRPr="0046672D" w:rsidRDefault="000B6A0A" w:rsidP="00F51A8E">
            <w:pPr>
              <w:jc w:val="center"/>
              <w:rPr>
                <w:rFonts w:ascii="Arial" w:eastAsia="Times New Roman" w:hAnsi="Arial" w:cs="Arial"/>
                <w:color w:val="000000"/>
                <w:lang w:val="mn-MN"/>
              </w:rPr>
            </w:pPr>
            <w:r w:rsidRPr="0046672D">
              <w:rPr>
                <w:rFonts w:ascii="Arial" w:eastAsia="Times New Roman" w:hAnsi="Arial" w:cs="Arial"/>
                <w:color w:val="000000"/>
                <w:lang w:val="mn-MN"/>
              </w:rPr>
              <w:t>10 жил</w:t>
            </w:r>
          </w:p>
        </w:tc>
        <w:tc>
          <w:tcPr>
            <w:tcW w:w="1805" w:type="dxa"/>
          </w:tcPr>
          <w:p w14:paraId="4C3347BE" w14:textId="77777777" w:rsidR="000B6A0A" w:rsidRPr="0046672D" w:rsidRDefault="000B6A0A" w:rsidP="00F51A8E">
            <w:pPr>
              <w:jc w:val="right"/>
              <w:rPr>
                <w:rFonts w:ascii="Arial" w:eastAsia="Times New Roman" w:hAnsi="Arial" w:cs="Arial"/>
                <w:lang w:val="mn-MN"/>
              </w:rPr>
            </w:pPr>
            <w:r w:rsidRPr="0046672D">
              <w:rPr>
                <w:rFonts w:ascii="Arial" w:eastAsia="Times New Roman" w:hAnsi="Arial" w:cs="Arial"/>
                <w:lang w:val="mn-MN"/>
              </w:rPr>
              <w:t>2031.07</w:t>
            </w:r>
          </w:p>
        </w:tc>
        <w:tc>
          <w:tcPr>
            <w:tcW w:w="1683" w:type="dxa"/>
            <w:noWrap/>
            <w:hideMark/>
          </w:tcPr>
          <w:p w14:paraId="66541791" w14:textId="77777777" w:rsidR="000B6A0A" w:rsidRPr="0046672D" w:rsidRDefault="000B6A0A" w:rsidP="00F51A8E">
            <w:pPr>
              <w:jc w:val="right"/>
              <w:rPr>
                <w:rFonts w:ascii="Arial" w:eastAsia="Times New Roman" w:hAnsi="Arial" w:cs="Arial"/>
                <w:color w:val="000000"/>
                <w:lang w:val="mn-MN"/>
              </w:rPr>
            </w:pPr>
            <w:r w:rsidRPr="0046672D">
              <w:rPr>
                <w:rFonts w:ascii="Arial" w:eastAsia="Times New Roman" w:hAnsi="Arial" w:cs="Arial"/>
                <w:lang w:val="mn-MN"/>
              </w:rPr>
              <w:t>1,424.2</w:t>
            </w:r>
          </w:p>
        </w:tc>
      </w:tr>
      <w:tr w:rsidR="000B6A0A" w:rsidRPr="0046672D" w14:paraId="06D1F28A" w14:textId="77777777" w:rsidTr="00F51A8E">
        <w:trPr>
          <w:trHeight w:val="170"/>
        </w:trPr>
        <w:tc>
          <w:tcPr>
            <w:tcW w:w="8115" w:type="dxa"/>
            <w:gridSpan w:val="5"/>
            <w:noWrap/>
            <w:vAlign w:val="center"/>
            <w:hideMark/>
          </w:tcPr>
          <w:p w14:paraId="31B46994" w14:textId="77777777" w:rsidR="000B6A0A" w:rsidRPr="0046672D" w:rsidRDefault="000B6A0A" w:rsidP="00F51A8E">
            <w:pPr>
              <w:jc w:val="center"/>
              <w:rPr>
                <w:rFonts w:ascii="Arial" w:eastAsia="Times New Roman" w:hAnsi="Arial" w:cs="Arial"/>
                <w:b/>
                <w:lang w:val="mn-MN"/>
              </w:rPr>
            </w:pPr>
            <w:r w:rsidRPr="0046672D">
              <w:rPr>
                <w:rFonts w:ascii="Arial" w:eastAsia="Times New Roman" w:hAnsi="Arial" w:cs="Arial"/>
                <w:b/>
                <w:bCs/>
                <w:lang w:val="mn-MN"/>
              </w:rPr>
              <w:t>Нийт</w:t>
            </w:r>
          </w:p>
          <w:p w14:paraId="714327E2" w14:textId="77777777" w:rsidR="000B6A0A" w:rsidRPr="0046672D" w:rsidRDefault="000B6A0A" w:rsidP="00F51A8E">
            <w:pPr>
              <w:jc w:val="center"/>
              <w:rPr>
                <w:rFonts w:ascii="Arial" w:eastAsia="Times New Roman" w:hAnsi="Arial" w:cs="Arial"/>
                <w:b/>
                <w:lang w:val="mn-MN"/>
              </w:rPr>
            </w:pPr>
          </w:p>
        </w:tc>
        <w:tc>
          <w:tcPr>
            <w:tcW w:w="1683" w:type="dxa"/>
            <w:noWrap/>
            <w:hideMark/>
          </w:tcPr>
          <w:p w14:paraId="385DF021" w14:textId="77777777" w:rsidR="000B6A0A" w:rsidRPr="0046672D" w:rsidRDefault="000B6A0A" w:rsidP="00F51A8E">
            <w:pPr>
              <w:jc w:val="right"/>
              <w:rPr>
                <w:rFonts w:ascii="Arial" w:eastAsia="Times New Roman" w:hAnsi="Arial" w:cs="Arial"/>
                <w:b/>
                <w:lang w:val="mn-MN"/>
              </w:rPr>
            </w:pPr>
            <w:r w:rsidRPr="0046672D">
              <w:rPr>
                <w:rFonts w:ascii="Arial" w:eastAsia="Times New Roman" w:hAnsi="Arial" w:cs="Arial"/>
                <w:b/>
                <w:lang w:val="mn-MN"/>
              </w:rPr>
              <w:t>8,175.6</w:t>
            </w:r>
          </w:p>
        </w:tc>
      </w:tr>
    </w:tbl>
    <w:p w14:paraId="3F5255B9" w14:textId="77777777" w:rsidR="000B6A0A" w:rsidRPr="0046672D" w:rsidRDefault="000B6A0A" w:rsidP="000B6A0A">
      <w:pPr>
        <w:pStyle w:val="ListParagraph"/>
        <w:spacing w:after="0"/>
        <w:ind w:left="6480" w:firstLine="720"/>
        <w:jc w:val="both"/>
        <w:rPr>
          <w:rFonts w:ascii="Arial" w:hAnsi="Arial" w:cs="Arial"/>
          <w:sz w:val="24"/>
          <w:szCs w:val="24"/>
          <w:lang w:val="mn-MN"/>
        </w:rPr>
      </w:pPr>
      <w:r w:rsidRPr="0046672D">
        <w:rPr>
          <w:rFonts w:ascii="Arial" w:hAnsi="Arial" w:cs="Arial"/>
          <w:i/>
          <w:lang w:val="mn-MN"/>
        </w:rPr>
        <w:t>Эх сурвалж: Сангийн яам</w:t>
      </w:r>
    </w:p>
    <w:p w14:paraId="54AF7FE2" w14:textId="77777777" w:rsidR="000B6A0A" w:rsidRPr="0046672D" w:rsidRDefault="000B6A0A" w:rsidP="000B6A0A">
      <w:pPr>
        <w:pStyle w:val="NoSpacing"/>
        <w:spacing w:after="0" w:line="240" w:lineRule="auto"/>
        <w:rPr>
          <w:rFonts w:ascii="Arial" w:hAnsi="Arial" w:cs="Arial"/>
          <w:sz w:val="24"/>
          <w:szCs w:val="24"/>
        </w:rPr>
      </w:pPr>
    </w:p>
    <w:p w14:paraId="6BC9ED98" w14:textId="77777777" w:rsidR="000B6A0A" w:rsidRPr="0046672D" w:rsidRDefault="000B6A0A" w:rsidP="000B6A0A">
      <w:pPr>
        <w:pStyle w:val="NoSpacing"/>
        <w:spacing w:after="0" w:line="240" w:lineRule="auto"/>
      </w:pPr>
      <w:r w:rsidRPr="0046672D">
        <w:rPr>
          <w:rFonts w:ascii="Arial" w:hAnsi="Arial" w:cs="Arial"/>
          <w:sz w:val="24"/>
          <w:szCs w:val="24"/>
        </w:rPr>
        <w:tab/>
        <w:t>Тус төлбөрүүдийг төсөв болон гадаад валютын нөөцөөс төлөх нь эдийн засагт томоохон дарамт учруулах эрсдэлтэй тул тодорхой хэсгийг дахин санхүүжүүлж үлдсэн хэсгийг мөнгөн хуримтлалаас төлж барагдуулахаар төлөвлөж байна.</w:t>
      </w:r>
    </w:p>
    <w:p w14:paraId="3CACE105" w14:textId="77777777" w:rsidR="000B6A0A" w:rsidRPr="0046672D" w:rsidRDefault="000B6A0A" w:rsidP="000B6A0A">
      <w:pPr>
        <w:pStyle w:val="Caption"/>
        <w:keepNext/>
        <w:spacing w:after="0"/>
        <w:jc w:val="center"/>
        <w:rPr>
          <w:rFonts w:ascii="Arial" w:hAnsi="Arial" w:cs="Arial"/>
          <w:color w:val="auto"/>
          <w:sz w:val="20"/>
          <w:szCs w:val="24"/>
          <w:lang w:val="mn-MN"/>
        </w:rPr>
      </w:pPr>
      <w:r w:rsidRPr="0046672D">
        <w:rPr>
          <w:rFonts w:ascii="Times New Roman" w:hAnsi="Times New Roman" w:cs="Times New Roman"/>
          <w:noProof/>
          <w:color w:val="auto"/>
          <w:sz w:val="20"/>
          <w:szCs w:val="20"/>
        </w:rPr>
        <w:drawing>
          <wp:anchor distT="0" distB="0" distL="114300" distR="114300" simplePos="0" relativeHeight="251658240" behindDoc="0" locked="0" layoutInCell="1" allowOverlap="1" wp14:anchorId="3FE2ED4F" wp14:editId="7FB6C603">
            <wp:simplePos x="0" y="0"/>
            <wp:positionH relativeFrom="margin">
              <wp:align>right</wp:align>
            </wp:positionH>
            <wp:positionV relativeFrom="paragraph">
              <wp:posOffset>161925</wp:posOffset>
            </wp:positionV>
            <wp:extent cx="6172200" cy="2733675"/>
            <wp:effectExtent l="0" t="0" r="0" b="9525"/>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46672D">
        <w:rPr>
          <w:rFonts w:ascii="Arial" w:hAnsi="Arial" w:cs="Arial"/>
          <w:color w:val="auto"/>
          <w:sz w:val="20"/>
          <w:szCs w:val="24"/>
          <w:lang w:val="mn-MN"/>
        </w:rPr>
        <w:t>График</w:t>
      </w:r>
      <w:r w:rsidRPr="0046672D" w:rsidDel="00315F1E">
        <w:rPr>
          <w:rFonts w:ascii="Arial" w:hAnsi="Arial" w:cs="Arial"/>
          <w:color w:val="auto"/>
          <w:sz w:val="20"/>
          <w:szCs w:val="24"/>
          <w:lang w:val="mn-MN"/>
        </w:rPr>
        <w:t xml:space="preserve"> </w:t>
      </w:r>
      <w:r w:rsidRPr="0046672D">
        <w:rPr>
          <w:rFonts w:ascii="Arial" w:hAnsi="Arial" w:cs="Arial"/>
          <w:color w:val="auto"/>
          <w:sz w:val="20"/>
          <w:szCs w:val="24"/>
          <w:lang w:val="mn-MN"/>
        </w:rPr>
        <w:t>№ 6: Гадаад үнэт цаасны хоёрдогч зах зээлийн өгөөж, 2019-2021 он</w:t>
      </w:r>
    </w:p>
    <w:p w14:paraId="4F415FF2" w14:textId="77777777" w:rsidR="000B6A0A" w:rsidRPr="0046672D" w:rsidRDefault="000B6A0A" w:rsidP="000B6A0A">
      <w:pPr>
        <w:pStyle w:val="ListParagraph"/>
        <w:ind w:left="5760"/>
        <w:jc w:val="both"/>
        <w:rPr>
          <w:rFonts w:ascii="Arial" w:hAnsi="Arial" w:cs="Arial"/>
          <w:sz w:val="24"/>
          <w:szCs w:val="24"/>
          <w:lang w:val="mn-MN"/>
        </w:rPr>
      </w:pPr>
      <w:r w:rsidRPr="0046672D">
        <w:rPr>
          <w:rFonts w:ascii="Arial" w:hAnsi="Arial" w:cs="Arial"/>
          <w:sz w:val="24"/>
          <w:szCs w:val="24"/>
          <w:lang w:val="mn-MN"/>
        </w:rPr>
        <w:t xml:space="preserve">      </w:t>
      </w:r>
      <w:r w:rsidRPr="0046672D">
        <w:rPr>
          <w:rFonts w:ascii="Arial" w:hAnsi="Arial" w:cs="Arial"/>
          <w:i/>
          <w:lang w:val="mn-MN"/>
        </w:rPr>
        <w:t>Эх сурвалж: Блүүмберг платформ</w:t>
      </w:r>
    </w:p>
    <w:p w14:paraId="1A0AACAB" w14:textId="77777777" w:rsidR="000B6A0A" w:rsidRPr="0046672D" w:rsidRDefault="000B6A0A" w:rsidP="000B6A0A">
      <w:pPr>
        <w:pStyle w:val="NoSpacing"/>
        <w:ind w:firstLine="540"/>
        <w:rPr>
          <w:rFonts w:ascii="Arial" w:hAnsi="Arial" w:cs="Arial"/>
          <w:sz w:val="24"/>
          <w:szCs w:val="24"/>
        </w:rPr>
      </w:pPr>
      <w:r w:rsidRPr="0046672D">
        <w:rPr>
          <w:rFonts w:ascii="Arial" w:hAnsi="Arial" w:cs="Arial"/>
          <w:sz w:val="24"/>
          <w:szCs w:val="24"/>
        </w:rPr>
        <w:t>Монгол Улсын Засгийн газраас олон улсын зах зээл дээр арилжаалсан бондуудын хоёрдогч зах зээлийн хүүгийн түвшин өндөр үед бондын хоёрдогч зах зээлийн үнэ нь нэрлэсэн үнээс буурдаг ба бондын эргэн төлөгдөх хугацаанаас нь өмнө худалдан авах зардал багасдаг байна. Энэ үед буцаан худалдан авах нь өрийг дахин санхүүжүүлэх үр ашигтай арга хэмжээ бөгөөд 2019-2021 оны Өрийн удирдлагын стратегийн хэрэгжих хугацаанд Засгийн газрын Мазаалай, Чингис болон Гэрэгэ бондуудын тодорхой хэсгийг дахин санхүүжүүлсэн байна.</w:t>
      </w:r>
    </w:p>
    <w:p w14:paraId="268EE939" w14:textId="77777777" w:rsidR="000B6A0A" w:rsidRPr="0046672D" w:rsidRDefault="000B6A0A" w:rsidP="000B6A0A">
      <w:pPr>
        <w:pStyle w:val="NoSpacing"/>
        <w:ind w:firstLine="540"/>
        <w:rPr>
          <w:rFonts w:ascii="Arial" w:hAnsi="Arial" w:cs="Arial"/>
          <w:sz w:val="24"/>
          <w:szCs w:val="24"/>
        </w:rPr>
        <w:sectPr w:rsidR="000B6A0A" w:rsidRPr="0046672D" w:rsidSect="002A2F8C">
          <w:footerReference w:type="default" r:id="rId26"/>
          <w:type w:val="continuous"/>
          <w:pgSz w:w="11906" w:h="16838" w:code="9"/>
          <w:pgMar w:top="1134" w:right="851" w:bottom="851" w:left="1247" w:header="720" w:footer="720" w:gutter="0"/>
          <w:cols w:space="720"/>
          <w:titlePg/>
          <w:docGrid w:linePitch="360"/>
        </w:sectPr>
      </w:pPr>
      <w:r w:rsidRPr="0046672D">
        <w:rPr>
          <w:rFonts w:ascii="Arial" w:hAnsi="Arial" w:cs="Arial"/>
          <w:sz w:val="24"/>
          <w:szCs w:val="24"/>
        </w:rPr>
        <w:t xml:space="preserve">Түүнчлэн Чингис, Гэрэгэ, Хуралдай, Номад болон Сенчири </w:t>
      </w:r>
      <w:r w:rsidRPr="0046672D">
        <w:rPr>
          <w:rFonts w:ascii="Arial" w:hAnsi="Arial" w:cs="Arial"/>
          <w:color w:val="000000" w:themeColor="text1"/>
          <w:sz w:val="24"/>
          <w:szCs w:val="24"/>
        </w:rPr>
        <w:t>төслийн</w:t>
      </w:r>
      <w:r w:rsidRPr="0046672D">
        <w:rPr>
          <w:rFonts w:ascii="Arial" w:hAnsi="Arial" w:cs="Arial"/>
          <w:sz w:val="24"/>
          <w:szCs w:val="24"/>
        </w:rPr>
        <w:t xml:space="preserve"> хүрээнд гаргасан үнэт цааснуудын хоёрдогч зах зээлийн өгөөж 2021 оны жилийн эцсийн байдлаар 2.0-оос 5.0 хувьтай байна.</w:t>
      </w:r>
    </w:p>
    <w:p w14:paraId="53960606" w14:textId="77777777" w:rsidR="000B6A0A" w:rsidRPr="0046672D" w:rsidRDefault="000B6A0A" w:rsidP="000B6A0A">
      <w:pPr>
        <w:pStyle w:val="Heading2"/>
        <w:numPr>
          <w:ilvl w:val="0"/>
          <w:numId w:val="0"/>
        </w:numPr>
        <w:ind w:left="540"/>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lastRenderedPageBreak/>
        <w:t>2.3.Дотоодын банк, санхүү, хөрөнгийн зах зээлээс татах боломжит эх үүсвэр</w:t>
      </w:r>
    </w:p>
    <w:p w14:paraId="3D71F79C" w14:textId="77777777" w:rsidR="000B6A0A" w:rsidRPr="0046672D" w:rsidRDefault="000B6A0A" w:rsidP="000B6A0A">
      <w:pPr>
        <w:spacing w:after="0" w:line="240" w:lineRule="auto"/>
        <w:jc w:val="both"/>
        <w:rPr>
          <w:rFonts w:ascii="Arial" w:hAnsi="Arial" w:cs="Arial"/>
          <w:sz w:val="24"/>
          <w:szCs w:val="24"/>
          <w:lang w:val="mn-MN"/>
        </w:rPr>
      </w:pPr>
    </w:p>
    <w:p w14:paraId="5834F6EF" w14:textId="77777777" w:rsidR="000B6A0A" w:rsidRPr="0046672D" w:rsidRDefault="000B6A0A" w:rsidP="000B6A0A">
      <w:pPr>
        <w:ind w:firstLine="720"/>
        <w:jc w:val="both"/>
        <w:rPr>
          <w:rFonts w:ascii="Arial" w:hAnsi="Arial" w:cs="Arial"/>
          <w:sz w:val="24"/>
          <w:szCs w:val="24"/>
          <w:lang w:val="mn-MN"/>
        </w:rPr>
      </w:pPr>
      <w:r w:rsidRPr="0046672D">
        <w:rPr>
          <w:rFonts w:ascii="Arial" w:hAnsi="Arial" w:cs="Arial"/>
          <w:sz w:val="24"/>
          <w:szCs w:val="24"/>
          <w:lang w:val="mn-MN"/>
        </w:rPr>
        <w:t>З</w:t>
      </w:r>
      <w:r w:rsidRPr="0046672D" w:rsidDel="003A4D3B">
        <w:rPr>
          <w:rFonts w:ascii="Arial" w:hAnsi="Arial" w:cs="Arial"/>
          <w:sz w:val="24"/>
          <w:szCs w:val="24"/>
          <w:lang w:val="mn-MN"/>
        </w:rPr>
        <w:t xml:space="preserve">асгийн газар </w:t>
      </w:r>
      <w:r w:rsidRPr="0046672D">
        <w:rPr>
          <w:rFonts w:ascii="Arial" w:hAnsi="Arial" w:cs="Arial"/>
          <w:sz w:val="24"/>
          <w:szCs w:val="24"/>
          <w:lang w:val="mn-MN"/>
        </w:rPr>
        <w:t>нийт 16.0 их наяд төгрөгтэй тэнцэх хэмжээний үнэт цаасыг 2010 оноос 2017 оны хооронд арилжаалсан. Үүнээс 10.6 их наяд төгрөгтэй тэнцэх хэмжээний үнэт цаасыг арилжааны банк, 1.1 их наяд төгрөгтэй тэнцэх хэмжээний үнэ цаасыг Монголбанк, үлдсэн хувийг иргэн, аж ахуйн нэгж,, шууд бус хөрөнгө оруулагчид, гадаадын хөрөнгө оруулагчид худалдан авсан.</w:t>
      </w:r>
    </w:p>
    <w:p w14:paraId="02F211CF" w14:textId="77777777" w:rsidR="000B6A0A" w:rsidRPr="0046672D" w:rsidRDefault="000B6A0A" w:rsidP="000B6A0A">
      <w:pPr>
        <w:ind w:firstLine="720"/>
        <w:jc w:val="both"/>
        <w:rPr>
          <w:rFonts w:ascii="Arial" w:hAnsi="Arial" w:cs="Arial"/>
          <w:sz w:val="24"/>
          <w:szCs w:val="24"/>
          <w:lang w:val="mn-MN"/>
        </w:rPr>
      </w:pPr>
      <w:r w:rsidRPr="0046672D">
        <w:rPr>
          <w:rFonts w:ascii="Arial" w:hAnsi="Arial" w:cs="Arial"/>
          <w:sz w:val="24"/>
          <w:szCs w:val="24"/>
          <w:lang w:val="mn-MN"/>
        </w:rPr>
        <w:lastRenderedPageBreak/>
        <w:t>Монголын хөрөнгийн биржээс 2021 оны жилийн эцсийн байдлаар гаргасан тоо баримтаар нийт 1.4 их наяд төгрөгийн үнэт цаас арилжаалагдсан байна. Үүний 74.1 хувийг компанийн үнэт цаас, 21.6 хувийг энгийн хувьцаа болон үлдсэн 4.3 хувийг бусад үнэт цаас эзэлж байна. Энэ нь өмнөх оны мөн үетэй харьцуулахад 21.6 дахин өссөн үзүүлэлт юм.</w:t>
      </w:r>
    </w:p>
    <w:p w14:paraId="1BA1E3A8" w14:textId="77777777" w:rsidR="000B6A0A" w:rsidRPr="0046672D" w:rsidRDefault="000B6A0A" w:rsidP="000B6A0A">
      <w:pPr>
        <w:ind w:firstLine="720"/>
        <w:jc w:val="both"/>
        <w:rPr>
          <w:rFonts w:ascii="Arial" w:hAnsi="Arial" w:cs="Arial"/>
          <w:sz w:val="24"/>
          <w:szCs w:val="24"/>
          <w:lang w:val="mn-MN"/>
        </w:rPr>
      </w:pPr>
      <w:r w:rsidRPr="0046672D">
        <w:rPr>
          <w:rFonts w:ascii="Arial" w:hAnsi="Arial" w:cs="Arial"/>
          <w:sz w:val="24"/>
          <w:szCs w:val="24"/>
          <w:lang w:val="mn-MN"/>
        </w:rPr>
        <w:t>Арилжаанд оролцогчдын дийлэнх нь дотоодын иргэн, аж ахуй нэгж ба 2021 оны жилийн эцсийн байдлаар дотоодын аж ахуй нэгжийн хийсэн арилжаа өмнөх оны мөн үеэс 17.3 хувиар, харин иргэдийн хийсэн арилжаа 5.2 хувиар тус тус өссөн нь дотоодын иргэд, аж ахуй нэгжүүд банкны хадгаламжаас татгалзаж үнэт цаасны арилжаанд хөрөнгө оруулж байгааг харуулжээ.</w:t>
      </w:r>
    </w:p>
    <w:p w14:paraId="2CA75304" w14:textId="77777777" w:rsidR="000B6A0A" w:rsidRPr="0046672D" w:rsidRDefault="000B6A0A" w:rsidP="000B6A0A">
      <w:pPr>
        <w:spacing w:after="0" w:line="240" w:lineRule="auto"/>
        <w:jc w:val="both"/>
        <w:rPr>
          <w:rFonts w:ascii="Arial" w:hAnsi="Arial" w:cs="Arial"/>
          <w:sz w:val="24"/>
          <w:szCs w:val="24"/>
          <w:lang w:val="mn-MN"/>
        </w:rPr>
      </w:pPr>
      <w:r w:rsidRPr="0046672D">
        <w:rPr>
          <w:rFonts w:ascii="Arial" w:hAnsi="Arial" w:cs="Arial"/>
          <w:sz w:val="24"/>
          <w:szCs w:val="24"/>
          <w:lang w:val="mn-MN"/>
        </w:rPr>
        <w:tab/>
        <w:t>Иймд Засгийн газраас төсвийн алдагдлыг санхүүгийн зах зээлийг хөгжүүлэх, Засгийн газрын мөнгөн хөрөнгийн удирдлагыг сайжруулах, улсын төсвийн улирлын чанартай орлого, зарлагын зөрүүг бага зардлаар цаг хугацаанд нь санхүүжүүлэх болон төсвийн санхүүжилтийг хугацаанд нь олгох зорилгоор 2022 оны нэгдсэн төсөвт нийт 2.2 их наяд төгрөгийн Засгийн газрын дотоод үнэт цаас гаргахаар тусгагдсан бөгөөд Засгийн газрын үнэт цаасанд хөрөнгө оруулах сонирхолтой гадаад, дотоодын иргэд, аж ахуй нэгжүүдийг өргөнөөр оролцуулахаар төлөвлөсөн.</w:t>
      </w:r>
      <w:r w:rsidRPr="0046672D">
        <w:rPr>
          <w:rFonts w:ascii="Arial" w:hAnsi="Arial" w:cs="Arial"/>
          <w:sz w:val="24"/>
          <w:szCs w:val="24"/>
          <w:lang w:val="mn-MN"/>
        </w:rPr>
        <w:tab/>
        <w:t xml:space="preserve">Санхүүгийн зах зээлийг хөгжүүлэх, Засгийн газрын мөнгөн хөрөнгийн удирдлагыг сайжруулах, улсын төсвийн улирлын чанартай орлого, зарлагын зөрүүг бага зардлаар цаг хугацаанд нь санхүүжүүлэх болон , төсвийн санхүүжилтийг хугацаанд нь олгоход Засгийн газрын дотоод үнэт цаас /ЗГДҮЦ/ чухал үүрэгтэй. </w:t>
      </w:r>
      <w:r w:rsidRPr="0046672D" w:rsidDel="00D056BB">
        <w:rPr>
          <w:rFonts w:ascii="Arial" w:hAnsi="Arial" w:cs="Arial"/>
          <w:sz w:val="24"/>
          <w:szCs w:val="24"/>
          <w:lang w:val="mn-MN"/>
        </w:rPr>
        <w:t xml:space="preserve"> </w:t>
      </w:r>
      <w:r w:rsidRPr="0046672D">
        <w:rPr>
          <w:rFonts w:ascii="Arial" w:hAnsi="Arial" w:cs="Arial"/>
          <w:sz w:val="24"/>
          <w:szCs w:val="24"/>
          <w:lang w:val="mn-MN"/>
        </w:rPr>
        <w:t>Мөн ЗГДҮЦ нь эрсдэлгүй үнэт цаасанд тооцогддог учир гадаадын хөрөнгө оруулагчдын анхаарлыг ихээр татдаг үнэт цаасны төрөл юм.</w:t>
      </w:r>
    </w:p>
    <w:p w14:paraId="2A2886AA" w14:textId="77777777" w:rsidR="000B6A0A" w:rsidRPr="0046672D" w:rsidRDefault="000B6A0A" w:rsidP="000B6A0A">
      <w:pPr>
        <w:spacing w:before="240" w:line="240" w:lineRule="auto"/>
        <w:jc w:val="both"/>
        <w:rPr>
          <w:rFonts w:ascii="Arial" w:hAnsi="Arial" w:cs="Arial"/>
          <w:sz w:val="24"/>
          <w:szCs w:val="24"/>
          <w:lang w:val="mn-MN"/>
        </w:rPr>
      </w:pPr>
      <w:r w:rsidRPr="0046672D">
        <w:rPr>
          <w:rFonts w:ascii="Arial" w:hAnsi="Arial" w:cs="Arial"/>
          <w:sz w:val="24"/>
          <w:szCs w:val="24"/>
          <w:lang w:val="mn-MN"/>
        </w:rPr>
        <w:tab/>
        <w:t>Засгийн газар нийт 16 их наяд төгрөгтэй тэнцэх хэмжээний үнэт цаасыг 2010 оноос 2017 оны хооронд арилжаалж байв. Үүнээс 10.6 их наяд төгрөгтэй тэнцэх хэмжээний үнэт цаасыг арилжааны банк, 1.1 их наяд төгрөгтэй тэнцэх хэмжээний үнэт цаасыг Монголбанк, үлдсэн хувийг иргэн, аж ахуйн нэгж, шууд бус хөрөнгө оруулагчид, гаднын хөрөнгө оруулагчид худалдан авсан байна.</w:t>
      </w:r>
    </w:p>
    <w:p w14:paraId="6FC2E2CC" w14:textId="77777777" w:rsidR="000B6A0A" w:rsidRPr="0046672D" w:rsidRDefault="000B6A0A" w:rsidP="000B6A0A">
      <w:pPr>
        <w:spacing w:after="0" w:line="240" w:lineRule="auto"/>
        <w:jc w:val="both"/>
        <w:rPr>
          <w:rFonts w:ascii="Arial" w:hAnsi="Arial" w:cs="Arial"/>
          <w:sz w:val="24"/>
          <w:szCs w:val="24"/>
          <w:lang w:val="mn-MN"/>
        </w:rPr>
      </w:pPr>
      <w:r w:rsidRPr="0046672D">
        <w:rPr>
          <w:rFonts w:ascii="Arial" w:hAnsi="Arial" w:cs="Arial"/>
          <w:sz w:val="24"/>
          <w:szCs w:val="24"/>
          <w:lang w:val="mn-MN"/>
        </w:rPr>
        <w:tab/>
        <w:t>Монголбанкнаас 2022 оны 3 дугаар сард бодлогын хүүг 2.5 хувиар өсгөж 9 хувь болгосон ба тус онд арилжаалахаар төлөвлөж байсан ЗГДҮЦ-ний хүүг өсгөхөөр байна. Засгийн газрын дотоод үнэт цаасны 90 гаруй хувийг арилжааны банкууд эзэлж байсан бөгөөд төв банкны үнэт цаас</w:t>
      </w:r>
      <w:r w:rsidRPr="0046672D" w:rsidDel="00FB66DB">
        <w:rPr>
          <w:rFonts w:ascii="Arial" w:hAnsi="Arial" w:cs="Arial"/>
          <w:sz w:val="24"/>
          <w:szCs w:val="24"/>
          <w:lang w:val="mn-MN"/>
        </w:rPr>
        <w:t>н</w:t>
      </w:r>
      <w:r w:rsidRPr="0046672D">
        <w:rPr>
          <w:rFonts w:ascii="Arial" w:hAnsi="Arial" w:cs="Arial"/>
          <w:sz w:val="24"/>
          <w:szCs w:val="24"/>
          <w:lang w:val="mn-MN"/>
        </w:rPr>
        <w:t>ы хүүгээс илүү хүүгээр арилжаалахад богино хугацаат үнэт цаас авах эрэлт өндөр байгаа юм.</w:t>
      </w:r>
    </w:p>
    <w:p w14:paraId="2283B169" w14:textId="77777777" w:rsidR="000B6A0A" w:rsidRPr="0046672D" w:rsidRDefault="000B6A0A" w:rsidP="000B6A0A">
      <w:pPr>
        <w:spacing w:after="0" w:line="240" w:lineRule="auto"/>
        <w:jc w:val="both"/>
        <w:rPr>
          <w:rFonts w:ascii="Arial" w:hAnsi="Arial" w:cs="Arial"/>
          <w:sz w:val="24"/>
          <w:szCs w:val="24"/>
          <w:lang w:val="mn-MN"/>
        </w:rPr>
      </w:pPr>
    </w:p>
    <w:p w14:paraId="3139C204" w14:textId="77777777" w:rsidR="000B6A0A" w:rsidRPr="0046672D" w:rsidRDefault="000B6A0A" w:rsidP="000B6A0A">
      <w:pPr>
        <w:spacing w:line="240" w:lineRule="auto"/>
        <w:jc w:val="both"/>
        <w:rPr>
          <w:lang w:val="mn-MN"/>
        </w:rPr>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rPr>
          <w:rFonts w:ascii="Arial" w:hAnsi="Arial" w:cs="Arial"/>
          <w:b/>
          <w:sz w:val="24"/>
          <w:szCs w:val="24"/>
          <w:lang w:val="mn-MN"/>
        </w:rPr>
        <w:t>3. ЗАСГИЙН ГАЗРЫН ӨРИЙН БАТАЛГААНЫ БАГЦЫН ТУХАЙН ҮЕИЙН НӨХЦӨЛ БАЙДАЛ</w:t>
      </w:r>
      <w:r w:rsidRPr="0046672D" w:rsidDel="00F5243A">
        <w:rPr>
          <w:rFonts w:ascii="Arial" w:hAnsi="Arial" w:cs="Arial"/>
          <w:b/>
          <w:sz w:val="24"/>
          <w:szCs w:val="24"/>
          <w:lang w:val="mn-MN"/>
        </w:rPr>
        <w:t xml:space="preserve"> </w:t>
      </w:r>
    </w:p>
    <w:p w14:paraId="0FD4E820"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lastRenderedPageBreak/>
        <w:tab/>
        <w:t>Засгийн газраас 2016 оны 6 дугаар сараас хойш шинээр Засгийн газрын өрийн баталгаа гаргаагүй бөгөөд цаашид Засгийн газрын өрийн баталгаа гаргахгүй байх, гаргасан баталгаат зээллэгийн эргэн төлөлтөд тавих хяналтыг сайжруулах бодлогыг баримталж байна.</w:t>
      </w:r>
    </w:p>
    <w:p w14:paraId="75D9D0D7"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 xml:space="preserve">Өрийн удирдлагын тухай хууль батлагдахаас өмнө Монгол Улсын Хөгжлийн банкны 580.0 сая ам.долларын Евробонд, Самурай бонд, Кредит Свисс банкнаас авсан зээл, Бүгд Найрамдах Хятад Ард Улс /БНХАУ/-ын Хөгжлийн банкнаас авсан зээл, “МИАТ” ХК-ний нисэх онгоц худалдан авах зээлд Засгийн газрын өрийн баталгаа гаргасан бол Өрийн удирдлагын тухай хууль батлагдсанаас хойш Худалдаа хөгжлийн банкны олон улсын зах зээлд арилжаалсан бонд, Хөгжлийн банкны ОХУ-ын ВТБ </w:t>
      </w:r>
      <w:r w:rsidRPr="0046672D">
        <w:rPr>
          <w:rFonts w:ascii="Arial" w:hAnsi="Arial" w:cs="Arial"/>
          <w:sz w:val="24"/>
          <w:szCs w:val="24"/>
        </w:rPr>
        <w:lastRenderedPageBreak/>
        <w:t>банкнаас авсан зээл, “Эрдэнэс Монгол” ХХК-ний Азийн хөгжлийн банкнаас авсан зээлд тус тус Засгийн газрын өрийн баталгаа гаргасан байна.</w:t>
      </w:r>
      <w:r w:rsidRPr="0046672D" w:rsidDel="003A3DC5">
        <w:rPr>
          <w:rFonts w:ascii="Arial" w:hAnsi="Arial" w:cs="Arial"/>
          <w:sz w:val="24"/>
          <w:szCs w:val="24"/>
        </w:rPr>
        <w:t xml:space="preserve"> </w:t>
      </w:r>
    </w:p>
    <w:p w14:paraId="402DB14E" w14:textId="77777777" w:rsidR="000B6A0A" w:rsidRPr="0046672D" w:rsidRDefault="000B6A0A" w:rsidP="000B6A0A">
      <w:pPr>
        <w:pStyle w:val="NoSpacing"/>
        <w:spacing w:line="240" w:lineRule="auto"/>
        <w:rPr>
          <w:rFonts w:ascii="Arial" w:hAnsi="Arial" w:cs="Arial"/>
          <w:b/>
          <w:i/>
          <w:sz w:val="24"/>
          <w:szCs w:val="24"/>
        </w:rPr>
      </w:pPr>
      <w:r w:rsidRPr="0046672D">
        <w:rPr>
          <w:rFonts w:ascii="Arial" w:hAnsi="Arial" w:cs="Arial"/>
          <w:b/>
          <w:i/>
          <w:sz w:val="24"/>
          <w:szCs w:val="24"/>
        </w:rPr>
        <w:t>Засгийн газрын баталгааны талаар дэлгэрэнгүй мэдээлэл</w:t>
      </w:r>
    </w:p>
    <w:p w14:paraId="33F7D813" w14:textId="77777777" w:rsidR="000B6A0A" w:rsidRPr="0046672D" w:rsidRDefault="000B6A0A" w:rsidP="000B6A0A">
      <w:pPr>
        <w:pStyle w:val="NoSpacing"/>
        <w:spacing w:line="240" w:lineRule="auto"/>
        <w:rPr>
          <w:rFonts w:ascii="Arial" w:hAnsi="Arial" w:cs="Arial"/>
          <w:b/>
          <w:sz w:val="24"/>
          <w:szCs w:val="24"/>
        </w:rPr>
      </w:pPr>
      <w:r w:rsidRPr="0046672D">
        <w:rPr>
          <w:rFonts w:ascii="Arial" w:hAnsi="Arial" w:cs="Arial"/>
          <w:b/>
          <w:sz w:val="24"/>
          <w:szCs w:val="24"/>
        </w:rPr>
        <w:tab/>
        <w:t>3.1.Хөгжлийн банкны Самурай бонд</w:t>
      </w:r>
    </w:p>
    <w:p w14:paraId="46292978"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 xml:space="preserve">Монгол Улсын Хөгжлийн банкны 30.0 тэрбум иентэй тэнцэх хэмжээний 10 жилийн хугацаатай Самурай </w:t>
      </w:r>
      <w:r w:rsidRPr="0046672D">
        <w:rPr>
          <w:rFonts w:ascii="Arial" w:hAnsi="Arial" w:cs="Arial"/>
          <w:color w:val="000000" w:themeColor="text1"/>
          <w:sz w:val="24"/>
          <w:szCs w:val="24"/>
        </w:rPr>
        <w:t xml:space="preserve">үнэт цаасыг </w:t>
      </w:r>
      <w:r w:rsidRPr="0046672D">
        <w:rPr>
          <w:rFonts w:ascii="Arial" w:hAnsi="Arial" w:cs="Arial"/>
          <w:sz w:val="24"/>
          <w:szCs w:val="24"/>
        </w:rPr>
        <w:t>Япон Улсын зах зээлд Японы хамтын ажиллагааны банкны баталгаатайгаар (JBIC</w:t>
      </w:r>
      <w:r w:rsidRPr="0046672D">
        <w:rPr>
          <w:rStyle w:val="FootnoteReference"/>
          <w:rFonts w:ascii="Arial" w:hAnsi="Arial" w:cs="Arial"/>
          <w:sz w:val="24"/>
          <w:szCs w:val="24"/>
        </w:rPr>
        <w:footnoteReference w:id="5"/>
      </w:r>
      <w:r w:rsidRPr="0046672D">
        <w:rPr>
          <w:rFonts w:ascii="Arial" w:hAnsi="Arial" w:cs="Arial"/>
          <w:sz w:val="24"/>
          <w:szCs w:val="24"/>
        </w:rPr>
        <w:t xml:space="preserve">) жилийн 1.52 хувийн хүүтэйгээр арилжаалсан. Хөрөнгө оруулагчидтай хийсэн бонд арилжаалах гэрээний дагуу үйл ажиллагааны зардал, шимтгэлийг хассан дүнгээр Самурай </w:t>
      </w:r>
      <w:r w:rsidRPr="0046672D">
        <w:rPr>
          <w:rFonts w:ascii="Arial" w:hAnsi="Arial" w:cs="Arial"/>
          <w:color w:val="000000" w:themeColor="text1"/>
          <w:sz w:val="24"/>
          <w:szCs w:val="24"/>
        </w:rPr>
        <w:t>бонды</w:t>
      </w:r>
      <w:r w:rsidRPr="0046672D">
        <w:rPr>
          <w:rFonts w:ascii="Arial" w:hAnsi="Arial" w:cs="Arial"/>
          <w:sz w:val="24"/>
          <w:szCs w:val="24"/>
        </w:rPr>
        <w:t xml:space="preserve">н эх үүсвэр 24.3 тэрбум иен 2014 оны 01 дүгээр сард  Хөгжлийн банкны холбогдох дансанд шилжин орж ирсэн. Уг бондын хугацаа 2023 онд дуусах бөгөөд Хөгжлийн банк хүүгийн төлбөрийг тухай бүр бүрэн төлж барагдуулж байна. 2021 оны жилийн эцсийн байдлаар Самурай бондын үлдэгдэл төлбөр 30.0 тэрбум иен байна. </w:t>
      </w:r>
    </w:p>
    <w:p w14:paraId="3428AEE5" w14:textId="77777777" w:rsidR="000B6A0A" w:rsidRPr="0046672D" w:rsidRDefault="000B6A0A" w:rsidP="000B6A0A">
      <w:pPr>
        <w:pStyle w:val="NoSpacing"/>
        <w:spacing w:line="240" w:lineRule="auto"/>
        <w:rPr>
          <w:rFonts w:ascii="Arial" w:hAnsi="Arial" w:cs="Arial"/>
          <w:b/>
          <w:sz w:val="24"/>
          <w:szCs w:val="24"/>
        </w:rPr>
      </w:pPr>
      <w:r w:rsidRPr="0046672D">
        <w:rPr>
          <w:rFonts w:ascii="Arial" w:hAnsi="Arial" w:cs="Arial"/>
          <w:b/>
          <w:sz w:val="24"/>
          <w:szCs w:val="24"/>
        </w:rPr>
        <w:tab/>
        <w:t>3.2.  БНХАУ-ын Хөгжлийн банкны зээл</w:t>
      </w:r>
    </w:p>
    <w:p w14:paraId="17CA59EA"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 xml:space="preserve">БНХАУ-ын Хөгжлийн банк, Монгол Улсын Хөгжлийн банк хооронд 2013 оны 12 дугаар сарын 25-ны өдөр байгуулсан Хамтын ажиллагааны санамж бичгийн хүрээнд хоёр банкны хамтын ажиллагааг эрчимжүүлэх, БНХАУ-ын оролцоотой хэрэгжиж буй төслүүдийг санхүүжүүлэхэд хамтран ажиллах зорилготойгоор Засгийн газрын 2014 оны 116 дугаар тогтоолын дагуу БНХАУ-ын Хөгжлийн банкнаас авах 162.0 сая ам.долларын зээлийн гэрээнд Монгол Улсын Засгийн газрын баталгаа гаргасан. Зээлийн хугацаа нь 8 жил, зээлийн үндсэн төлбөрөөс чөлөөлөх хугацаа 3 жил, жилийн тогтмол 6 хувийн хүүтэй бөгөөд 2021 оны жилийн эцсийн байдлаар 27.5 сая ам.долларын үлдэгдэлтэй байна. </w:t>
      </w:r>
    </w:p>
    <w:p w14:paraId="48E82DDD" w14:textId="77777777" w:rsidR="000B6A0A" w:rsidRPr="0046672D" w:rsidRDefault="000B6A0A" w:rsidP="000B6A0A">
      <w:pPr>
        <w:pStyle w:val="NoSpacing"/>
        <w:spacing w:line="240" w:lineRule="auto"/>
        <w:rPr>
          <w:rFonts w:ascii="Arial" w:hAnsi="Arial" w:cs="Arial"/>
          <w:b/>
          <w:sz w:val="24"/>
          <w:szCs w:val="24"/>
        </w:rPr>
      </w:pPr>
      <w:r w:rsidRPr="0046672D">
        <w:rPr>
          <w:rFonts w:ascii="Arial" w:hAnsi="Arial" w:cs="Arial"/>
          <w:b/>
          <w:sz w:val="24"/>
          <w:szCs w:val="24"/>
        </w:rPr>
        <w:tab/>
        <w:t xml:space="preserve">3.3. “МИАТ” ХК-ний Боинг нисэх онгоц худалдан авсан зээл болон өрийн </w:t>
      </w:r>
      <w:r w:rsidRPr="0046672D">
        <w:rPr>
          <w:rFonts w:ascii="Arial" w:hAnsi="Arial" w:cs="Arial"/>
          <w:b/>
          <w:sz w:val="24"/>
          <w:szCs w:val="24"/>
        </w:rPr>
        <w:tab/>
        <w:t>бичиг</w:t>
      </w:r>
    </w:p>
    <w:p w14:paraId="0E34588C"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 xml:space="preserve">Засгийн газрын 2013 оны 319 дүгээр тогтоолын дагуу “МИАТ” ХК-ний Боинг 767-300 ER агаарын хөлгийг худалдаж авахад зориулан нийт 121.4 сая ам.долларын баталгааг Монгол Улсын Засгийн газраас гаргасан бөгөөд дараах гурван дэд зээллэгт хуваагдсан. Үүнд: </w:t>
      </w:r>
    </w:p>
    <w:p w14:paraId="09359D7F" w14:textId="77777777" w:rsidR="000B6A0A" w:rsidRPr="0046672D" w:rsidRDefault="000B6A0A" w:rsidP="00FE3633">
      <w:pPr>
        <w:pStyle w:val="NoSpacing"/>
        <w:numPr>
          <w:ilvl w:val="0"/>
          <w:numId w:val="7"/>
        </w:numPr>
        <w:spacing w:line="240" w:lineRule="auto"/>
        <w:rPr>
          <w:rFonts w:ascii="Arial" w:hAnsi="Arial" w:cs="Arial"/>
          <w:sz w:val="24"/>
          <w:szCs w:val="24"/>
        </w:rPr>
      </w:pPr>
      <w:r w:rsidRPr="0046672D">
        <w:rPr>
          <w:rFonts w:ascii="Arial" w:hAnsi="Arial" w:cs="Arial"/>
          <w:sz w:val="24"/>
          <w:szCs w:val="24"/>
        </w:rPr>
        <w:t>Америкийн Нэгдсэн Улс /АНУ/-ын Экспорт-Импорт банканд 77.4 сая ам.долларын, жилийн тогтмол  2.52 хувийн хүүтэй, 10 жилийн хугацаатай зээл;</w:t>
      </w:r>
    </w:p>
    <w:p w14:paraId="68E7D22C" w14:textId="77777777" w:rsidR="000B6A0A" w:rsidRPr="0046672D" w:rsidRDefault="000B6A0A" w:rsidP="00FE3633">
      <w:pPr>
        <w:pStyle w:val="NoSpacing"/>
        <w:numPr>
          <w:ilvl w:val="0"/>
          <w:numId w:val="7"/>
        </w:numPr>
        <w:spacing w:line="240" w:lineRule="auto"/>
        <w:rPr>
          <w:rFonts w:ascii="Arial" w:hAnsi="Arial" w:cs="Arial"/>
          <w:sz w:val="24"/>
          <w:szCs w:val="24"/>
        </w:rPr>
      </w:pPr>
      <w:r w:rsidRPr="0046672D">
        <w:rPr>
          <w:rFonts w:ascii="Arial" w:hAnsi="Arial" w:cs="Arial"/>
          <w:sz w:val="24"/>
          <w:szCs w:val="24"/>
        </w:rPr>
        <w:t>АйЭнЖи капитал банканд 23.9 сая ам.долларын, хувьсах хүүтэй (5.3% + ам.долларын 3 сарын Libor), 7 жилийн хугацаатай зээл;</w:t>
      </w:r>
    </w:p>
    <w:p w14:paraId="2076D54D" w14:textId="77777777" w:rsidR="000B6A0A" w:rsidRPr="0046672D" w:rsidRDefault="000B6A0A" w:rsidP="00FE3633">
      <w:pPr>
        <w:pStyle w:val="NoSpacing"/>
        <w:numPr>
          <w:ilvl w:val="0"/>
          <w:numId w:val="7"/>
        </w:numPr>
        <w:spacing w:line="240" w:lineRule="auto"/>
        <w:rPr>
          <w:rFonts w:ascii="Arial" w:hAnsi="Arial" w:cs="Arial"/>
          <w:sz w:val="24"/>
          <w:szCs w:val="24"/>
        </w:rPr>
      </w:pPr>
      <w:r w:rsidRPr="0046672D">
        <w:rPr>
          <w:rFonts w:ascii="Arial" w:hAnsi="Arial" w:cs="Arial"/>
          <w:sz w:val="24"/>
          <w:szCs w:val="24"/>
        </w:rPr>
        <w:t>АйЭнЖи банканд 5 жилийн хугацаатай 20.0 сая ам.долларын,  хувьсах хүүтэй (9.38 + ам.долларын 3 сарын Libor) өрийн бичигт тус тус Засгийн газрын баталгаа гаргасан.</w:t>
      </w:r>
    </w:p>
    <w:p w14:paraId="09E1B35B" w14:textId="77777777" w:rsidR="000B6A0A" w:rsidRPr="0046672D" w:rsidRDefault="000B6A0A" w:rsidP="000B6A0A">
      <w:pPr>
        <w:pStyle w:val="NoSpacing"/>
        <w:spacing w:line="240" w:lineRule="auto"/>
        <w:ind w:firstLine="720"/>
        <w:rPr>
          <w:rFonts w:ascii="Arial" w:hAnsi="Arial" w:cs="Arial"/>
          <w:sz w:val="24"/>
          <w:szCs w:val="24"/>
        </w:rPr>
      </w:pPr>
      <w:r w:rsidRPr="0046672D">
        <w:rPr>
          <w:rFonts w:ascii="Arial" w:hAnsi="Arial" w:cs="Arial"/>
          <w:sz w:val="24"/>
          <w:szCs w:val="24"/>
        </w:rPr>
        <w:t>“МИАТ” ХК дээрх баталгаат зээллэгүүдийн төлбөрийг хуваарийн дагуу амжилттай төлж барагдуулж байгаа бөгөөд 2021 онд 8.5 сая ам.долларын зээлийн үндсэн болон хүүгийн төлбөрийг төлж барагдуулснаар Засгийн газрын өрийн баталгааны үлдэгдэл 2021 оны жилийн эцсийн байдлаар 10.1 сая ам.доллар байна.</w:t>
      </w:r>
    </w:p>
    <w:p w14:paraId="32AA6F5E" w14:textId="77777777" w:rsidR="000B6A0A" w:rsidRPr="0046672D" w:rsidRDefault="000B6A0A" w:rsidP="000B6A0A">
      <w:pPr>
        <w:pStyle w:val="NoSpacing"/>
        <w:spacing w:line="240" w:lineRule="auto"/>
        <w:rPr>
          <w:rFonts w:ascii="Arial" w:hAnsi="Arial" w:cs="Arial"/>
          <w:b/>
          <w:sz w:val="24"/>
          <w:szCs w:val="24"/>
        </w:rPr>
      </w:pPr>
      <w:r w:rsidRPr="0046672D">
        <w:rPr>
          <w:rFonts w:ascii="Arial" w:hAnsi="Arial" w:cs="Arial"/>
          <w:b/>
          <w:sz w:val="24"/>
          <w:szCs w:val="24"/>
        </w:rPr>
        <w:lastRenderedPageBreak/>
        <w:tab/>
        <w:t>3.4.Эрдэнэс Монгол ХХК-ийн үйл ажиллагааны эрсдэлийн болон санхүүгийн нэгдсэн удирдлагын тогтолцоог бэхжүүлэх зорилгоор Азийн хөгжлийн банкнаас авсан 35.0 сая ам.долларын зээл</w:t>
      </w:r>
    </w:p>
    <w:p w14:paraId="4F7F43A9"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Засгийн газрын 2016 оны 138 дугаар тогтоолоор “Эрдэнэс Монгол” ХХК-ний үйл ажиллагааны эрсдэлийн болон санхүүгийн нэгдсэн удирдлагын тогтолцоог бэхжүүлэх зорилгоор хэрэгжүүлэх нийт 42.0 сая ам.долларын санхүүжилттэй төслийн зээлийн 85 хувьд буюу Азийн хөгжлийн банкнаас авах 35.0 сая ам.долларын, 15 жилийн хугацаатай, 3 жилийн үндсэн төлбөрөөс чөлөөлөгдөх хугацаатай хувьсах хүүтэй (Spread + ам.долларын 6 сарын Libor) зээлд Засгийн газрын өрийн баталгаа гаргасан. Энэхүү зээлийн хүрээнд “Эрдэнэс Монгол” ХХК 2021 оны жилийн эцсийн байдлаар 9.4 сая ам.доллар буюу 19.7 тэрбум төгрөгийн санхүүжилтийг Азийн хөгжлийн банкнаас авсан байна.</w:t>
      </w:r>
    </w:p>
    <w:p w14:paraId="6053946B" w14:textId="77777777" w:rsidR="000B6A0A" w:rsidRPr="0046672D" w:rsidRDefault="000B6A0A" w:rsidP="000B6A0A">
      <w:pPr>
        <w:pStyle w:val="Heading1"/>
        <w:pBdr>
          <w:bottom w:val="none" w:sz="0" w:space="0" w:color="auto"/>
        </w:pBdr>
      </w:pPr>
    </w:p>
    <w:p w14:paraId="0171A78A" w14:textId="77777777" w:rsidR="000B6A0A" w:rsidRPr="0046672D" w:rsidRDefault="000B6A0A" w:rsidP="000B6A0A">
      <w:pPr>
        <w:pStyle w:val="Heading1"/>
        <w:jc w:val="both"/>
      </w:pPr>
      <w:r w:rsidRPr="0046672D">
        <w:t>4. ЗАСГИЙН ГАЗРЫН ӨРИЙН ШАЛГУУР ҮЗҮҮЛЭЛТИЙН ДУНД ХУГАЦААНЫ ТӨСӨӨЛӨЛ БА НӨЛӨӨЛӨХ ХҮЧИН ЗҮЙЛС</w:t>
      </w:r>
    </w:p>
    <w:p w14:paraId="0035045F" w14:textId="77777777" w:rsidR="000B6A0A" w:rsidRPr="0046672D" w:rsidRDefault="000B6A0A" w:rsidP="000B6A0A">
      <w:pPr>
        <w:spacing w:before="240"/>
        <w:ind w:left="180" w:right="338" w:firstLine="540"/>
        <w:jc w:val="both"/>
        <w:textAlignment w:val="baseline"/>
        <w:rPr>
          <w:rFonts w:ascii="Arial" w:hAnsi="Arial" w:cs="Arial"/>
          <w:color w:val="000000" w:themeColor="text1"/>
          <w:sz w:val="24"/>
          <w:szCs w:val="28"/>
          <w:lang w:val="mn-MN"/>
        </w:rPr>
      </w:pPr>
      <w:r w:rsidRPr="0046672D">
        <w:rPr>
          <w:rFonts w:ascii="Arial" w:hAnsi="Arial" w:cs="Arial"/>
          <w:color w:val="000000" w:themeColor="text1"/>
          <w:sz w:val="24"/>
          <w:szCs w:val="28"/>
          <w:lang w:val="mn-MN"/>
        </w:rPr>
        <w:t>Өрийн тогтвортой байдлын шинжилгээнд аливаа улсын Засгийн газрын өр, ДНБ-ний харьцаа /нэрлэсэн дүнгээр/ 50 хувиас давсан тохиолдолд тухайн улсыг “Сайтар шинжлэх” шаардлагатай орны ангилалд багтаан илүү нарийвчилсан шинжилгээг хийдэг. Монгол Улсын Засгийн газрын нэрлэсэн өрийн үлдэгдлийн ДНБ-д эзлэх харьцаа 2020 онд 75.5 хувь байгаа ба 2023 он хүртэл Засгийн газрын өрийн баталгаа гаргаагүй тохиолдолд тус харьцаа хэвээр байх тул “Сайтар шинжлэх” шаардлагатай орны ангилалд орж байна.  </w:t>
      </w:r>
    </w:p>
    <w:p w14:paraId="0CF55C93" w14:textId="77777777" w:rsidR="000B6A0A" w:rsidRPr="0046672D" w:rsidRDefault="000B6A0A" w:rsidP="000B6A0A">
      <w:pPr>
        <w:spacing w:after="0"/>
        <w:ind w:left="180" w:right="338" w:firstLine="540"/>
        <w:jc w:val="both"/>
        <w:textAlignment w:val="baseline"/>
        <w:rPr>
          <w:rFonts w:ascii="Arial" w:hAnsi="Arial" w:cs="Arial"/>
          <w:color w:val="000000" w:themeColor="text1"/>
          <w:sz w:val="24"/>
          <w:szCs w:val="28"/>
          <w:lang w:val="mn-MN"/>
        </w:rPr>
      </w:pPr>
      <w:r w:rsidRPr="0046672D">
        <w:rPr>
          <w:rFonts w:ascii="Arial" w:hAnsi="Arial" w:cs="Arial"/>
          <w:color w:val="000000" w:themeColor="text1"/>
          <w:sz w:val="24"/>
          <w:szCs w:val="28"/>
          <w:lang w:val="mn-MN"/>
        </w:rPr>
        <w:t>Сүүлийн 10 жил болон ирэх 3 жилийн Засгийн газрын өр, ДНБ-ний харьцаа хэрхэн өсөж, буурахаар байгааг график 7-д харууллаа. Засгийн газрын өрийн хэмжээ 2012-2016 онд ихээхэн хэмжээгээр өссөн байна. Үүнд Засгийн газар баталгаа гаргаж эхэлсэн, төсөв алдагдалтай батлагдсан, валютын ханш суларч байсан зэрэг үзүүлэлтүүд ихээхэн нөлөө үзүүлжээ. Харин Засгийн газрын өр, ДНБ-ний харьцаа 2017-2019 онуудад буурсан нь ДНБ-ний өсөлт болон бодит хүүгийн түвшний бууралт зэргээс хамаарсан байна. Цаашид ч бодит ДНБ-ний өсөлтийг дэмжиж, төсвийн үндсэн тэнцлийг бууруулах нь өрийн тогтвортой байдлыг хангах суурь үндэс болохоор байна. Түүнчлэн тус онуудад төгрөгийн бусад ханштай харьцуулахад сулрах, төсвийн алдагдлаас шалтгаалан өсөхөөр байгаа бол бодит ДНБ-ний өсөлт болон бодит хүүгийн түвшнээс шалтгаалан тус харьцааны өсөлт саарахаар байна.</w:t>
      </w:r>
    </w:p>
    <w:p w14:paraId="3BED2AE3" w14:textId="77777777" w:rsidR="000B6A0A" w:rsidRPr="0046672D" w:rsidRDefault="000B6A0A" w:rsidP="000B6A0A">
      <w:pPr>
        <w:spacing w:after="0"/>
        <w:ind w:firstLine="540"/>
        <w:rPr>
          <w:rFonts w:ascii="Arial" w:hAnsi="Arial" w:cs="Arial"/>
          <w:i/>
          <w:color w:val="000000" w:themeColor="text1"/>
          <w:sz w:val="20"/>
          <w:szCs w:val="24"/>
          <w:lang w:val="mn-MN"/>
        </w:rPr>
      </w:pPr>
    </w:p>
    <w:p w14:paraId="14930C60" w14:textId="77777777" w:rsidR="000B6A0A" w:rsidRPr="0046672D" w:rsidRDefault="000B6A0A" w:rsidP="000B6A0A">
      <w:pPr>
        <w:spacing w:after="0"/>
        <w:ind w:firstLine="540"/>
        <w:rPr>
          <w:i/>
          <w:color w:val="000000" w:themeColor="text1"/>
          <w:sz w:val="20"/>
          <w:szCs w:val="24"/>
          <w:lang w:val="mn-MN"/>
        </w:rPr>
      </w:pPr>
      <w:r w:rsidRPr="0046672D">
        <w:rPr>
          <w:rFonts w:ascii="Arial" w:hAnsi="Arial" w:cs="Arial"/>
          <w:i/>
          <w:color w:val="000000" w:themeColor="text1"/>
          <w:sz w:val="20"/>
          <w:szCs w:val="24"/>
          <w:lang w:val="mn-MN"/>
        </w:rPr>
        <w:t>График № 7: Засгийн газрын өрд нөлөөлөгч хүчин зүйлс</w:t>
      </w:r>
    </w:p>
    <w:p w14:paraId="684E8468" w14:textId="77777777" w:rsidR="000B6A0A" w:rsidRPr="0046672D" w:rsidRDefault="000B6A0A" w:rsidP="000B6A0A">
      <w:pPr>
        <w:rPr>
          <w:b/>
          <w:highlight w:val="yellow"/>
          <w:lang w:val="mn-MN"/>
        </w:rPr>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rPr>
          <w:noProof/>
        </w:rPr>
        <w:lastRenderedPageBreak/>
        <w:drawing>
          <wp:inline distT="0" distB="0" distL="0" distR="0" wp14:anchorId="21D76AE3" wp14:editId="602C3B70">
            <wp:extent cx="7530465" cy="2857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536384" cy="2859746"/>
                    </a:xfrm>
                    <a:prstGeom prst="rect">
                      <a:avLst/>
                    </a:prstGeom>
                    <a:noFill/>
                    <a:ln>
                      <a:noFill/>
                    </a:ln>
                  </pic:spPr>
                </pic:pic>
              </a:graphicData>
            </a:graphic>
          </wp:inline>
        </w:drawing>
      </w:r>
    </w:p>
    <w:p w14:paraId="273A7934" w14:textId="77777777" w:rsidR="000B6A0A" w:rsidRPr="0046672D" w:rsidRDefault="000B6A0A" w:rsidP="000B6A0A">
      <w:pPr>
        <w:pStyle w:val="ListParagraph"/>
        <w:spacing w:before="240"/>
        <w:ind w:left="5760" w:firstLine="720"/>
        <w:jc w:val="both"/>
        <w:rPr>
          <w:highlight w:val="yellow"/>
          <w:lang w:val="mn-MN"/>
        </w:rPr>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rPr>
          <w:lang w:val="mn-MN"/>
        </w:rPr>
        <w:lastRenderedPageBreak/>
        <w:t xml:space="preserve">            </w:t>
      </w:r>
      <w:r w:rsidRPr="0046672D">
        <w:rPr>
          <w:rFonts w:ascii="Arial" w:hAnsi="Arial" w:cs="Arial"/>
          <w:i/>
          <w:lang w:val="mn-MN"/>
        </w:rPr>
        <w:t>Эх сурвалж: Сангийн яам</w:t>
      </w:r>
    </w:p>
    <w:p w14:paraId="09487731" w14:textId="77777777" w:rsidR="000B6A0A" w:rsidRPr="0046672D" w:rsidRDefault="000B6A0A" w:rsidP="000B6A0A">
      <w:pPr>
        <w:pStyle w:val="Heading1"/>
        <w:pBdr>
          <w:bottom w:val="none" w:sz="0" w:space="0" w:color="auto"/>
        </w:pBdr>
      </w:pPr>
      <w:r w:rsidRPr="0046672D">
        <w:lastRenderedPageBreak/>
        <w:t>5. ЗАСГИЙН ГАЗРЫН ӨРИЙН БАГЦ ДАХЬ ЗАРДАЛ, ЭРСДЭЛИЙН ШИНЖИЛГЭЭ</w:t>
      </w:r>
    </w:p>
    <w:p w14:paraId="3C11483A" w14:textId="77777777" w:rsidR="000B6A0A" w:rsidRPr="0046672D" w:rsidRDefault="000B6A0A" w:rsidP="000B6A0A">
      <w:pPr>
        <w:pStyle w:val="NoSpacing"/>
        <w:spacing w:before="240" w:line="240" w:lineRule="auto"/>
        <w:rPr>
          <w:rFonts w:ascii="Arial" w:hAnsi="Arial" w:cs="Arial"/>
          <w:sz w:val="24"/>
          <w:szCs w:val="24"/>
        </w:rPr>
      </w:pPr>
      <w:r w:rsidRPr="0046672D">
        <w:rPr>
          <w:rFonts w:ascii="Arial" w:hAnsi="Arial" w:cs="Arial"/>
          <w:sz w:val="24"/>
          <w:szCs w:val="24"/>
        </w:rPr>
        <w:tab/>
      </w:r>
      <w:r w:rsidRPr="0046672D" w:rsidDel="001D280C">
        <w:rPr>
          <w:rFonts w:ascii="Arial" w:hAnsi="Arial" w:cs="Arial"/>
          <w:sz w:val="24"/>
          <w:szCs w:val="24"/>
        </w:rPr>
        <w:t>Зардал, эрсдэлийн шинжилгээний цар хүрээ нь өрийн удирдлагатай холбоотой бодлого, шийдвэрийг боловсруулах, хэрэгжүүлэх үйл ажиллагааны уялдаа холбоог</w:t>
      </w:r>
      <w:r w:rsidRPr="0046672D">
        <w:rPr>
          <w:rFonts w:ascii="Arial" w:hAnsi="Arial" w:cs="Arial"/>
          <w:sz w:val="24"/>
          <w:szCs w:val="24"/>
        </w:rPr>
        <w:t xml:space="preserve"> </w:t>
      </w:r>
      <w:r w:rsidRPr="0046672D" w:rsidDel="001D280C">
        <w:rPr>
          <w:rFonts w:ascii="Arial" w:hAnsi="Arial" w:cs="Arial"/>
          <w:sz w:val="24"/>
          <w:szCs w:val="24"/>
        </w:rPr>
        <w:t>тодотгон харуулдаг чухал</w:t>
      </w:r>
      <w:r w:rsidRPr="0046672D">
        <w:rPr>
          <w:rFonts w:ascii="Arial" w:hAnsi="Arial" w:cs="Arial"/>
          <w:sz w:val="24"/>
          <w:szCs w:val="24"/>
        </w:rPr>
        <w:t xml:space="preserve"> </w:t>
      </w:r>
      <w:r w:rsidRPr="0046672D" w:rsidDel="001D280C">
        <w:rPr>
          <w:rFonts w:ascii="Arial" w:hAnsi="Arial" w:cs="Arial"/>
          <w:sz w:val="24"/>
          <w:szCs w:val="24"/>
        </w:rPr>
        <w:t>ач холбогдолтой. Засгийн газрын өрийн багцыг удирдахдаа</w:t>
      </w:r>
      <w:r w:rsidRPr="0046672D">
        <w:rPr>
          <w:rFonts w:ascii="Arial" w:hAnsi="Arial" w:cs="Arial"/>
          <w:sz w:val="24"/>
          <w:szCs w:val="24"/>
        </w:rPr>
        <w:t xml:space="preserve"> </w:t>
      </w:r>
      <w:r w:rsidRPr="0046672D" w:rsidDel="001D280C">
        <w:rPr>
          <w:rFonts w:ascii="Arial" w:hAnsi="Arial" w:cs="Arial"/>
          <w:sz w:val="24"/>
          <w:szCs w:val="24"/>
        </w:rPr>
        <w:t>зардал эрсдэлийн шалгуурт үндэслэн багцын зохистой харьцааг тогтоосноор</w:t>
      </w:r>
      <w:r w:rsidRPr="0046672D">
        <w:rPr>
          <w:rFonts w:ascii="Arial" w:hAnsi="Arial" w:cs="Arial"/>
          <w:sz w:val="24"/>
          <w:szCs w:val="24"/>
        </w:rPr>
        <w:t xml:space="preserve"> гадаад шокийн</w:t>
      </w:r>
      <w:r w:rsidRPr="0046672D" w:rsidDel="001D280C">
        <w:rPr>
          <w:rFonts w:ascii="Arial" w:hAnsi="Arial" w:cs="Arial"/>
          <w:sz w:val="24"/>
          <w:szCs w:val="24"/>
        </w:rPr>
        <w:t xml:space="preserve"> эдийн зас</w:t>
      </w:r>
      <w:r w:rsidRPr="0046672D">
        <w:rPr>
          <w:rFonts w:ascii="Arial" w:hAnsi="Arial" w:cs="Arial"/>
          <w:sz w:val="24"/>
          <w:szCs w:val="24"/>
        </w:rPr>
        <w:t xml:space="preserve">агт үүсэх сөрөг нөлөөллөөс </w:t>
      </w:r>
      <w:r w:rsidRPr="0046672D" w:rsidDel="001D280C">
        <w:rPr>
          <w:rFonts w:ascii="Arial" w:hAnsi="Arial" w:cs="Arial"/>
          <w:sz w:val="24"/>
          <w:szCs w:val="24"/>
        </w:rPr>
        <w:t>сэргийлэх боломжтой юм.</w:t>
      </w:r>
    </w:p>
    <w:p w14:paraId="7E0CA019" w14:textId="77777777" w:rsidR="000B6A0A" w:rsidRPr="0046672D" w:rsidRDefault="000B6A0A" w:rsidP="000B6A0A">
      <w:pPr>
        <w:pStyle w:val="NoSpacing"/>
        <w:spacing w:line="240" w:lineRule="auto"/>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rPr>
          <w:rFonts w:ascii="Arial" w:hAnsi="Arial" w:cs="Arial"/>
          <w:sz w:val="24"/>
          <w:szCs w:val="24"/>
        </w:rPr>
        <w:tab/>
        <w:t>Засгийн газрын зардал, эрсдэлийн үзүүлэлтүүд 2021 оны жилийн эцсийн байдлаар дараах байдалтай байна.</w:t>
      </w:r>
    </w:p>
    <w:p w14:paraId="4566E6C7" w14:textId="77777777" w:rsidR="000B6A0A" w:rsidRPr="0046672D" w:rsidRDefault="000B6A0A" w:rsidP="000B6A0A">
      <w:pPr>
        <w:pStyle w:val="Caption"/>
        <w:keepNext/>
        <w:spacing w:after="0"/>
        <w:rPr>
          <w:rFonts w:ascii="Arial" w:hAnsi="Arial" w:cs="Arial"/>
          <w:color w:val="auto"/>
          <w:sz w:val="20"/>
          <w:szCs w:val="24"/>
          <w:lang w:val="mn-MN"/>
        </w:rPr>
      </w:pPr>
      <w:r w:rsidRPr="0046672D">
        <w:rPr>
          <w:rFonts w:ascii="Arial" w:hAnsi="Arial" w:cs="Arial"/>
          <w:color w:val="auto"/>
          <w:sz w:val="20"/>
          <w:szCs w:val="24"/>
          <w:lang w:val="mn-MN"/>
        </w:rPr>
        <w:lastRenderedPageBreak/>
        <w:t xml:space="preserve">Хүснэгт № 9: </w:t>
      </w:r>
      <w:r w:rsidRPr="0046672D">
        <w:rPr>
          <w:rFonts w:ascii="Arial" w:hAnsi="Arial" w:cs="Arial"/>
          <w:color w:val="000000" w:themeColor="text1"/>
          <w:sz w:val="20"/>
          <w:szCs w:val="24"/>
          <w:lang w:val="mn-MN"/>
        </w:rPr>
        <w:t>Засгийн газрын өрийн зардал</w:t>
      </w:r>
      <w:r w:rsidRPr="0046672D">
        <w:rPr>
          <w:rFonts w:ascii="Arial" w:hAnsi="Arial" w:cs="Arial"/>
          <w:color w:val="auto"/>
          <w:sz w:val="20"/>
          <w:szCs w:val="24"/>
          <w:lang w:val="mn-MN"/>
        </w:rPr>
        <w:t>, эрсдэлийн үзүүлэлтүүд, 2021.12.31</w:t>
      </w:r>
    </w:p>
    <w:tbl>
      <w:tblPr>
        <w:tblW w:w="9772" w:type="dxa"/>
        <w:tblInd w:w="-3"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ook w:val="04A0" w:firstRow="1" w:lastRow="0" w:firstColumn="1" w:lastColumn="0" w:noHBand="0" w:noVBand="1"/>
      </w:tblPr>
      <w:tblGrid>
        <w:gridCol w:w="2251"/>
        <w:gridCol w:w="2958"/>
        <w:gridCol w:w="1814"/>
        <w:gridCol w:w="1496"/>
        <w:gridCol w:w="1253"/>
      </w:tblGrid>
      <w:tr w:rsidR="000B6A0A" w:rsidRPr="0046672D" w14:paraId="44C3419A" w14:textId="77777777" w:rsidTr="00901ED0">
        <w:trPr>
          <w:trHeight w:val="4"/>
        </w:trPr>
        <w:tc>
          <w:tcPr>
            <w:tcW w:w="5209" w:type="dxa"/>
            <w:gridSpan w:val="2"/>
            <w:shd w:val="clear" w:color="000000" w:fill="1F3864"/>
            <w:noWrap/>
            <w:vAlign w:val="center"/>
            <w:hideMark/>
          </w:tcPr>
          <w:p w14:paraId="17B03856" w14:textId="77777777" w:rsidR="000B6A0A" w:rsidRPr="0046672D" w:rsidRDefault="000B6A0A" w:rsidP="00F51A8E">
            <w:pPr>
              <w:spacing w:after="0" w:line="240" w:lineRule="auto"/>
              <w:jc w:val="center"/>
              <w:rPr>
                <w:rFonts w:ascii="Arial" w:eastAsia="Times New Roman" w:hAnsi="Arial" w:cs="Arial"/>
                <w:b/>
                <w:color w:val="FFFFFF"/>
                <w:sz w:val="20"/>
                <w:szCs w:val="20"/>
                <w:lang w:val="mn-MN"/>
              </w:rPr>
            </w:pPr>
            <w:r w:rsidRPr="0046672D">
              <w:rPr>
                <w:rFonts w:ascii="Arial" w:eastAsia="Times New Roman" w:hAnsi="Arial" w:cs="Arial"/>
                <w:b/>
                <w:color w:val="FFFFFF"/>
                <w:sz w:val="20"/>
                <w:szCs w:val="20"/>
                <w:lang w:val="mn-MN"/>
              </w:rPr>
              <w:t xml:space="preserve">Эрсдэлийн үзүүлэлт </w:t>
            </w:r>
          </w:p>
        </w:tc>
        <w:tc>
          <w:tcPr>
            <w:tcW w:w="1814" w:type="dxa"/>
            <w:shd w:val="clear" w:color="000000" w:fill="1F3864"/>
            <w:noWrap/>
            <w:vAlign w:val="center"/>
            <w:hideMark/>
          </w:tcPr>
          <w:p w14:paraId="5E6DFF20" w14:textId="77777777" w:rsidR="000B6A0A" w:rsidRPr="0046672D" w:rsidRDefault="000B6A0A" w:rsidP="00F51A8E">
            <w:pPr>
              <w:spacing w:after="0" w:line="240" w:lineRule="auto"/>
              <w:rPr>
                <w:rFonts w:ascii="Arial" w:eastAsia="Times New Roman" w:hAnsi="Arial" w:cs="Arial"/>
                <w:b/>
                <w:color w:val="FFFFFF"/>
                <w:sz w:val="20"/>
                <w:szCs w:val="20"/>
                <w:lang w:val="mn-MN"/>
              </w:rPr>
            </w:pPr>
            <w:r w:rsidRPr="0046672D">
              <w:rPr>
                <w:rFonts w:ascii="Arial" w:eastAsia="Times New Roman" w:hAnsi="Arial" w:cs="Arial"/>
                <w:b/>
                <w:color w:val="FFFFFF"/>
                <w:sz w:val="20"/>
                <w:szCs w:val="20"/>
                <w:lang w:val="mn-MN"/>
              </w:rPr>
              <w:t>Гадаад зээл</w:t>
            </w:r>
          </w:p>
        </w:tc>
        <w:tc>
          <w:tcPr>
            <w:tcW w:w="1496" w:type="dxa"/>
            <w:shd w:val="clear" w:color="000000" w:fill="1F3864"/>
            <w:noWrap/>
            <w:vAlign w:val="center"/>
            <w:hideMark/>
          </w:tcPr>
          <w:p w14:paraId="3CE15E32" w14:textId="77777777" w:rsidR="000B6A0A" w:rsidRPr="0046672D" w:rsidRDefault="000B6A0A" w:rsidP="00F51A8E">
            <w:pPr>
              <w:spacing w:after="0" w:line="240" w:lineRule="auto"/>
              <w:jc w:val="center"/>
              <w:rPr>
                <w:rFonts w:ascii="Arial" w:eastAsia="Times New Roman" w:hAnsi="Arial" w:cs="Arial"/>
                <w:b/>
                <w:color w:val="FFFFFF"/>
                <w:sz w:val="20"/>
                <w:szCs w:val="20"/>
                <w:lang w:val="mn-MN"/>
              </w:rPr>
            </w:pPr>
            <w:r w:rsidRPr="0046672D">
              <w:rPr>
                <w:rFonts w:ascii="Arial" w:eastAsia="Times New Roman" w:hAnsi="Arial" w:cs="Arial"/>
                <w:b/>
                <w:color w:val="FFFFFF"/>
                <w:sz w:val="20"/>
                <w:szCs w:val="20"/>
                <w:lang w:val="mn-MN"/>
              </w:rPr>
              <w:t>Дотоод зээл</w:t>
            </w:r>
          </w:p>
        </w:tc>
        <w:tc>
          <w:tcPr>
            <w:tcW w:w="1253" w:type="dxa"/>
            <w:shd w:val="clear" w:color="000000" w:fill="1F3864"/>
            <w:noWrap/>
            <w:vAlign w:val="center"/>
            <w:hideMark/>
          </w:tcPr>
          <w:p w14:paraId="2CE76966" w14:textId="77777777" w:rsidR="000B6A0A" w:rsidRPr="0046672D" w:rsidRDefault="000B6A0A" w:rsidP="00F51A8E">
            <w:pPr>
              <w:spacing w:after="0" w:line="240" w:lineRule="auto"/>
              <w:jc w:val="center"/>
              <w:rPr>
                <w:rFonts w:ascii="Arial" w:eastAsia="Times New Roman" w:hAnsi="Arial" w:cs="Arial"/>
                <w:b/>
                <w:color w:val="FFFFFF"/>
                <w:sz w:val="20"/>
                <w:szCs w:val="20"/>
                <w:lang w:val="mn-MN"/>
              </w:rPr>
            </w:pPr>
            <w:r w:rsidRPr="0046672D">
              <w:rPr>
                <w:rFonts w:ascii="Arial" w:eastAsia="Times New Roman" w:hAnsi="Arial" w:cs="Arial"/>
                <w:b/>
                <w:color w:val="FFFFFF"/>
                <w:sz w:val="20"/>
                <w:szCs w:val="20"/>
                <w:lang w:val="mn-MN"/>
              </w:rPr>
              <w:t>Нийт</w:t>
            </w:r>
          </w:p>
        </w:tc>
      </w:tr>
      <w:tr w:rsidR="000B6A0A" w:rsidRPr="0046672D" w14:paraId="3009BBDE" w14:textId="77777777" w:rsidTr="00901ED0">
        <w:trPr>
          <w:trHeight w:val="368"/>
        </w:trPr>
        <w:tc>
          <w:tcPr>
            <w:tcW w:w="5209" w:type="dxa"/>
            <w:gridSpan w:val="2"/>
            <w:shd w:val="clear" w:color="auto" w:fill="auto"/>
            <w:vAlign w:val="center"/>
            <w:hideMark/>
          </w:tcPr>
          <w:p w14:paraId="11B878BB"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Засгийн газрын өр (тэрбум төгрөг)</w:t>
            </w:r>
          </w:p>
        </w:tc>
        <w:tc>
          <w:tcPr>
            <w:tcW w:w="1814" w:type="dxa"/>
            <w:shd w:val="clear" w:color="auto" w:fill="auto"/>
            <w:noWrap/>
            <w:vAlign w:val="center"/>
            <w:hideMark/>
          </w:tcPr>
          <w:p w14:paraId="6CFC51DB"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25,525.2</w:t>
            </w:r>
          </w:p>
        </w:tc>
        <w:tc>
          <w:tcPr>
            <w:tcW w:w="1496" w:type="dxa"/>
            <w:shd w:val="clear" w:color="auto" w:fill="auto"/>
            <w:noWrap/>
            <w:vAlign w:val="center"/>
            <w:hideMark/>
          </w:tcPr>
          <w:p w14:paraId="26DD3A0B"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657.3</w:t>
            </w:r>
          </w:p>
        </w:tc>
        <w:tc>
          <w:tcPr>
            <w:tcW w:w="1253" w:type="dxa"/>
            <w:shd w:val="clear" w:color="auto" w:fill="auto"/>
            <w:noWrap/>
            <w:vAlign w:val="center"/>
            <w:hideMark/>
          </w:tcPr>
          <w:p w14:paraId="100878AA"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26,182.5</w:t>
            </w:r>
          </w:p>
        </w:tc>
      </w:tr>
      <w:tr w:rsidR="000B6A0A" w:rsidRPr="0046672D" w14:paraId="75D0BE75" w14:textId="77777777" w:rsidTr="00901ED0">
        <w:trPr>
          <w:trHeight w:val="430"/>
        </w:trPr>
        <w:tc>
          <w:tcPr>
            <w:tcW w:w="5209" w:type="dxa"/>
            <w:gridSpan w:val="2"/>
            <w:shd w:val="clear" w:color="auto" w:fill="auto"/>
            <w:vAlign w:val="center"/>
            <w:hideMark/>
          </w:tcPr>
          <w:p w14:paraId="007910A3"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Засгийн газрын өр (сая ам.доллар)</w:t>
            </w:r>
          </w:p>
        </w:tc>
        <w:tc>
          <w:tcPr>
            <w:tcW w:w="1814" w:type="dxa"/>
            <w:shd w:val="clear" w:color="auto" w:fill="auto"/>
            <w:noWrap/>
            <w:vAlign w:val="center"/>
            <w:hideMark/>
          </w:tcPr>
          <w:p w14:paraId="3F8000A7"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8,960.0</w:t>
            </w:r>
          </w:p>
        </w:tc>
        <w:tc>
          <w:tcPr>
            <w:tcW w:w="1496" w:type="dxa"/>
            <w:shd w:val="clear" w:color="auto" w:fill="auto"/>
            <w:noWrap/>
            <w:vAlign w:val="center"/>
            <w:hideMark/>
          </w:tcPr>
          <w:p w14:paraId="2CA5CC6E"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225.9</w:t>
            </w:r>
          </w:p>
        </w:tc>
        <w:tc>
          <w:tcPr>
            <w:tcW w:w="1253" w:type="dxa"/>
            <w:shd w:val="clear" w:color="auto" w:fill="auto"/>
            <w:noWrap/>
            <w:vAlign w:val="center"/>
            <w:hideMark/>
          </w:tcPr>
          <w:p w14:paraId="6FA05B05"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9,185.9</w:t>
            </w:r>
          </w:p>
        </w:tc>
      </w:tr>
      <w:tr w:rsidR="000B6A0A" w:rsidRPr="0046672D" w14:paraId="525F8540" w14:textId="77777777" w:rsidTr="00901ED0">
        <w:trPr>
          <w:trHeight w:val="423"/>
        </w:trPr>
        <w:tc>
          <w:tcPr>
            <w:tcW w:w="5209" w:type="dxa"/>
            <w:gridSpan w:val="2"/>
            <w:shd w:val="clear" w:color="auto" w:fill="auto"/>
            <w:vAlign w:val="center"/>
            <w:hideMark/>
          </w:tcPr>
          <w:p w14:paraId="64278138"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 xml:space="preserve">ДНБ-д эзлэх </w:t>
            </w:r>
            <w:r w:rsidRPr="0046672D">
              <w:rPr>
                <w:rFonts w:ascii="Arial" w:eastAsia="Times New Roman" w:hAnsi="Arial" w:cs="Arial"/>
                <w:color w:val="000000"/>
                <w:sz w:val="20"/>
                <w:szCs w:val="20"/>
                <w:u w:val="single"/>
                <w:lang w:val="mn-MN"/>
              </w:rPr>
              <w:t>ЗГ-</w:t>
            </w:r>
            <w:r w:rsidRPr="0046672D">
              <w:rPr>
                <w:rFonts w:ascii="Arial" w:eastAsia="Times New Roman" w:hAnsi="Arial" w:cs="Arial"/>
                <w:color w:val="000000"/>
                <w:sz w:val="20"/>
                <w:szCs w:val="20"/>
                <w:lang w:val="mn-MN"/>
              </w:rPr>
              <w:t>ын өр нэрлэсэн дүнгээр</w:t>
            </w:r>
          </w:p>
        </w:tc>
        <w:tc>
          <w:tcPr>
            <w:tcW w:w="1814" w:type="dxa"/>
            <w:shd w:val="clear" w:color="auto" w:fill="auto"/>
            <w:noWrap/>
            <w:vAlign w:val="center"/>
            <w:hideMark/>
          </w:tcPr>
          <w:p w14:paraId="5A951EC7"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59.3</w:t>
            </w:r>
          </w:p>
        </w:tc>
        <w:tc>
          <w:tcPr>
            <w:tcW w:w="1496" w:type="dxa"/>
            <w:shd w:val="clear" w:color="auto" w:fill="auto"/>
            <w:noWrap/>
            <w:vAlign w:val="center"/>
            <w:hideMark/>
          </w:tcPr>
          <w:p w14:paraId="25CAA58A"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1.5</w:t>
            </w:r>
          </w:p>
        </w:tc>
        <w:tc>
          <w:tcPr>
            <w:tcW w:w="1253" w:type="dxa"/>
            <w:shd w:val="clear" w:color="auto" w:fill="auto"/>
            <w:noWrap/>
            <w:vAlign w:val="center"/>
            <w:hideMark/>
          </w:tcPr>
          <w:p w14:paraId="6A3D7287"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62.6</w:t>
            </w:r>
          </w:p>
        </w:tc>
      </w:tr>
      <w:tr w:rsidR="000B6A0A" w:rsidRPr="0046672D" w14:paraId="6A829B47" w14:textId="77777777" w:rsidTr="00901ED0">
        <w:trPr>
          <w:trHeight w:val="415"/>
        </w:trPr>
        <w:tc>
          <w:tcPr>
            <w:tcW w:w="5209" w:type="dxa"/>
            <w:gridSpan w:val="2"/>
            <w:shd w:val="clear" w:color="auto" w:fill="auto"/>
            <w:vAlign w:val="center"/>
            <w:hideMark/>
          </w:tcPr>
          <w:p w14:paraId="3587CAC8"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 xml:space="preserve">ДНБ-д </w:t>
            </w:r>
            <w:r w:rsidRPr="0046672D">
              <w:rPr>
                <w:rFonts w:ascii="Arial" w:eastAsia="Times New Roman" w:hAnsi="Arial" w:cs="Arial"/>
                <w:color w:val="000000"/>
                <w:sz w:val="20"/>
                <w:szCs w:val="20"/>
                <w:u w:val="single"/>
                <w:lang w:val="mn-MN"/>
              </w:rPr>
              <w:t>эзлэх ЗГ-</w:t>
            </w:r>
            <w:r w:rsidRPr="0046672D">
              <w:rPr>
                <w:rFonts w:ascii="Arial" w:eastAsia="Times New Roman" w:hAnsi="Arial" w:cs="Arial"/>
                <w:color w:val="000000"/>
                <w:sz w:val="20"/>
                <w:szCs w:val="20"/>
                <w:lang w:val="mn-MN"/>
              </w:rPr>
              <w:t>ын өр өнөөгийн үнэ цэнээр</w:t>
            </w:r>
          </w:p>
        </w:tc>
        <w:tc>
          <w:tcPr>
            <w:tcW w:w="1814" w:type="dxa"/>
            <w:shd w:val="clear" w:color="auto" w:fill="auto"/>
            <w:noWrap/>
            <w:vAlign w:val="center"/>
            <w:hideMark/>
          </w:tcPr>
          <w:p w14:paraId="357B2F07"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49.2</w:t>
            </w:r>
          </w:p>
        </w:tc>
        <w:tc>
          <w:tcPr>
            <w:tcW w:w="1496" w:type="dxa"/>
            <w:shd w:val="clear" w:color="auto" w:fill="auto"/>
            <w:noWrap/>
            <w:vAlign w:val="center"/>
            <w:hideMark/>
          </w:tcPr>
          <w:p w14:paraId="51C7E740"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1.5</w:t>
            </w:r>
          </w:p>
        </w:tc>
        <w:tc>
          <w:tcPr>
            <w:tcW w:w="1253" w:type="dxa"/>
            <w:shd w:val="clear" w:color="auto" w:fill="auto"/>
            <w:noWrap/>
            <w:vAlign w:val="center"/>
            <w:hideMark/>
          </w:tcPr>
          <w:p w14:paraId="7CFF5591"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50.7</w:t>
            </w:r>
          </w:p>
        </w:tc>
      </w:tr>
      <w:tr w:rsidR="000B6A0A" w:rsidRPr="0046672D" w14:paraId="68E052F6" w14:textId="77777777" w:rsidTr="00901ED0">
        <w:trPr>
          <w:trHeight w:val="233"/>
        </w:trPr>
        <w:tc>
          <w:tcPr>
            <w:tcW w:w="2251" w:type="dxa"/>
            <w:vMerge w:val="restart"/>
            <w:shd w:val="clear" w:color="auto" w:fill="auto"/>
            <w:vAlign w:val="center"/>
            <w:hideMark/>
          </w:tcPr>
          <w:p w14:paraId="2F8BD985" w14:textId="77777777" w:rsidR="000B6A0A" w:rsidRPr="0046672D" w:rsidRDefault="000B6A0A" w:rsidP="00F51A8E">
            <w:pPr>
              <w:spacing w:after="0" w:line="240" w:lineRule="auto"/>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Өрийн багцын зардал</w:t>
            </w:r>
          </w:p>
        </w:tc>
        <w:tc>
          <w:tcPr>
            <w:tcW w:w="2958" w:type="dxa"/>
            <w:shd w:val="clear" w:color="auto" w:fill="auto"/>
            <w:vAlign w:val="center"/>
            <w:hideMark/>
          </w:tcPr>
          <w:p w14:paraId="23249E48"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Хүүгийн төлбөрийн ДНБ-д эзлэх хувь</w:t>
            </w:r>
          </w:p>
        </w:tc>
        <w:tc>
          <w:tcPr>
            <w:tcW w:w="1814" w:type="dxa"/>
            <w:shd w:val="clear" w:color="auto" w:fill="auto"/>
            <w:noWrap/>
            <w:vAlign w:val="center"/>
            <w:hideMark/>
          </w:tcPr>
          <w:p w14:paraId="4ED8F743"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1.6</w:t>
            </w:r>
          </w:p>
        </w:tc>
        <w:tc>
          <w:tcPr>
            <w:tcW w:w="1496" w:type="dxa"/>
            <w:shd w:val="clear" w:color="auto" w:fill="auto"/>
            <w:noWrap/>
            <w:vAlign w:val="center"/>
            <w:hideMark/>
          </w:tcPr>
          <w:p w14:paraId="7492ADA3"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0.2</w:t>
            </w:r>
          </w:p>
        </w:tc>
        <w:tc>
          <w:tcPr>
            <w:tcW w:w="1253" w:type="dxa"/>
            <w:shd w:val="clear" w:color="auto" w:fill="auto"/>
            <w:noWrap/>
            <w:vAlign w:val="center"/>
            <w:hideMark/>
          </w:tcPr>
          <w:p w14:paraId="3A1C406C"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1.8</w:t>
            </w:r>
          </w:p>
        </w:tc>
      </w:tr>
      <w:tr w:rsidR="000B6A0A" w:rsidRPr="0046672D" w14:paraId="4F038CEB" w14:textId="77777777" w:rsidTr="00901ED0">
        <w:trPr>
          <w:trHeight w:val="316"/>
        </w:trPr>
        <w:tc>
          <w:tcPr>
            <w:tcW w:w="2251" w:type="dxa"/>
            <w:vMerge/>
            <w:vAlign w:val="center"/>
            <w:hideMark/>
          </w:tcPr>
          <w:p w14:paraId="00DB9E82"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2958" w:type="dxa"/>
            <w:shd w:val="clear" w:color="auto" w:fill="auto"/>
            <w:vAlign w:val="center"/>
            <w:hideMark/>
          </w:tcPr>
          <w:p w14:paraId="045C8D5D"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Жигнэсэн дундаж хүү (хувь)</w:t>
            </w:r>
          </w:p>
        </w:tc>
        <w:tc>
          <w:tcPr>
            <w:tcW w:w="1814" w:type="dxa"/>
            <w:shd w:val="clear" w:color="auto" w:fill="auto"/>
            <w:noWrap/>
            <w:vAlign w:val="center"/>
            <w:hideMark/>
          </w:tcPr>
          <w:p w14:paraId="6DA7DBBC"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2.8</w:t>
            </w:r>
          </w:p>
        </w:tc>
        <w:tc>
          <w:tcPr>
            <w:tcW w:w="1496" w:type="dxa"/>
            <w:shd w:val="clear" w:color="auto" w:fill="auto"/>
            <w:noWrap/>
            <w:vAlign w:val="center"/>
            <w:hideMark/>
          </w:tcPr>
          <w:p w14:paraId="5BA5B46A"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12.6</w:t>
            </w:r>
          </w:p>
        </w:tc>
        <w:tc>
          <w:tcPr>
            <w:tcW w:w="1253" w:type="dxa"/>
            <w:shd w:val="clear" w:color="auto" w:fill="auto"/>
            <w:noWrap/>
            <w:vAlign w:val="center"/>
            <w:hideMark/>
          </w:tcPr>
          <w:p w14:paraId="7F071D7F"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3</w:t>
            </w:r>
          </w:p>
        </w:tc>
      </w:tr>
      <w:tr w:rsidR="000B6A0A" w:rsidRPr="0046672D" w14:paraId="41ADA0A1" w14:textId="77777777" w:rsidTr="00901ED0">
        <w:trPr>
          <w:trHeight w:val="559"/>
        </w:trPr>
        <w:tc>
          <w:tcPr>
            <w:tcW w:w="2251" w:type="dxa"/>
            <w:vMerge w:val="restart"/>
            <w:shd w:val="clear" w:color="auto" w:fill="auto"/>
            <w:vAlign w:val="center"/>
            <w:hideMark/>
          </w:tcPr>
          <w:p w14:paraId="5641EFE8" w14:textId="77777777" w:rsidR="000B6A0A" w:rsidRPr="0046672D" w:rsidRDefault="000B6A0A" w:rsidP="00F51A8E">
            <w:pPr>
              <w:spacing w:after="0" w:line="240" w:lineRule="auto"/>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Дахин санхүүжилтийн эрсдэл</w:t>
            </w:r>
          </w:p>
        </w:tc>
        <w:tc>
          <w:tcPr>
            <w:tcW w:w="2958" w:type="dxa"/>
            <w:shd w:val="clear" w:color="auto" w:fill="auto"/>
            <w:vAlign w:val="center"/>
            <w:hideMark/>
          </w:tcPr>
          <w:p w14:paraId="3A9D7DA2" w14:textId="77777777" w:rsidR="000B6A0A" w:rsidRPr="0046672D" w:rsidRDefault="000B6A0A" w:rsidP="00F51A8E">
            <w:pPr>
              <w:spacing w:after="0" w:line="240" w:lineRule="auto"/>
              <w:rPr>
                <w:rFonts w:ascii="Arial" w:eastAsia="Times New Roman" w:hAnsi="Arial" w:cs="Arial"/>
                <w:color w:val="FF0000"/>
                <w:sz w:val="20"/>
                <w:szCs w:val="20"/>
                <w:lang w:val="mn-MN"/>
              </w:rPr>
            </w:pPr>
            <w:r w:rsidRPr="0046672D">
              <w:rPr>
                <w:rFonts w:ascii="Arial" w:eastAsia="Times New Roman" w:hAnsi="Arial" w:cs="Arial"/>
                <w:color w:val="FF0000"/>
                <w:sz w:val="20"/>
                <w:szCs w:val="20"/>
                <w:lang w:val="mn-MN"/>
              </w:rPr>
              <w:t xml:space="preserve">ATM </w:t>
            </w:r>
            <w:r w:rsidRPr="0046672D">
              <w:rPr>
                <w:rFonts w:ascii="Arial" w:eastAsia="Times New Roman" w:hAnsi="Arial" w:cs="Arial"/>
                <w:color w:val="000000"/>
                <w:sz w:val="20"/>
                <w:szCs w:val="20"/>
                <w:lang w:val="mn-MN"/>
              </w:rPr>
              <w:t>(жил)- эргэн төлөгдөх дундаж хугацаа</w:t>
            </w:r>
          </w:p>
        </w:tc>
        <w:tc>
          <w:tcPr>
            <w:tcW w:w="1814" w:type="dxa"/>
            <w:shd w:val="clear" w:color="auto" w:fill="auto"/>
            <w:noWrap/>
            <w:vAlign w:val="center"/>
            <w:hideMark/>
          </w:tcPr>
          <w:p w14:paraId="46E98E56"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8.6</w:t>
            </w:r>
          </w:p>
        </w:tc>
        <w:tc>
          <w:tcPr>
            <w:tcW w:w="1496" w:type="dxa"/>
            <w:shd w:val="clear" w:color="auto" w:fill="auto"/>
            <w:noWrap/>
            <w:vAlign w:val="center"/>
            <w:hideMark/>
          </w:tcPr>
          <w:p w14:paraId="090654F5"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2.3</w:t>
            </w:r>
          </w:p>
        </w:tc>
        <w:tc>
          <w:tcPr>
            <w:tcW w:w="1253" w:type="dxa"/>
            <w:shd w:val="clear" w:color="auto" w:fill="auto"/>
            <w:noWrap/>
            <w:vAlign w:val="center"/>
            <w:hideMark/>
          </w:tcPr>
          <w:p w14:paraId="52F5FB11"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8.4</w:t>
            </w:r>
          </w:p>
        </w:tc>
      </w:tr>
      <w:tr w:rsidR="000B6A0A" w:rsidRPr="0046672D" w14:paraId="3F7E2D94" w14:textId="77777777" w:rsidTr="00901ED0">
        <w:trPr>
          <w:trHeight w:val="556"/>
        </w:trPr>
        <w:tc>
          <w:tcPr>
            <w:tcW w:w="2251" w:type="dxa"/>
            <w:vMerge/>
            <w:vAlign w:val="center"/>
            <w:hideMark/>
          </w:tcPr>
          <w:p w14:paraId="3CF81814"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2958" w:type="dxa"/>
            <w:shd w:val="clear" w:color="auto" w:fill="auto"/>
            <w:vAlign w:val="center"/>
            <w:hideMark/>
          </w:tcPr>
          <w:p w14:paraId="14C09E12"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Богино хугацаанд төлөгдөх өр (нийт өрд эзлэх хувь)</w:t>
            </w:r>
          </w:p>
        </w:tc>
        <w:tc>
          <w:tcPr>
            <w:tcW w:w="1814" w:type="dxa"/>
            <w:shd w:val="clear" w:color="auto" w:fill="auto"/>
            <w:noWrap/>
            <w:vAlign w:val="center"/>
            <w:hideMark/>
          </w:tcPr>
          <w:p w14:paraId="3C7CD41C"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3.8</w:t>
            </w:r>
          </w:p>
        </w:tc>
        <w:tc>
          <w:tcPr>
            <w:tcW w:w="1496" w:type="dxa"/>
            <w:shd w:val="clear" w:color="auto" w:fill="auto"/>
            <w:noWrap/>
            <w:vAlign w:val="center"/>
            <w:hideMark/>
          </w:tcPr>
          <w:p w14:paraId="1BE1F929"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45.3</w:t>
            </w:r>
          </w:p>
        </w:tc>
        <w:tc>
          <w:tcPr>
            <w:tcW w:w="1253" w:type="dxa"/>
            <w:shd w:val="clear" w:color="auto" w:fill="auto"/>
            <w:noWrap/>
            <w:vAlign w:val="center"/>
            <w:hideMark/>
          </w:tcPr>
          <w:p w14:paraId="47205C35"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4.6</w:t>
            </w:r>
          </w:p>
        </w:tc>
      </w:tr>
      <w:tr w:rsidR="000B6A0A" w:rsidRPr="0046672D" w14:paraId="1C1695FA" w14:textId="77777777" w:rsidTr="00901ED0">
        <w:trPr>
          <w:trHeight w:val="448"/>
        </w:trPr>
        <w:tc>
          <w:tcPr>
            <w:tcW w:w="2251" w:type="dxa"/>
            <w:vMerge w:val="restart"/>
            <w:shd w:val="clear" w:color="auto" w:fill="auto"/>
            <w:vAlign w:val="center"/>
            <w:hideMark/>
          </w:tcPr>
          <w:p w14:paraId="66A755D0" w14:textId="77777777" w:rsidR="000B6A0A" w:rsidRPr="0046672D" w:rsidRDefault="000B6A0A" w:rsidP="00F51A8E">
            <w:pPr>
              <w:spacing w:after="0" w:line="240" w:lineRule="auto"/>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Хүүгийн түвшний эрсдэл</w:t>
            </w:r>
          </w:p>
        </w:tc>
        <w:tc>
          <w:tcPr>
            <w:tcW w:w="2958" w:type="dxa"/>
            <w:shd w:val="clear" w:color="auto" w:fill="auto"/>
            <w:vAlign w:val="center"/>
            <w:hideMark/>
          </w:tcPr>
          <w:p w14:paraId="3C93FE9B"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Богино хугацаанд төлөгдөх өр (ДНБ-нд эзлэх хувь)</w:t>
            </w:r>
          </w:p>
        </w:tc>
        <w:tc>
          <w:tcPr>
            <w:tcW w:w="1814" w:type="dxa"/>
            <w:shd w:val="clear" w:color="auto" w:fill="auto"/>
            <w:noWrap/>
            <w:vAlign w:val="center"/>
            <w:hideMark/>
          </w:tcPr>
          <w:p w14:paraId="149B4552"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2.9</w:t>
            </w:r>
          </w:p>
        </w:tc>
        <w:tc>
          <w:tcPr>
            <w:tcW w:w="1496" w:type="dxa"/>
            <w:shd w:val="clear" w:color="auto" w:fill="auto"/>
            <w:noWrap/>
            <w:vAlign w:val="center"/>
            <w:hideMark/>
          </w:tcPr>
          <w:p w14:paraId="23BF196E"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0.7</w:t>
            </w:r>
          </w:p>
        </w:tc>
        <w:tc>
          <w:tcPr>
            <w:tcW w:w="1253" w:type="dxa"/>
            <w:shd w:val="clear" w:color="auto" w:fill="auto"/>
            <w:noWrap/>
            <w:vAlign w:val="center"/>
            <w:hideMark/>
          </w:tcPr>
          <w:p w14:paraId="753F651A"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3.6</w:t>
            </w:r>
          </w:p>
        </w:tc>
      </w:tr>
      <w:tr w:rsidR="000B6A0A" w:rsidRPr="0046672D" w14:paraId="0DBE62E2" w14:textId="77777777" w:rsidTr="00901ED0">
        <w:trPr>
          <w:trHeight w:val="454"/>
        </w:trPr>
        <w:tc>
          <w:tcPr>
            <w:tcW w:w="2251" w:type="dxa"/>
            <w:vMerge/>
            <w:vAlign w:val="center"/>
            <w:hideMark/>
          </w:tcPr>
          <w:p w14:paraId="2984514B"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2958" w:type="dxa"/>
            <w:shd w:val="clear" w:color="auto" w:fill="auto"/>
            <w:vAlign w:val="center"/>
            <w:hideMark/>
          </w:tcPr>
          <w:p w14:paraId="542F69EF" w14:textId="77777777" w:rsidR="000B6A0A" w:rsidRPr="0046672D" w:rsidRDefault="000B6A0A" w:rsidP="00F51A8E">
            <w:pPr>
              <w:spacing w:after="0" w:line="240" w:lineRule="auto"/>
              <w:rPr>
                <w:rFonts w:ascii="Arial" w:eastAsia="Times New Roman" w:hAnsi="Arial" w:cs="Arial"/>
                <w:color w:val="FF0000"/>
                <w:sz w:val="20"/>
                <w:szCs w:val="20"/>
                <w:lang w:val="mn-MN"/>
              </w:rPr>
            </w:pPr>
            <w:r w:rsidRPr="0046672D">
              <w:rPr>
                <w:rFonts w:ascii="Arial" w:eastAsia="Times New Roman" w:hAnsi="Arial" w:cs="Arial"/>
                <w:color w:val="FF0000"/>
                <w:sz w:val="20"/>
                <w:szCs w:val="20"/>
                <w:lang w:val="mn-MN"/>
              </w:rPr>
              <w:t>ATR</w:t>
            </w:r>
            <w:r w:rsidRPr="0046672D">
              <w:rPr>
                <w:rFonts w:ascii="Arial" w:eastAsia="Times New Roman" w:hAnsi="Arial" w:cs="Arial"/>
                <w:color w:val="000000"/>
                <w:sz w:val="20"/>
                <w:szCs w:val="20"/>
                <w:lang w:val="mn-MN"/>
              </w:rPr>
              <w:t xml:space="preserve"> (жил)- хүү шинэчлэгдэх дундаж хугацаа</w:t>
            </w:r>
          </w:p>
        </w:tc>
        <w:tc>
          <w:tcPr>
            <w:tcW w:w="1814" w:type="dxa"/>
            <w:shd w:val="clear" w:color="auto" w:fill="auto"/>
            <w:noWrap/>
            <w:vAlign w:val="center"/>
            <w:hideMark/>
          </w:tcPr>
          <w:p w14:paraId="39FFDECD"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7.6</w:t>
            </w:r>
          </w:p>
        </w:tc>
        <w:tc>
          <w:tcPr>
            <w:tcW w:w="1496" w:type="dxa"/>
            <w:shd w:val="clear" w:color="auto" w:fill="auto"/>
            <w:noWrap/>
            <w:vAlign w:val="center"/>
            <w:hideMark/>
          </w:tcPr>
          <w:p w14:paraId="2813244F"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2.3</w:t>
            </w:r>
          </w:p>
        </w:tc>
        <w:tc>
          <w:tcPr>
            <w:tcW w:w="1253" w:type="dxa"/>
            <w:shd w:val="clear" w:color="auto" w:fill="auto"/>
            <w:noWrap/>
            <w:vAlign w:val="center"/>
            <w:hideMark/>
          </w:tcPr>
          <w:p w14:paraId="0164A945"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7.5</w:t>
            </w:r>
          </w:p>
        </w:tc>
      </w:tr>
      <w:tr w:rsidR="000B6A0A" w:rsidRPr="0046672D" w14:paraId="6C5BFDC1" w14:textId="77777777" w:rsidTr="00901ED0">
        <w:trPr>
          <w:trHeight w:val="460"/>
        </w:trPr>
        <w:tc>
          <w:tcPr>
            <w:tcW w:w="2251" w:type="dxa"/>
            <w:vMerge/>
            <w:vAlign w:val="center"/>
            <w:hideMark/>
          </w:tcPr>
          <w:p w14:paraId="5BE42F06"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2958" w:type="dxa"/>
            <w:shd w:val="clear" w:color="auto" w:fill="auto"/>
            <w:vAlign w:val="center"/>
            <w:hideMark/>
          </w:tcPr>
          <w:p w14:paraId="5BECE3FD"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1 жилд тогтмолжуулах өр (нийт өрд эзлэх хувь)</w:t>
            </w:r>
          </w:p>
        </w:tc>
        <w:tc>
          <w:tcPr>
            <w:tcW w:w="1814" w:type="dxa"/>
            <w:shd w:val="clear" w:color="auto" w:fill="auto"/>
            <w:noWrap/>
            <w:vAlign w:val="center"/>
            <w:hideMark/>
          </w:tcPr>
          <w:p w14:paraId="29F34B29"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16.2</w:t>
            </w:r>
          </w:p>
        </w:tc>
        <w:tc>
          <w:tcPr>
            <w:tcW w:w="1496" w:type="dxa"/>
            <w:shd w:val="clear" w:color="auto" w:fill="auto"/>
            <w:noWrap/>
            <w:vAlign w:val="center"/>
            <w:hideMark/>
          </w:tcPr>
          <w:p w14:paraId="75972D19"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45.3</w:t>
            </w:r>
          </w:p>
        </w:tc>
        <w:tc>
          <w:tcPr>
            <w:tcW w:w="1253" w:type="dxa"/>
            <w:shd w:val="clear" w:color="auto" w:fill="auto"/>
            <w:noWrap/>
            <w:vAlign w:val="center"/>
            <w:hideMark/>
          </w:tcPr>
          <w:p w14:paraId="43AA03AE"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16.7</w:t>
            </w:r>
          </w:p>
        </w:tc>
      </w:tr>
      <w:tr w:rsidR="000B6A0A" w:rsidRPr="0046672D" w14:paraId="01DA7310" w14:textId="77777777" w:rsidTr="00901ED0">
        <w:trPr>
          <w:trHeight w:val="480"/>
        </w:trPr>
        <w:tc>
          <w:tcPr>
            <w:tcW w:w="2251" w:type="dxa"/>
            <w:vMerge/>
            <w:vAlign w:val="center"/>
            <w:hideMark/>
          </w:tcPr>
          <w:p w14:paraId="2022C343"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2958" w:type="dxa"/>
            <w:shd w:val="clear" w:color="auto" w:fill="auto"/>
            <w:vAlign w:val="center"/>
            <w:hideMark/>
          </w:tcPr>
          <w:p w14:paraId="70A9956A"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Тогтмол хүүтэй зээл ба бонд (нийт өрд эзлэх хувь)</w:t>
            </w:r>
          </w:p>
        </w:tc>
        <w:tc>
          <w:tcPr>
            <w:tcW w:w="1814" w:type="dxa"/>
            <w:shd w:val="clear" w:color="auto" w:fill="auto"/>
            <w:noWrap/>
            <w:vAlign w:val="center"/>
            <w:hideMark/>
          </w:tcPr>
          <w:p w14:paraId="34D5E690"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87</w:t>
            </w:r>
          </w:p>
        </w:tc>
        <w:tc>
          <w:tcPr>
            <w:tcW w:w="1496" w:type="dxa"/>
            <w:shd w:val="clear" w:color="auto" w:fill="auto"/>
            <w:noWrap/>
            <w:vAlign w:val="center"/>
            <w:hideMark/>
          </w:tcPr>
          <w:p w14:paraId="0CFB0140"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100</w:t>
            </w:r>
          </w:p>
        </w:tc>
        <w:tc>
          <w:tcPr>
            <w:tcW w:w="1253" w:type="dxa"/>
            <w:shd w:val="clear" w:color="auto" w:fill="auto"/>
            <w:noWrap/>
            <w:vAlign w:val="center"/>
            <w:hideMark/>
          </w:tcPr>
          <w:p w14:paraId="146BAD0C"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87.2</w:t>
            </w:r>
          </w:p>
        </w:tc>
      </w:tr>
      <w:tr w:rsidR="000B6A0A" w:rsidRPr="0046672D" w14:paraId="2C647974" w14:textId="77777777" w:rsidTr="00901ED0">
        <w:trPr>
          <w:trHeight w:val="198"/>
        </w:trPr>
        <w:tc>
          <w:tcPr>
            <w:tcW w:w="2251" w:type="dxa"/>
            <w:vMerge w:val="restart"/>
            <w:shd w:val="clear" w:color="auto" w:fill="auto"/>
            <w:vAlign w:val="center"/>
            <w:hideMark/>
          </w:tcPr>
          <w:p w14:paraId="347CEE27" w14:textId="77777777" w:rsidR="000B6A0A" w:rsidRPr="0046672D" w:rsidRDefault="000B6A0A" w:rsidP="00F51A8E">
            <w:pPr>
              <w:spacing w:after="0" w:line="240" w:lineRule="auto"/>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Ханшийн эрсдэл</w:t>
            </w:r>
          </w:p>
        </w:tc>
        <w:tc>
          <w:tcPr>
            <w:tcW w:w="2958" w:type="dxa"/>
            <w:shd w:val="clear" w:color="auto" w:fill="auto"/>
            <w:vAlign w:val="center"/>
            <w:hideMark/>
          </w:tcPr>
          <w:p w14:paraId="37C910A2"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Гадаад валютаарх өр (нийт өрд эзлэх хувь)</w:t>
            </w:r>
          </w:p>
        </w:tc>
        <w:tc>
          <w:tcPr>
            <w:tcW w:w="1814" w:type="dxa"/>
            <w:shd w:val="clear" w:color="auto" w:fill="auto"/>
            <w:noWrap/>
            <w:vAlign w:val="center"/>
            <w:hideMark/>
          </w:tcPr>
          <w:p w14:paraId="378FE5C0" w14:textId="77777777" w:rsidR="000B6A0A" w:rsidRPr="0046672D" w:rsidRDefault="000B6A0A" w:rsidP="00F51A8E">
            <w:pPr>
              <w:spacing w:after="0" w:line="240" w:lineRule="auto"/>
              <w:rPr>
                <w:rFonts w:ascii="Arial" w:eastAsia="Times New Roman" w:hAnsi="Arial" w:cs="Arial"/>
                <w:sz w:val="20"/>
                <w:szCs w:val="20"/>
                <w:lang w:val="mn-MN"/>
              </w:rPr>
            </w:pPr>
          </w:p>
        </w:tc>
        <w:tc>
          <w:tcPr>
            <w:tcW w:w="1496" w:type="dxa"/>
            <w:shd w:val="clear" w:color="auto" w:fill="auto"/>
            <w:noWrap/>
            <w:vAlign w:val="center"/>
            <w:hideMark/>
          </w:tcPr>
          <w:p w14:paraId="266DDADB" w14:textId="77777777" w:rsidR="000B6A0A" w:rsidRPr="0046672D" w:rsidRDefault="000B6A0A" w:rsidP="00F51A8E">
            <w:pPr>
              <w:spacing w:after="0" w:line="240" w:lineRule="auto"/>
              <w:rPr>
                <w:rFonts w:ascii="Times New Roman" w:eastAsia="Times New Roman" w:hAnsi="Times New Roman" w:cs="Times New Roman"/>
                <w:sz w:val="20"/>
                <w:szCs w:val="20"/>
                <w:lang w:val="mn-MN"/>
              </w:rPr>
            </w:pPr>
          </w:p>
        </w:tc>
        <w:tc>
          <w:tcPr>
            <w:tcW w:w="1253" w:type="dxa"/>
            <w:shd w:val="clear" w:color="auto" w:fill="auto"/>
            <w:noWrap/>
            <w:vAlign w:val="center"/>
            <w:hideMark/>
          </w:tcPr>
          <w:p w14:paraId="5F71D0CF" w14:textId="77777777" w:rsidR="000B6A0A" w:rsidRPr="0046672D" w:rsidRDefault="000B6A0A" w:rsidP="00F51A8E">
            <w:pPr>
              <w:spacing w:after="0" w:line="240" w:lineRule="auto"/>
              <w:jc w:val="right"/>
              <w:rPr>
                <w:rFonts w:ascii="Arial" w:eastAsia="Times New Roman" w:hAnsi="Arial" w:cs="Arial"/>
                <w:sz w:val="20"/>
                <w:szCs w:val="20"/>
                <w:lang w:val="mn-MN"/>
              </w:rPr>
            </w:pPr>
            <w:r w:rsidRPr="0046672D">
              <w:rPr>
                <w:rFonts w:ascii="Arial" w:eastAsia="Times New Roman" w:hAnsi="Arial" w:cs="Arial"/>
                <w:sz w:val="20"/>
                <w:szCs w:val="20"/>
                <w:lang w:val="mn-MN"/>
              </w:rPr>
              <w:t>97.5</w:t>
            </w:r>
          </w:p>
        </w:tc>
      </w:tr>
      <w:tr w:rsidR="000B6A0A" w:rsidRPr="0046672D" w14:paraId="18561570" w14:textId="77777777" w:rsidTr="00901ED0">
        <w:trPr>
          <w:trHeight w:val="171"/>
        </w:trPr>
        <w:tc>
          <w:tcPr>
            <w:tcW w:w="2251" w:type="dxa"/>
            <w:vMerge/>
            <w:vAlign w:val="center"/>
            <w:hideMark/>
          </w:tcPr>
          <w:p w14:paraId="25943255" w14:textId="77777777" w:rsidR="000B6A0A" w:rsidRPr="0046672D" w:rsidRDefault="000B6A0A" w:rsidP="00F51A8E">
            <w:pPr>
              <w:spacing w:after="0" w:line="240" w:lineRule="auto"/>
              <w:rPr>
                <w:rFonts w:ascii="Arial" w:eastAsia="Times New Roman" w:hAnsi="Arial" w:cs="Arial"/>
                <w:color w:val="000000"/>
                <w:sz w:val="20"/>
                <w:szCs w:val="20"/>
                <w:lang w:val="mn-MN"/>
              </w:rPr>
            </w:pPr>
          </w:p>
        </w:tc>
        <w:tc>
          <w:tcPr>
            <w:tcW w:w="2958" w:type="dxa"/>
            <w:shd w:val="clear" w:color="auto" w:fill="auto"/>
            <w:vAlign w:val="center"/>
            <w:hideMark/>
          </w:tcPr>
          <w:p w14:paraId="415B9C87"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 xml:space="preserve">Валютын нөөцөд эзлэх богино хугацаат гадаад өр </w:t>
            </w:r>
          </w:p>
        </w:tc>
        <w:tc>
          <w:tcPr>
            <w:tcW w:w="1814" w:type="dxa"/>
            <w:shd w:val="clear" w:color="auto" w:fill="auto"/>
            <w:noWrap/>
            <w:vAlign w:val="center"/>
            <w:hideMark/>
          </w:tcPr>
          <w:p w14:paraId="7290C2FA" w14:textId="77777777" w:rsidR="000B6A0A" w:rsidRPr="0046672D" w:rsidRDefault="000B6A0A" w:rsidP="00F51A8E">
            <w:pPr>
              <w:spacing w:after="0" w:line="240" w:lineRule="auto"/>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 </w:t>
            </w:r>
          </w:p>
        </w:tc>
        <w:tc>
          <w:tcPr>
            <w:tcW w:w="1496" w:type="dxa"/>
            <w:shd w:val="clear" w:color="auto" w:fill="auto"/>
            <w:noWrap/>
            <w:vAlign w:val="center"/>
            <w:hideMark/>
          </w:tcPr>
          <w:p w14:paraId="3694EC27" w14:textId="77777777" w:rsidR="000B6A0A" w:rsidRPr="0046672D" w:rsidRDefault="000B6A0A" w:rsidP="00F51A8E">
            <w:pPr>
              <w:spacing w:after="0" w:line="240" w:lineRule="auto"/>
              <w:rPr>
                <w:rFonts w:ascii="Calibri" w:eastAsia="Times New Roman" w:hAnsi="Calibri" w:cs="Calibri"/>
                <w:color w:val="000000"/>
                <w:sz w:val="20"/>
                <w:szCs w:val="20"/>
                <w:lang w:val="mn-MN"/>
              </w:rPr>
            </w:pPr>
            <w:r w:rsidRPr="0046672D">
              <w:rPr>
                <w:rFonts w:ascii="Calibri" w:eastAsia="Times New Roman" w:hAnsi="Calibri" w:cs="Calibri"/>
                <w:color w:val="000000"/>
                <w:sz w:val="20"/>
                <w:szCs w:val="20"/>
                <w:lang w:val="mn-MN"/>
              </w:rPr>
              <w:t> </w:t>
            </w:r>
          </w:p>
        </w:tc>
        <w:tc>
          <w:tcPr>
            <w:tcW w:w="1253" w:type="dxa"/>
            <w:shd w:val="clear" w:color="auto" w:fill="auto"/>
            <w:noWrap/>
            <w:vAlign w:val="center"/>
            <w:hideMark/>
          </w:tcPr>
          <w:p w14:paraId="0A346D69" w14:textId="77777777" w:rsidR="000B6A0A" w:rsidRPr="0046672D" w:rsidRDefault="000B6A0A" w:rsidP="00F51A8E">
            <w:pPr>
              <w:spacing w:after="0" w:line="240" w:lineRule="auto"/>
              <w:jc w:val="right"/>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9.5</w:t>
            </w:r>
          </w:p>
        </w:tc>
      </w:tr>
    </w:tbl>
    <w:p w14:paraId="39811752" w14:textId="77777777" w:rsidR="000B6A0A" w:rsidRPr="0046672D" w:rsidRDefault="000B6A0A" w:rsidP="000B6A0A">
      <w:pPr>
        <w:pStyle w:val="Heading2"/>
        <w:numPr>
          <w:ilvl w:val="0"/>
          <w:numId w:val="0"/>
        </w:numPr>
        <w:spacing w:before="240" w:after="240"/>
        <w:ind w:left="180"/>
      </w:pPr>
      <w:r w:rsidRPr="0046672D">
        <w:lastRenderedPageBreak/>
        <w:tab/>
      </w:r>
      <w:r w:rsidRPr="0046672D">
        <w:tab/>
        <w:t>5.1.Өрийн багцын зардал /хүүгийн төлбөр/</w:t>
      </w:r>
    </w:p>
    <w:p w14:paraId="28687005" w14:textId="77777777" w:rsidR="000B6A0A" w:rsidRPr="0046672D" w:rsidRDefault="000B6A0A" w:rsidP="000B6A0A">
      <w:pPr>
        <w:pStyle w:val="NoSpacing"/>
        <w:spacing w:after="240" w:line="240" w:lineRule="auto"/>
        <w:rPr>
          <w:rFonts w:ascii="Arial" w:hAnsi="Arial" w:cs="Arial"/>
          <w:sz w:val="24"/>
          <w:szCs w:val="24"/>
        </w:rPr>
      </w:pPr>
      <w:r w:rsidRPr="0046672D">
        <w:rPr>
          <w:rFonts w:ascii="Arial" w:hAnsi="Arial" w:cs="Arial"/>
          <w:sz w:val="24"/>
          <w:szCs w:val="24"/>
        </w:rPr>
        <w:tab/>
        <w:t>Өрийн багцын зардал 2021 оны жилийн эцсийн байдлаар ДНБ-ний 1.8 хувьтай тэнцэж байна. Үүнээс Засгийн газрын гадаад өрийн зардал ДНБ-ний 1.6 хувь, дотоод өрийн зардал ДНБ-ний 0.2 хувь байна. Өрийн багцад эзлэх дотоод өрийн зардал буурахад Засгийн газраас 2017 оны 10 дугаар сараас өндөр хүүтэй дотоод үнэт цаасны арилжааг зогсоож, зарим үнэт цаасыг хугацаанаас өмнө буцаан худалдан авсан нь чухал нөлөө үзүүлсэн.</w:t>
      </w:r>
    </w:p>
    <w:p w14:paraId="499E3161" w14:textId="77777777" w:rsidR="000B6A0A" w:rsidRPr="0046672D" w:rsidRDefault="000B6A0A" w:rsidP="000B6A0A">
      <w:pPr>
        <w:pStyle w:val="NoSpacing"/>
        <w:spacing w:after="240" w:line="240" w:lineRule="auto"/>
        <w:rPr>
          <w:rFonts w:ascii="Arial" w:hAnsi="Arial" w:cs="Arial"/>
          <w:sz w:val="24"/>
          <w:szCs w:val="24"/>
        </w:rPr>
      </w:pPr>
      <w:r w:rsidRPr="0046672D">
        <w:rPr>
          <w:rFonts w:ascii="Arial" w:hAnsi="Arial" w:cs="Arial"/>
          <w:sz w:val="24"/>
          <w:szCs w:val="24"/>
        </w:rPr>
        <w:tab/>
        <w:t>Түүнчлэн 2021 оны жилийн эцсийн байдлаар жигнэсэн дундаж хүү</w:t>
      </w:r>
      <w:r w:rsidRPr="0046672D">
        <w:rPr>
          <w:rStyle w:val="FootnoteReference"/>
          <w:rFonts w:ascii="Arial" w:hAnsi="Arial" w:cs="Arial"/>
          <w:sz w:val="24"/>
          <w:szCs w:val="24"/>
        </w:rPr>
        <w:footnoteReference w:id="6"/>
      </w:r>
      <w:r w:rsidRPr="0046672D">
        <w:rPr>
          <w:rFonts w:ascii="Arial" w:hAnsi="Arial" w:cs="Arial"/>
          <w:sz w:val="24"/>
          <w:szCs w:val="24"/>
        </w:rPr>
        <w:t xml:space="preserve"> 3.0 хувьтай байна. </w:t>
      </w:r>
      <w:r w:rsidRPr="0046672D">
        <w:rPr>
          <w:rFonts w:ascii="Arial" w:hAnsi="Arial" w:cs="Arial"/>
          <w:color w:val="000000" w:themeColor="text1"/>
          <w:sz w:val="24"/>
          <w:szCs w:val="24"/>
        </w:rPr>
        <w:t>Үүнд</w:t>
      </w:r>
      <w:r w:rsidRPr="0046672D">
        <w:rPr>
          <w:rFonts w:ascii="Arial" w:hAnsi="Arial" w:cs="Arial"/>
          <w:sz w:val="24"/>
          <w:szCs w:val="24"/>
        </w:rPr>
        <w:t xml:space="preserve"> гадаад өрийн жигнэсэн дундаж хүү 2.8 хувь, дотоод өрийн жигнэсэн дундаж хүү </w:t>
      </w:r>
      <w:r w:rsidRPr="0046672D">
        <w:rPr>
          <w:rFonts w:ascii="Arial" w:hAnsi="Arial" w:cs="Arial"/>
          <w:color w:val="000000" w:themeColor="text1"/>
          <w:sz w:val="24"/>
          <w:szCs w:val="24"/>
        </w:rPr>
        <w:t xml:space="preserve">12.6 </w:t>
      </w:r>
      <w:r w:rsidRPr="0046672D">
        <w:rPr>
          <w:rFonts w:ascii="Arial" w:hAnsi="Arial" w:cs="Arial"/>
          <w:sz w:val="24"/>
          <w:szCs w:val="24"/>
        </w:rPr>
        <w:t>хувь байна.</w:t>
      </w:r>
    </w:p>
    <w:p w14:paraId="54D92D9B" w14:textId="77777777" w:rsidR="000B6A0A" w:rsidRPr="0046672D" w:rsidRDefault="000B6A0A" w:rsidP="000B6A0A">
      <w:pPr>
        <w:pStyle w:val="Heading2"/>
        <w:numPr>
          <w:ilvl w:val="0"/>
          <w:numId w:val="0"/>
        </w:numPr>
        <w:spacing w:after="240"/>
        <w:ind w:left="540"/>
      </w:pPr>
      <w:r w:rsidRPr="0046672D">
        <w:tab/>
        <w:t>5.2.Өрийн багцын эрсдэл</w:t>
      </w:r>
    </w:p>
    <w:p w14:paraId="2AB76535" w14:textId="77777777" w:rsidR="000B6A0A" w:rsidRPr="0046672D" w:rsidRDefault="000B6A0A" w:rsidP="000B6A0A">
      <w:pPr>
        <w:pStyle w:val="Heading3"/>
        <w:spacing w:before="0" w:after="240" w:line="240" w:lineRule="auto"/>
        <w:rPr>
          <w:rFonts w:ascii="Arial" w:hAnsi="Arial" w:cs="Arial"/>
          <w:b/>
          <w:color w:val="auto"/>
        </w:rPr>
      </w:pPr>
      <w:r w:rsidRPr="0046672D">
        <w:rPr>
          <w:rFonts w:ascii="Arial" w:hAnsi="Arial" w:cs="Arial"/>
          <w:b/>
          <w:color w:val="auto"/>
        </w:rPr>
        <w:tab/>
        <w:t>5.2.1.Дахин санхүүжилтийн эрсдэл</w:t>
      </w:r>
    </w:p>
    <w:p w14:paraId="58B26A2F" w14:textId="77777777" w:rsidR="000B6A0A" w:rsidRPr="0046672D" w:rsidRDefault="000B6A0A" w:rsidP="000B6A0A">
      <w:pPr>
        <w:pStyle w:val="NoSpacing"/>
        <w:spacing w:after="240" w:line="240" w:lineRule="auto"/>
        <w:rPr>
          <w:rFonts w:ascii="Arial" w:hAnsi="Arial" w:cs="Arial"/>
          <w:sz w:val="24"/>
          <w:szCs w:val="24"/>
        </w:rPr>
      </w:pPr>
      <w:r w:rsidRPr="0046672D">
        <w:rPr>
          <w:rFonts w:ascii="Arial" w:hAnsi="Arial" w:cs="Arial"/>
          <w:sz w:val="24"/>
          <w:szCs w:val="24"/>
        </w:rPr>
        <w:tab/>
        <w:t xml:space="preserve">Монгол Улсын Засгийн газрын 2012 онд арилжаалсан 1,000.0 сая ам.доллартой тэнцэх хэмжээтэй “Чингис” бонд, 2017 онд арилжаалсан 500.0 </w:t>
      </w:r>
      <w:r w:rsidRPr="0046672D" w:rsidDel="00220766">
        <w:rPr>
          <w:rFonts w:ascii="Arial" w:hAnsi="Arial" w:cs="Arial"/>
          <w:sz w:val="24"/>
          <w:szCs w:val="24"/>
        </w:rPr>
        <w:t xml:space="preserve">сая </w:t>
      </w:r>
      <w:r w:rsidRPr="0046672D">
        <w:rPr>
          <w:rFonts w:ascii="Arial" w:hAnsi="Arial" w:cs="Arial"/>
          <w:sz w:val="24"/>
          <w:szCs w:val="24"/>
        </w:rPr>
        <w:t>ам.доллартой тэнцэх хэмжээтэй “Мазаалай” бондын хугацаа 2021 болон 2022 онуудад дуусаж, дахин санхүүжилтийн эрсдэлтэй тулгарч байсныг 2020 онд 600.0 сая ам.доллартой тэнцэх хэмжээтэй “Номад” бонд, 2021 онд 1,000.0 сая ам.доллартой тэнцэх хэмжээтэй “Сенчири” бондыг олон улсын зах зээлд арилжаалж, үлдсэн хэсгийг мөнгөн хөрөнгийн үлдэгдлээр санхүүжүүлж, төсөв, гадаад валютын албан нөөцөд дарамт учруулахгүйгээр төлж барагдуулсан.</w:t>
      </w:r>
    </w:p>
    <w:p w14:paraId="4FA0754D" w14:textId="77777777" w:rsidR="000B6A0A" w:rsidRPr="0046672D" w:rsidRDefault="000B6A0A" w:rsidP="000B6A0A">
      <w:pPr>
        <w:pStyle w:val="NoSpacing"/>
        <w:spacing w:after="240" w:line="240" w:lineRule="auto"/>
        <w:rPr>
          <w:rFonts w:ascii="Arial" w:hAnsi="Arial" w:cs="Arial"/>
          <w:sz w:val="24"/>
          <w:szCs w:val="24"/>
        </w:rPr>
      </w:pPr>
      <w:r w:rsidRPr="0046672D">
        <w:rPr>
          <w:rFonts w:ascii="Arial" w:hAnsi="Arial" w:cs="Arial"/>
          <w:sz w:val="24"/>
          <w:szCs w:val="24"/>
        </w:rPr>
        <w:tab/>
        <w:t>Мөн Засгийн газрын зүгээс 2017 оны 10 дугаар сарын 24-ний өдрөөс дотоод үнэт цаасны арилжааг зогсоож, үнэт цаасны төлбөрийг хугацаанд нь төлж барагдуулж байна. Ингэснээр Засгийн газрын дотоод үнэт цаасны үлдэгдэл 2021 оны жилийн эцсийн байдлаар 657.3 тэрбум төгрөг болж буурсан.</w:t>
      </w:r>
    </w:p>
    <w:p w14:paraId="59C0D7D9" w14:textId="77777777" w:rsidR="000B6A0A" w:rsidRPr="0046672D" w:rsidRDefault="000B6A0A" w:rsidP="000B6A0A">
      <w:pPr>
        <w:pStyle w:val="NoSpacing"/>
        <w:spacing w:after="240" w:line="240" w:lineRule="auto"/>
        <w:rPr>
          <w:rFonts w:ascii="Arial" w:hAnsi="Arial" w:cs="Arial"/>
          <w:sz w:val="24"/>
          <w:szCs w:val="24"/>
        </w:rPr>
      </w:pPr>
      <w:r w:rsidRPr="0046672D">
        <w:rPr>
          <w:rFonts w:ascii="Arial" w:hAnsi="Arial" w:cs="Arial"/>
          <w:sz w:val="24"/>
          <w:szCs w:val="24"/>
        </w:rPr>
        <w:tab/>
        <w:t>Үүний үр дүнд 2018 оны жилийн эцсийн байдлаар Засгийн газрын өрийн багцын хувьд дахин санхүүжилтийн эрсдэл харьцангуй бага түвшинд буюу нийт багцын хүрээнд эргэн төлөлтийн дундаж хугацаа /ATM/</w:t>
      </w:r>
      <w:r w:rsidRPr="0046672D">
        <w:rPr>
          <w:rStyle w:val="FootnoteReference"/>
          <w:rFonts w:ascii="Arial" w:hAnsi="Arial" w:cs="Arial"/>
          <w:sz w:val="24"/>
          <w:szCs w:val="24"/>
        </w:rPr>
        <w:footnoteReference w:id="7"/>
      </w:r>
      <w:r w:rsidRPr="0046672D">
        <w:rPr>
          <w:rFonts w:ascii="Arial" w:hAnsi="Arial" w:cs="Arial"/>
          <w:sz w:val="24"/>
          <w:szCs w:val="24"/>
        </w:rPr>
        <w:t xml:space="preserve"> 8.4 жилтэй тэнцэж байна.</w:t>
      </w:r>
    </w:p>
    <w:p w14:paraId="5625879B" w14:textId="77777777" w:rsidR="000B6A0A" w:rsidRPr="0046672D" w:rsidRDefault="000B6A0A" w:rsidP="000B6A0A">
      <w:pPr>
        <w:pStyle w:val="NoSpacing"/>
        <w:spacing w:after="240" w:line="240" w:lineRule="auto"/>
        <w:rPr>
          <w:rFonts w:ascii="Arial" w:hAnsi="Arial" w:cs="Arial"/>
          <w:sz w:val="24"/>
          <w:szCs w:val="24"/>
        </w:rPr>
      </w:pPr>
      <w:r w:rsidRPr="0046672D">
        <w:rPr>
          <w:rFonts w:ascii="Arial" w:hAnsi="Arial" w:cs="Arial"/>
          <w:sz w:val="24"/>
          <w:szCs w:val="24"/>
        </w:rPr>
        <w:tab/>
        <w:t>Түүнчлэн 2023, 2024 онуудад “Гэрэгэ”, “Хуралдай” бондуудын төлбөр төлөгдөх учир дахин санхүүжүүлэх, мөнгөн хуримтлалын үлдэгдлээс төлөх зэрэг өрийн зохицуулалтын арга хэмжээг үргэлжлүүлэх авч хэрэгжүүлэхээр төлөвлөж байна.</w:t>
      </w:r>
    </w:p>
    <w:p w14:paraId="78D03519" w14:textId="77777777" w:rsidR="000B6A0A" w:rsidRPr="0046672D" w:rsidRDefault="000B6A0A" w:rsidP="000B6A0A">
      <w:pPr>
        <w:pStyle w:val="Heading3"/>
        <w:spacing w:before="0" w:line="240" w:lineRule="auto"/>
        <w:rPr>
          <w:rFonts w:ascii="Arial" w:hAnsi="Arial" w:cs="Arial"/>
          <w:b/>
          <w:color w:val="auto"/>
        </w:rPr>
      </w:pPr>
      <w:r w:rsidRPr="0046672D">
        <w:rPr>
          <w:rFonts w:ascii="Arial" w:hAnsi="Arial" w:cs="Arial"/>
          <w:b/>
          <w:color w:val="auto"/>
        </w:rPr>
        <w:tab/>
        <w:t>5.2.2. Хүүгийн түвшний эрсдэл</w:t>
      </w:r>
    </w:p>
    <w:p w14:paraId="66920095" w14:textId="77777777" w:rsidR="000B6A0A" w:rsidRPr="0046672D" w:rsidRDefault="000B6A0A" w:rsidP="000B6A0A">
      <w:pPr>
        <w:spacing w:after="0" w:line="240" w:lineRule="auto"/>
        <w:jc w:val="both"/>
        <w:rPr>
          <w:rFonts w:ascii="Arial" w:hAnsi="Arial" w:cs="Arial"/>
          <w:sz w:val="24"/>
          <w:szCs w:val="24"/>
          <w:lang w:val="mn-MN"/>
        </w:rPr>
      </w:pPr>
    </w:p>
    <w:p w14:paraId="0A2D41C1"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 xml:space="preserve">Засгийн газрын өрийн багц дахь хүү тогтмолжуулах дундаж хугацаа (ATR) </w:t>
      </w:r>
      <w:r w:rsidRPr="0046672D">
        <w:rPr>
          <w:rStyle w:val="FootnoteReference"/>
          <w:rFonts w:ascii="Arial" w:hAnsi="Arial" w:cs="Arial"/>
          <w:sz w:val="24"/>
          <w:szCs w:val="24"/>
        </w:rPr>
        <w:footnoteReference w:id="8"/>
      </w:r>
      <w:r w:rsidRPr="0046672D">
        <w:rPr>
          <w:rFonts w:ascii="Arial" w:hAnsi="Arial" w:cs="Arial"/>
          <w:sz w:val="24"/>
          <w:szCs w:val="24"/>
        </w:rPr>
        <w:t xml:space="preserve">7.5 жил байна. Үүнээс гадаад өрийн хүү тогтмолжуулах дундаж хугацаа (ATR) 7.6 жил </w:t>
      </w:r>
      <w:r w:rsidRPr="0046672D">
        <w:rPr>
          <w:rFonts w:ascii="Arial" w:hAnsi="Arial" w:cs="Arial"/>
          <w:sz w:val="24"/>
          <w:szCs w:val="24"/>
        </w:rPr>
        <w:lastRenderedPageBreak/>
        <w:t>байгаа бол дотоод өрийн хүү тогтмолжуулах дундаж хугацаа (ATR) харьцангуй бага буюу 2.3 жил байна.</w:t>
      </w:r>
    </w:p>
    <w:p w14:paraId="054032A1" w14:textId="77777777" w:rsidR="000B6A0A" w:rsidRPr="0046672D" w:rsidRDefault="000B6A0A" w:rsidP="000B6A0A">
      <w:pPr>
        <w:pStyle w:val="NoSpacing"/>
        <w:spacing w:line="240" w:lineRule="auto"/>
        <w:rPr>
          <w:rFonts w:ascii="Arial" w:eastAsia="Times New Roman" w:hAnsi="Arial" w:cs="Arial"/>
          <w:color w:val="000000"/>
          <w:sz w:val="24"/>
          <w:szCs w:val="24"/>
        </w:rPr>
      </w:pPr>
      <w:r w:rsidRPr="0046672D">
        <w:rPr>
          <w:rFonts w:ascii="Arial" w:hAnsi="Arial" w:cs="Arial"/>
          <w:sz w:val="24"/>
          <w:szCs w:val="24"/>
        </w:rPr>
        <w:tab/>
      </w:r>
      <w:r w:rsidRPr="0046672D">
        <w:rPr>
          <w:rFonts w:ascii="Arial" w:eastAsia="Times New Roman" w:hAnsi="Arial" w:cs="Arial"/>
          <w:color w:val="000000"/>
          <w:sz w:val="24"/>
          <w:szCs w:val="24"/>
        </w:rPr>
        <w:t>Хүү шинэчлэгдэх дундаж хугацаа нь тухайн өрийн хэрэгслийн хүү дунджаар хэдэн жилийн дотор бүрэн шинэчлэгдэхийг тооцоолдог үзүүлэлт ба үүнд хувьсах хүүтэй өрийн хүү жилийн дотор бүрэн шинэчлэгддэг бол өр төлөгдөж дуусахаар түүнийг дахин санхүүжүүлэх эх үүсвэрийн хувьд шинэ хүү тогтдог.</w:t>
      </w:r>
    </w:p>
    <w:p w14:paraId="0AE2EFBB" w14:textId="77777777" w:rsidR="000B6A0A" w:rsidRPr="0046672D" w:rsidRDefault="000B6A0A" w:rsidP="000B6A0A">
      <w:pPr>
        <w:jc w:val="both"/>
        <w:rPr>
          <w:lang w:val="mn-MN"/>
        </w:rPr>
      </w:pPr>
      <w:r w:rsidRPr="0046672D">
        <w:rPr>
          <w:rFonts w:ascii="Arial" w:hAnsi="Arial" w:cs="Arial"/>
          <w:sz w:val="24"/>
          <w:szCs w:val="24"/>
          <w:lang w:val="mn-MN"/>
        </w:rPr>
        <w:tab/>
        <w:t>АНУ-д инфляцын түвшин 2022 оны 3 дугаар сард сүүлийн 40 жилийн хамгийн дээд түвшиндээ хүрсний улмаас тус улсын Төв банкнаас урт хугацаан дахь бодлогын хүүгийн түвшинг 2 хувь болгох талаар мэдэгдэл хийгээд байна. Ийнхүү АНУ-ын бодлогын хүү өсөх нь Засгийн газрын өрийн багцад эзлэх хувьсах хүүгийн зардлыг өсгөх эрсдэлийг нэмэгдүүлж, энэ нь тус зээлүүдийг тогтмол хүүтэй болгоход том нөлөөтэй болох юм. Иймд хувьсах хүүтэй зээлийн үлдэгдэл буурснаар тус үзүүлэлт өсөх магадлалтай болж байна.</w:t>
      </w:r>
    </w:p>
    <w:p w14:paraId="3F1396F9" w14:textId="77777777" w:rsidR="000B6A0A" w:rsidRPr="0046672D" w:rsidRDefault="000B6A0A" w:rsidP="000B6A0A">
      <w:pPr>
        <w:pStyle w:val="Heading3"/>
        <w:spacing w:before="0" w:after="160" w:line="240" w:lineRule="auto"/>
        <w:rPr>
          <w:rFonts w:ascii="Arial" w:hAnsi="Arial" w:cs="Arial"/>
          <w:b/>
          <w:color w:val="auto"/>
        </w:rPr>
      </w:pPr>
      <w:r w:rsidRPr="0046672D">
        <w:rPr>
          <w:rFonts w:ascii="Arial" w:hAnsi="Arial" w:cs="Arial"/>
          <w:b/>
          <w:color w:val="auto"/>
        </w:rPr>
        <w:tab/>
        <w:t>5.2.3. Валютын ханшийн эрсдэл</w:t>
      </w:r>
    </w:p>
    <w:p w14:paraId="6D93B794"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Өрийн багцыг валютын бүтцээр харвал Засгийн газрын өрийн 63 хувь нь ам.доллар, 17 хувь нь зээлжих тусгай эрх, 15 хувь нь иен, 3 хувь нь евро, 2 хувь нь бусад валютаас бүрдсэн байна.</w:t>
      </w:r>
    </w:p>
    <w:p w14:paraId="56F6A2E6" w14:textId="77777777" w:rsidR="000B6A0A" w:rsidRPr="0046672D" w:rsidRDefault="000B6A0A" w:rsidP="000B6A0A">
      <w:pPr>
        <w:pStyle w:val="Caption"/>
        <w:keepNext/>
        <w:spacing w:after="0"/>
        <w:rPr>
          <w:rFonts w:ascii="Arial" w:hAnsi="Arial" w:cs="Arial"/>
          <w:color w:val="auto"/>
          <w:sz w:val="20"/>
          <w:szCs w:val="24"/>
          <w:lang w:val="mn-MN"/>
        </w:rPr>
      </w:pPr>
      <w:r w:rsidRPr="0046672D">
        <w:rPr>
          <w:rFonts w:ascii="Arial" w:hAnsi="Arial" w:cs="Arial"/>
          <w:color w:val="auto"/>
          <w:sz w:val="20"/>
          <w:szCs w:val="24"/>
          <w:lang w:val="mn-MN"/>
        </w:rPr>
        <w:tab/>
        <w:t>График № 8: Гадаад валютаар илэрхийлэгдэх өр, валютын бүтцээр /2021.12.31/</w:t>
      </w:r>
    </w:p>
    <w:p w14:paraId="4ED42E64" w14:textId="77777777" w:rsidR="000B6A0A" w:rsidRPr="0046672D" w:rsidRDefault="000B6A0A" w:rsidP="000B6A0A">
      <w:pPr>
        <w:pStyle w:val="Caption"/>
        <w:keepNext/>
        <w:spacing w:after="0"/>
        <w:jc w:val="center"/>
        <w:rPr>
          <w:rFonts w:ascii="Arial" w:hAnsi="Arial" w:cs="Arial"/>
          <w:b/>
          <w:i w:val="0"/>
          <w:color w:val="000000" w:themeColor="text1"/>
          <w:sz w:val="20"/>
          <w:szCs w:val="24"/>
          <w:lang w:val="mn-MN"/>
        </w:rPr>
      </w:pPr>
      <w:r w:rsidRPr="0046672D">
        <w:rPr>
          <w:rFonts w:ascii="Arial" w:hAnsi="Arial" w:cs="Arial"/>
          <w:b/>
          <w:noProof/>
          <w:color w:val="000000" w:themeColor="text1"/>
          <w:sz w:val="26"/>
          <w:szCs w:val="26"/>
        </w:rPr>
        <w:drawing>
          <wp:inline distT="0" distB="0" distL="0" distR="0" wp14:anchorId="1BF121A3" wp14:editId="0CA43DEA">
            <wp:extent cx="2673927" cy="2362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D048E31" w14:textId="77777777" w:rsidR="000B6A0A" w:rsidRPr="0046672D" w:rsidRDefault="000B6A0A" w:rsidP="000B6A0A">
      <w:pPr>
        <w:pStyle w:val="ListParagraph"/>
        <w:spacing w:before="240" w:after="0"/>
        <w:ind w:left="5760" w:firstLine="720"/>
        <w:jc w:val="both"/>
        <w:rPr>
          <w:rFonts w:ascii="Arial" w:hAnsi="Arial" w:cs="Arial"/>
          <w:sz w:val="24"/>
          <w:szCs w:val="24"/>
          <w:lang w:val="mn-MN"/>
        </w:rPr>
      </w:pPr>
      <w:r w:rsidRPr="0046672D">
        <w:rPr>
          <w:rFonts w:ascii="Arial" w:hAnsi="Arial" w:cs="Arial"/>
          <w:i/>
          <w:lang w:val="mn-MN"/>
        </w:rPr>
        <w:t>Эх сурвалж: Сангийн яам</w:t>
      </w:r>
    </w:p>
    <w:p w14:paraId="72CFBBCC" w14:textId="77777777" w:rsidR="000B6A0A" w:rsidRPr="0046672D" w:rsidRDefault="000B6A0A" w:rsidP="000B6A0A">
      <w:pPr>
        <w:pStyle w:val="Caption"/>
        <w:keepNext/>
        <w:jc w:val="both"/>
        <w:rPr>
          <w:rFonts w:ascii="Arial" w:hAnsi="Arial" w:cs="Arial"/>
          <w:sz w:val="24"/>
          <w:szCs w:val="24"/>
          <w:lang w:val="mn-MN"/>
        </w:rPr>
      </w:pPr>
      <w:r w:rsidRPr="0046672D">
        <w:rPr>
          <w:rFonts w:ascii="Arial" w:hAnsi="Arial" w:cs="Arial"/>
          <w:color w:val="000000" w:themeColor="text1"/>
          <w:sz w:val="24"/>
          <w:szCs w:val="24"/>
          <w:lang w:val="mn-MN"/>
        </w:rPr>
        <w:tab/>
      </w:r>
      <w:r w:rsidRPr="0046672D">
        <w:rPr>
          <w:rFonts w:ascii="Arial" w:hAnsi="Arial" w:cs="Arial"/>
          <w:i w:val="0"/>
          <w:color w:val="000000" w:themeColor="text1"/>
          <w:sz w:val="24"/>
          <w:szCs w:val="24"/>
          <w:lang w:val="mn-MN"/>
        </w:rPr>
        <w:t>Засгийн газрын өрийн багцын гадаад валютаар илэрхийлэгдсэн өрийн хэмжээ 2021 оны байдлаар 97.5 хувийг эзэлж байна. Энэ нь Засгийн газрын дотоод үнэт цаас 2017 оноос хойш арилжаалаагүй, мөн гадаад зээл ашиглалт болон валютын ханшийн өсөлтөөс шалтгаалж байна.</w:t>
      </w:r>
      <w:r w:rsidRPr="0046672D">
        <w:rPr>
          <w:rFonts w:ascii="Arial" w:hAnsi="Arial" w:cs="Arial"/>
          <w:sz w:val="24"/>
          <w:szCs w:val="24"/>
          <w:lang w:val="mn-MN"/>
        </w:rPr>
        <w:tab/>
      </w:r>
    </w:p>
    <w:p w14:paraId="266484AF" w14:textId="77777777" w:rsidR="000B6A0A" w:rsidRPr="0046672D" w:rsidRDefault="000B6A0A" w:rsidP="000B6A0A">
      <w:pPr>
        <w:pStyle w:val="Heading2"/>
        <w:numPr>
          <w:ilvl w:val="0"/>
          <w:numId w:val="0"/>
        </w:numPr>
        <w:spacing w:after="160"/>
        <w:ind w:left="540"/>
      </w:pPr>
      <w:r w:rsidRPr="0046672D">
        <w:t>5.3. Зардал эрсдэлийн шинжилгээ</w:t>
      </w:r>
    </w:p>
    <w:p w14:paraId="794305E9"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sz w:val="24"/>
          <w:szCs w:val="24"/>
        </w:rPr>
        <w:tab/>
        <w:t>Дунд хугацааны өрийн стратегийн зардал, эрсдэлийн шинжилгээнд Дэлхийн банк, ОУВС-ийн хамтран боловсруулсан өрийн удирдлагын дунд хугацааны стратегийн шинжилгээний загварыг ашигласан бөгөөд уг загварт Засгийн газрын өрийн хэрэгслүүдийг дараах байдлаар багцаллаа.</w:t>
      </w:r>
    </w:p>
    <w:p w14:paraId="1B46C1C5" w14:textId="77777777" w:rsidR="000B6A0A" w:rsidRPr="0046672D" w:rsidRDefault="000B6A0A" w:rsidP="000B6A0A">
      <w:pPr>
        <w:pStyle w:val="NoSpacing"/>
        <w:spacing w:after="0" w:line="240" w:lineRule="auto"/>
        <w:rPr>
          <w:rFonts w:ascii="Arial" w:hAnsi="Arial" w:cs="Arial"/>
          <w:i/>
          <w:sz w:val="20"/>
          <w:szCs w:val="20"/>
        </w:rPr>
      </w:pPr>
      <w:r w:rsidRPr="0046672D">
        <w:rPr>
          <w:rFonts w:ascii="Arial" w:hAnsi="Arial" w:cs="Arial"/>
          <w:i/>
          <w:sz w:val="20"/>
          <w:szCs w:val="20"/>
        </w:rPr>
        <w:tab/>
        <w:t>Хүснэгт № 10 Засгийн газрын өрийн хэрэгслүүдийн багц</w:t>
      </w:r>
    </w:p>
    <w:p w14:paraId="04845B71" w14:textId="77777777" w:rsidR="000B6A0A" w:rsidRPr="0046672D" w:rsidRDefault="000B6A0A" w:rsidP="000B6A0A">
      <w:pPr>
        <w:pStyle w:val="NoSpacing"/>
        <w:spacing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pgNumType w:start="0"/>
          <w:cols w:space="720"/>
          <w:titlePg/>
          <w:docGrid w:linePitch="360"/>
        </w:sectPr>
      </w:pPr>
    </w:p>
    <w:tbl>
      <w:tblPr>
        <w:tblW w:w="9798" w:type="dxa"/>
        <w:tblLook w:val="04A0" w:firstRow="1" w:lastRow="0" w:firstColumn="1" w:lastColumn="0" w:noHBand="0" w:noVBand="1"/>
      </w:tblPr>
      <w:tblGrid>
        <w:gridCol w:w="1266"/>
        <w:gridCol w:w="2136"/>
        <w:gridCol w:w="1531"/>
        <w:gridCol w:w="1159"/>
        <w:gridCol w:w="1554"/>
        <w:gridCol w:w="1284"/>
        <w:gridCol w:w="868"/>
      </w:tblGrid>
      <w:tr w:rsidR="000B6A0A" w:rsidRPr="0046672D" w14:paraId="7B55F908" w14:textId="77777777" w:rsidTr="00F51A8E">
        <w:trPr>
          <w:trHeight w:val="719"/>
        </w:trPr>
        <w:tc>
          <w:tcPr>
            <w:tcW w:w="12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B4AC5B" w14:textId="77777777" w:rsidR="000B6A0A" w:rsidRPr="0046672D" w:rsidRDefault="000B6A0A" w:rsidP="00F51A8E">
            <w:pPr>
              <w:spacing w:after="0" w:line="240" w:lineRule="auto"/>
              <w:jc w:val="center"/>
              <w:rPr>
                <w:rFonts w:ascii="Arial" w:eastAsia="Times New Roman" w:hAnsi="Arial" w:cs="Arial"/>
                <w:b/>
                <w:sz w:val="20"/>
                <w:szCs w:val="24"/>
                <w:lang w:val="mn-MN"/>
              </w:rPr>
            </w:pPr>
            <w:r w:rsidRPr="0046672D">
              <w:rPr>
                <w:rFonts w:ascii="Arial" w:eastAsia="Times New Roman" w:hAnsi="Arial" w:cs="Arial"/>
                <w:b/>
                <w:sz w:val="20"/>
                <w:szCs w:val="24"/>
                <w:lang w:val="mn-MN"/>
              </w:rPr>
              <w:lastRenderedPageBreak/>
              <w:t>Төрөл</w:t>
            </w:r>
          </w:p>
        </w:tc>
        <w:tc>
          <w:tcPr>
            <w:tcW w:w="2136" w:type="dxa"/>
            <w:tcBorders>
              <w:top w:val="single" w:sz="4" w:space="0" w:color="auto"/>
              <w:left w:val="nil"/>
              <w:bottom w:val="single" w:sz="4" w:space="0" w:color="auto"/>
              <w:right w:val="single" w:sz="4" w:space="0" w:color="auto"/>
            </w:tcBorders>
            <w:shd w:val="clear" w:color="000000" w:fill="D9D9D9"/>
            <w:vAlign w:val="center"/>
            <w:hideMark/>
          </w:tcPr>
          <w:p w14:paraId="024502A4" w14:textId="77777777" w:rsidR="000B6A0A" w:rsidRPr="0046672D" w:rsidRDefault="000B6A0A" w:rsidP="00F51A8E">
            <w:pPr>
              <w:spacing w:after="0" w:line="240" w:lineRule="auto"/>
              <w:jc w:val="center"/>
              <w:rPr>
                <w:rFonts w:ascii="Arial" w:eastAsia="Times New Roman" w:hAnsi="Arial" w:cs="Arial"/>
                <w:b/>
                <w:sz w:val="20"/>
                <w:szCs w:val="24"/>
                <w:lang w:val="mn-MN"/>
              </w:rPr>
            </w:pPr>
            <w:r w:rsidRPr="0046672D">
              <w:rPr>
                <w:rFonts w:ascii="Arial" w:eastAsia="Times New Roman" w:hAnsi="Arial" w:cs="Arial"/>
                <w:b/>
                <w:sz w:val="20"/>
                <w:szCs w:val="24"/>
                <w:lang w:val="mn-MN"/>
              </w:rPr>
              <w:t>Ангилал / нэр</w:t>
            </w:r>
          </w:p>
        </w:tc>
        <w:tc>
          <w:tcPr>
            <w:tcW w:w="1531" w:type="dxa"/>
            <w:tcBorders>
              <w:top w:val="single" w:sz="4" w:space="0" w:color="auto"/>
              <w:left w:val="nil"/>
              <w:bottom w:val="single" w:sz="4" w:space="0" w:color="auto"/>
              <w:right w:val="single" w:sz="4" w:space="0" w:color="auto"/>
            </w:tcBorders>
            <w:shd w:val="clear" w:color="000000" w:fill="D9D9D9"/>
            <w:vAlign w:val="center"/>
            <w:hideMark/>
          </w:tcPr>
          <w:p w14:paraId="2C83106A" w14:textId="77777777" w:rsidR="000B6A0A" w:rsidRPr="0046672D" w:rsidRDefault="000B6A0A" w:rsidP="00F51A8E">
            <w:pPr>
              <w:spacing w:after="0" w:line="240" w:lineRule="auto"/>
              <w:jc w:val="center"/>
              <w:rPr>
                <w:rFonts w:ascii="Arial" w:eastAsia="Times New Roman" w:hAnsi="Arial" w:cs="Arial"/>
                <w:b/>
                <w:sz w:val="20"/>
                <w:szCs w:val="24"/>
                <w:lang w:val="mn-MN"/>
              </w:rPr>
            </w:pPr>
            <w:r w:rsidRPr="0046672D">
              <w:rPr>
                <w:rFonts w:ascii="Arial" w:eastAsia="Times New Roman" w:hAnsi="Arial" w:cs="Arial"/>
                <w:b/>
                <w:sz w:val="20"/>
                <w:szCs w:val="24"/>
                <w:lang w:val="mn-MN"/>
              </w:rPr>
              <w:t>Fix</w:t>
            </w:r>
            <w:r w:rsidRPr="0046672D">
              <w:rPr>
                <w:rStyle w:val="FootnoteReference"/>
                <w:rFonts w:ascii="Arial" w:eastAsia="Times New Roman" w:hAnsi="Arial" w:cs="Arial"/>
                <w:b/>
                <w:sz w:val="20"/>
                <w:szCs w:val="24"/>
                <w:lang w:val="mn-MN"/>
              </w:rPr>
              <w:footnoteReference w:id="9"/>
            </w:r>
            <w:r w:rsidRPr="0046672D">
              <w:rPr>
                <w:rFonts w:ascii="Arial" w:eastAsia="Times New Roman" w:hAnsi="Arial" w:cs="Arial"/>
                <w:b/>
                <w:sz w:val="20"/>
                <w:szCs w:val="24"/>
                <w:lang w:val="mn-MN"/>
              </w:rPr>
              <w:t xml:space="preserve"> / Var</w:t>
            </w:r>
            <w:r w:rsidRPr="0046672D">
              <w:rPr>
                <w:rStyle w:val="FootnoteReference"/>
                <w:rFonts w:ascii="Arial" w:eastAsia="Times New Roman" w:hAnsi="Arial" w:cs="Arial"/>
                <w:b/>
                <w:sz w:val="20"/>
                <w:szCs w:val="24"/>
                <w:lang w:val="mn-MN"/>
              </w:rPr>
              <w:footnoteReference w:id="10"/>
            </w:r>
          </w:p>
        </w:tc>
        <w:tc>
          <w:tcPr>
            <w:tcW w:w="1159" w:type="dxa"/>
            <w:tcBorders>
              <w:top w:val="single" w:sz="4" w:space="0" w:color="auto"/>
              <w:left w:val="nil"/>
              <w:bottom w:val="single" w:sz="4" w:space="0" w:color="auto"/>
              <w:right w:val="single" w:sz="4" w:space="0" w:color="auto"/>
            </w:tcBorders>
            <w:shd w:val="clear" w:color="000000" w:fill="D9D9D9"/>
            <w:vAlign w:val="center"/>
            <w:hideMark/>
          </w:tcPr>
          <w:p w14:paraId="3B198D40" w14:textId="77777777" w:rsidR="000B6A0A" w:rsidRPr="0046672D" w:rsidRDefault="000B6A0A" w:rsidP="00F51A8E">
            <w:pPr>
              <w:spacing w:after="0" w:line="240" w:lineRule="auto"/>
              <w:jc w:val="center"/>
              <w:rPr>
                <w:rFonts w:ascii="Arial" w:eastAsia="Times New Roman" w:hAnsi="Arial" w:cs="Arial"/>
                <w:b/>
                <w:sz w:val="20"/>
                <w:szCs w:val="24"/>
                <w:lang w:val="mn-MN"/>
              </w:rPr>
            </w:pPr>
            <w:r w:rsidRPr="0046672D">
              <w:rPr>
                <w:rFonts w:ascii="Arial" w:eastAsia="Times New Roman" w:hAnsi="Arial" w:cs="Arial"/>
                <w:b/>
                <w:sz w:val="20"/>
                <w:szCs w:val="24"/>
                <w:lang w:val="mn-MN"/>
              </w:rPr>
              <w:t>Хугацаа (жил)</w:t>
            </w:r>
          </w:p>
        </w:tc>
        <w:tc>
          <w:tcPr>
            <w:tcW w:w="1554" w:type="dxa"/>
            <w:tcBorders>
              <w:top w:val="single" w:sz="4" w:space="0" w:color="auto"/>
              <w:left w:val="nil"/>
              <w:bottom w:val="single" w:sz="4" w:space="0" w:color="auto"/>
              <w:right w:val="single" w:sz="4" w:space="0" w:color="auto"/>
            </w:tcBorders>
            <w:shd w:val="clear" w:color="000000" w:fill="D9D9D9"/>
            <w:vAlign w:val="center"/>
            <w:hideMark/>
          </w:tcPr>
          <w:p w14:paraId="5E4C9974" w14:textId="77777777" w:rsidR="000B6A0A" w:rsidRPr="0046672D" w:rsidRDefault="000B6A0A" w:rsidP="00F51A8E">
            <w:pPr>
              <w:spacing w:after="0" w:line="240" w:lineRule="auto"/>
              <w:jc w:val="center"/>
              <w:rPr>
                <w:rFonts w:ascii="Arial" w:eastAsia="Times New Roman" w:hAnsi="Arial" w:cs="Arial"/>
                <w:b/>
                <w:sz w:val="20"/>
                <w:szCs w:val="24"/>
                <w:lang w:val="mn-MN"/>
              </w:rPr>
            </w:pPr>
            <w:r w:rsidRPr="0046672D">
              <w:rPr>
                <w:rFonts w:ascii="Arial" w:eastAsia="Times New Roman" w:hAnsi="Arial" w:cs="Arial"/>
                <w:b/>
                <w:sz w:val="20"/>
                <w:szCs w:val="24"/>
                <w:lang w:val="mn-MN"/>
              </w:rPr>
              <w:t>Үндсэн төлбөрөөс чөлөөлөгдөх хугацаа (жил)</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14:paraId="3BA7E2BD" w14:textId="77777777" w:rsidR="000B6A0A" w:rsidRPr="0046672D" w:rsidRDefault="000B6A0A" w:rsidP="00F51A8E">
            <w:pPr>
              <w:spacing w:after="0" w:line="240" w:lineRule="auto"/>
              <w:jc w:val="center"/>
              <w:rPr>
                <w:rFonts w:ascii="Arial" w:eastAsia="Times New Roman" w:hAnsi="Arial" w:cs="Arial"/>
                <w:b/>
                <w:sz w:val="20"/>
                <w:szCs w:val="24"/>
                <w:lang w:val="mn-MN"/>
              </w:rPr>
            </w:pPr>
            <w:r w:rsidRPr="0046672D">
              <w:rPr>
                <w:rFonts w:ascii="Arial" w:eastAsia="Times New Roman" w:hAnsi="Arial" w:cs="Arial"/>
                <w:b/>
                <w:sz w:val="20"/>
                <w:szCs w:val="24"/>
                <w:lang w:val="mn-MN"/>
              </w:rPr>
              <w:t>Валютын төрөл</w:t>
            </w:r>
          </w:p>
        </w:tc>
        <w:tc>
          <w:tcPr>
            <w:tcW w:w="868" w:type="dxa"/>
            <w:tcBorders>
              <w:top w:val="single" w:sz="4" w:space="0" w:color="auto"/>
              <w:left w:val="nil"/>
              <w:bottom w:val="single" w:sz="4" w:space="0" w:color="auto"/>
              <w:right w:val="single" w:sz="4" w:space="0" w:color="auto"/>
            </w:tcBorders>
            <w:shd w:val="clear" w:color="000000" w:fill="D9D9D9"/>
            <w:vAlign w:val="center"/>
            <w:hideMark/>
          </w:tcPr>
          <w:p w14:paraId="32B24035" w14:textId="77777777" w:rsidR="000B6A0A" w:rsidRPr="0046672D" w:rsidRDefault="000B6A0A" w:rsidP="00F51A8E">
            <w:pPr>
              <w:spacing w:after="0" w:line="240" w:lineRule="auto"/>
              <w:jc w:val="center"/>
              <w:rPr>
                <w:rFonts w:ascii="Arial" w:eastAsia="Times New Roman" w:hAnsi="Arial" w:cs="Arial"/>
                <w:b/>
                <w:sz w:val="20"/>
                <w:szCs w:val="24"/>
                <w:lang w:val="mn-MN"/>
              </w:rPr>
            </w:pPr>
            <w:r w:rsidRPr="0046672D">
              <w:rPr>
                <w:rFonts w:ascii="Arial" w:eastAsia="Times New Roman" w:hAnsi="Arial" w:cs="Arial"/>
                <w:b/>
                <w:sz w:val="20"/>
                <w:szCs w:val="24"/>
                <w:lang w:val="mn-MN"/>
              </w:rPr>
              <w:t>Валют</w:t>
            </w:r>
          </w:p>
        </w:tc>
      </w:tr>
      <w:tr w:rsidR="000B6A0A" w:rsidRPr="0046672D" w14:paraId="677C6965"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C3FA88F"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USD_2</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14:paraId="21324B25"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ДБ/ХААХОУС</w:t>
            </w:r>
            <w:r w:rsidRPr="0046672D">
              <w:rPr>
                <w:rStyle w:val="FootnoteReference"/>
                <w:rFonts w:ascii="Arial" w:eastAsia="Times New Roman" w:hAnsi="Arial" w:cs="Arial"/>
                <w:color w:val="000000" w:themeColor="text1"/>
                <w:sz w:val="20"/>
                <w:szCs w:val="24"/>
                <w:lang w:val="mn-MN"/>
              </w:rPr>
              <w:footnoteReference w:id="11"/>
            </w:r>
          </w:p>
        </w:tc>
        <w:tc>
          <w:tcPr>
            <w:tcW w:w="1531" w:type="dxa"/>
            <w:tcBorders>
              <w:top w:val="nil"/>
              <w:left w:val="nil"/>
              <w:bottom w:val="single" w:sz="4" w:space="0" w:color="auto"/>
              <w:right w:val="single" w:sz="4" w:space="0" w:color="auto"/>
            </w:tcBorders>
            <w:shd w:val="clear" w:color="auto" w:fill="auto"/>
            <w:noWrap/>
            <w:vAlign w:val="center"/>
            <w:hideMark/>
          </w:tcPr>
          <w:p w14:paraId="21799213"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4FE5AF4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25</w:t>
            </w:r>
          </w:p>
        </w:tc>
        <w:tc>
          <w:tcPr>
            <w:tcW w:w="1554" w:type="dxa"/>
            <w:tcBorders>
              <w:top w:val="nil"/>
              <w:left w:val="nil"/>
              <w:bottom w:val="single" w:sz="4" w:space="0" w:color="auto"/>
              <w:right w:val="single" w:sz="4" w:space="0" w:color="auto"/>
            </w:tcBorders>
            <w:shd w:val="clear" w:color="auto" w:fill="auto"/>
            <w:noWrap/>
            <w:vAlign w:val="center"/>
            <w:hideMark/>
          </w:tcPr>
          <w:p w14:paraId="39812DF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5</w:t>
            </w:r>
          </w:p>
        </w:tc>
        <w:tc>
          <w:tcPr>
            <w:tcW w:w="1284" w:type="dxa"/>
            <w:tcBorders>
              <w:top w:val="nil"/>
              <w:left w:val="nil"/>
              <w:bottom w:val="single" w:sz="4" w:space="0" w:color="auto"/>
              <w:right w:val="single" w:sz="4" w:space="0" w:color="auto"/>
            </w:tcBorders>
            <w:shd w:val="clear" w:color="auto" w:fill="auto"/>
            <w:noWrap/>
            <w:vAlign w:val="center"/>
            <w:hideMark/>
          </w:tcPr>
          <w:p w14:paraId="2BCD8FBC"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FX</w:t>
            </w:r>
          </w:p>
        </w:tc>
        <w:tc>
          <w:tcPr>
            <w:tcW w:w="868" w:type="dxa"/>
            <w:tcBorders>
              <w:top w:val="nil"/>
              <w:left w:val="nil"/>
              <w:bottom w:val="single" w:sz="4" w:space="0" w:color="auto"/>
              <w:right w:val="single" w:sz="4" w:space="0" w:color="auto"/>
            </w:tcBorders>
            <w:shd w:val="clear" w:color="auto" w:fill="auto"/>
            <w:noWrap/>
            <w:vAlign w:val="center"/>
            <w:hideMark/>
          </w:tcPr>
          <w:p w14:paraId="080FF6D1"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USD</w:t>
            </w:r>
          </w:p>
        </w:tc>
      </w:tr>
      <w:tr w:rsidR="000B6A0A" w:rsidRPr="0046672D" w14:paraId="1BFB0008" w14:textId="77777777" w:rsidTr="00F51A8E">
        <w:trPr>
          <w:trHeight w:val="230"/>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AE42DBF"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USD_3</w:t>
            </w:r>
          </w:p>
        </w:tc>
        <w:tc>
          <w:tcPr>
            <w:tcW w:w="2136" w:type="dxa"/>
            <w:tcBorders>
              <w:top w:val="nil"/>
              <w:left w:val="nil"/>
              <w:bottom w:val="single" w:sz="4" w:space="0" w:color="auto"/>
              <w:right w:val="single" w:sz="4" w:space="0" w:color="auto"/>
            </w:tcBorders>
            <w:shd w:val="clear" w:color="auto" w:fill="auto"/>
            <w:noWrap/>
            <w:vAlign w:val="center"/>
            <w:hideMark/>
          </w:tcPr>
          <w:p w14:paraId="0EBBBB00"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IBRD/АХБ</w:t>
            </w:r>
          </w:p>
        </w:tc>
        <w:tc>
          <w:tcPr>
            <w:tcW w:w="1531" w:type="dxa"/>
            <w:tcBorders>
              <w:top w:val="nil"/>
              <w:left w:val="nil"/>
              <w:bottom w:val="single" w:sz="4" w:space="0" w:color="auto"/>
              <w:right w:val="single" w:sz="4" w:space="0" w:color="auto"/>
            </w:tcBorders>
            <w:shd w:val="clear" w:color="auto" w:fill="auto"/>
            <w:noWrap/>
            <w:vAlign w:val="center"/>
            <w:hideMark/>
          </w:tcPr>
          <w:p w14:paraId="5301B4D5"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0383345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25</w:t>
            </w:r>
          </w:p>
        </w:tc>
        <w:tc>
          <w:tcPr>
            <w:tcW w:w="1554" w:type="dxa"/>
            <w:tcBorders>
              <w:top w:val="nil"/>
              <w:left w:val="nil"/>
              <w:bottom w:val="single" w:sz="4" w:space="0" w:color="auto"/>
              <w:right w:val="single" w:sz="4" w:space="0" w:color="auto"/>
            </w:tcBorders>
            <w:shd w:val="clear" w:color="auto" w:fill="auto"/>
            <w:noWrap/>
            <w:vAlign w:val="center"/>
            <w:hideMark/>
          </w:tcPr>
          <w:p w14:paraId="5B7A87E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5</w:t>
            </w:r>
          </w:p>
        </w:tc>
        <w:tc>
          <w:tcPr>
            <w:tcW w:w="1284" w:type="dxa"/>
            <w:tcBorders>
              <w:top w:val="nil"/>
              <w:left w:val="nil"/>
              <w:bottom w:val="single" w:sz="4" w:space="0" w:color="auto"/>
              <w:right w:val="single" w:sz="4" w:space="0" w:color="auto"/>
            </w:tcBorders>
            <w:shd w:val="clear" w:color="auto" w:fill="auto"/>
            <w:noWrap/>
            <w:vAlign w:val="center"/>
            <w:hideMark/>
          </w:tcPr>
          <w:p w14:paraId="06BB79A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FX</w:t>
            </w:r>
          </w:p>
        </w:tc>
        <w:tc>
          <w:tcPr>
            <w:tcW w:w="868" w:type="dxa"/>
            <w:tcBorders>
              <w:top w:val="nil"/>
              <w:left w:val="nil"/>
              <w:bottom w:val="single" w:sz="4" w:space="0" w:color="auto"/>
              <w:right w:val="single" w:sz="4" w:space="0" w:color="auto"/>
            </w:tcBorders>
            <w:shd w:val="clear" w:color="auto" w:fill="auto"/>
            <w:noWrap/>
            <w:vAlign w:val="center"/>
            <w:hideMark/>
          </w:tcPr>
          <w:p w14:paraId="613727B4"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USD</w:t>
            </w:r>
          </w:p>
        </w:tc>
      </w:tr>
      <w:tr w:rsidR="000B6A0A" w:rsidRPr="0046672D" w14:paraId="1F5836DE"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073CEC0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USD_4</w:t>
            </w:r>
          </w:p>
        </w:tc>
        <w:tc>
          <w:tcPr>
            <w:tcW w:w="2136" w:type="dxa"/>
            <w:tcBorders>
              <w:top w:val="nil"/>
              <w:left w:val="nil"/>
              <w:bottom w:val="single" w:sz="4" w:space="0" w:color="auto"/>
              <w:right w:val="single" w:sz="4" w:space="0" w:color="auto"/>
            </w:tcBorders>
            <w:shd w:val="clear" w:color="auto" w:fill="auto"/>
            <w:noWrap/>
            <w:vAlign w:val="center"/>
            <w:hideMark/>
          </w:tcPr>
          <w:p w14:paraId="4736A593"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IBRD/АХБ</w:t>
            </w:r>
          </w:p>
        </w:tc>
        <w:tc>
          <w:tcPr>
            <w:tcW w:w="1531" w:type="dxa"/>
            <w:tcBorders>
              <w:top w:val="nil"/>
              <w:left w:val="nil"/>
              <w:bottom w:val="single" w:sz="4" w:space="0" w:color="auto"/>
              <w:right w:val="single" w:sz="4" w:space="0" w:color="auto"/>
            </w:tcBorders>
            <w:shd w:val="clear" w:color="auto" w:fill="auto"/>
            <w:noWrap/>
            <w:vAlign w:val="center"/>
            <w:hideMark/>
          </w:tcPr>
          <w:p w14:paraId="167ACF9F"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хувьсах</w:t>
            </w:r>
          </w:p>
        </w:tc>
        <w:tc>
          <w:tcPr>
            <w:tcW w:w="1159" w:type="dxa"/>
            <w:tcBorders>
              <w:top w:val="nil"/>
              <w:left w:val="nil"/>
              <w:bottom w:val="single" w:sz="4" w:space="0" w:color="auto"/>
              <w:right w:val="single" w:sz="4" w:space="0" w:color="auto"/>
            </w:tcBorders>
            <w:shd w:val="clear" w:color="auto" w:fill="auto"/>
            <w:noWrap/>
            <w:vAlign w:val="center"/>
            <w:hideMark/>
          </w:tcPr>
          <w:p w14:paraId="007BCAB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25</w:t>
            </w:r>
          </w:p>
        </w:tc>
        <w:tc>
          <w:tcPr>
            <w:tcW w:w="1554" w:type="dxa"/>
            <w:tcBorders>
              <w:top w:val="nil"/>
              <w:left w:val="nil"/>
              <w:bottom w:val="single" w:sz="4" w:space="0" w:color="auto"/>
              <w:right w:val="single" w:sz="4" w:space="0" w:color="auto"/>
            </w:tcBorders>
            <w:shd w:val="clear" w:color="auto" w:fill="auto"/>
            <w:noWrap/>
            <w:vAlign w:val="center"/>
            <w:hideMark/>
          </w:tcPr>
          <w:p w14:paraId="281CEB62"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5</w:t>
            </w:r>
          </w:p>
        </w:tc>
        <w:tc>
          <w:tcPr>
            <w:tcW w:w="1284" w:type="dxa"/>
            <w:tcBorders>
              <w:top w:val="nil"/>
              <w:left w:val="nil"/>
              <w:bottom w:val="single" w:sz="4" w:space="0" w:color="auto"/>
              <w:right w:val="single" w:sz="4" w:space="0" w:color="auto"/>
            </w:tcBorders>
            <w:shd w:val="clear" w:color="auto" w:fill="auto"/>
            <w:noWrap/>
            <w:vAlign w:val="center"/>
            <w:hideMark/>
          </w:tcPr>
          <w:p w14:paraId="787ECFB6"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FX</w:t>
            </w:r>
          </w:p>
        </w:tc>
        <w:tc>
          <w:tcPr>
            <w:tcW w:w="868" w:type="dxa"/>
            <w:tcBorders>
              <w:top w:val="nil"/>
              <w:left w:val="nil"/>
              <w:bottom w:val="single" w:sz="4" w:space="0" w:color="auto"/>
              <w:right w:val="single" w:sz="4" w:space="0" w:color="auto"/>
            </w:tcBorders>
            <w:shd w:val="clear" w:color="auto" w:fill="auto"/>
            <w:noWrap/>
            <w:vAlign w:val="center"/>
            <w:hideMark/>
          </w:tcPr>
          <w:p w14:paraId="33F37EE7"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USD</w:t>
            </w:r>
          </w:p>
        </w:tc>
      </w:tr>
      <w:tr w:rsidR="000B6A0A" w:rsidRPr="0046672D" w14:paraId="4DB4B608"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63D990D"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USD_5</w:t>
            </w:r>
          </w:p>
        </w:tc>
        <w:tc>
          <w:tcPr>
            <w:tcW w:w="2136" w:type="dxa"/>
            <w:tcBorders>
              <w:top w:val="nil"/>
              <w:left w:val="nil"/>
              <w:bottom w:val="single" w:sz="4" w:space="0" w:color="auto"/>
              <w:right w:val="single" w:sz="4" w:space="0" w:color="auto"/>
            </w:tcBorders>
            <w:shd w:val="clear" w:color="auto" w:fill="auto"/>
            <w:noWrap/>
            <w:vAlign w:val="center"/>
            <w:hideMark/>
          </w:tcPr>
          <w:p w14:paraId="5425364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Хоёр талт</w:t>
            </w:r>
          </w:p>
        </w:tc>
        <w:tc>
          <w:tcPr>
            <w:tcW w:w="1531" w:type="dxa"/>
            <w:tcBorders>
              <w:top w:val="nil"/>
              <w:left w:val="nil"/>
              <w:bottom w:val="single" w:sz="4" w:space="0" w:color="auto"/>
              <w:right w:val="single" w:sz="4" w:space="0" w:color="auto"/>
            </w:tcBorders>
            <w:shd w:val="clear" w:color="auto" w:fill="auto"/>
            <w:noWrap/>
            <w:vAlign w:val="center"/>
            <w:hideMark/>
          </w:tcPr>
          <w:p w14:paraId="329F2DBC"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1FAA6223"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20</w:t>
            </w:r>
          </w:p>
        </w:tc>
        <w:tc>
          <w:tcPr>
            <w:tcW w:w="1554" w:type="dxa"/>
            <w:tcBorders>
              <w:top w:val="nil"/>
              <w:left w:val="nil"/>
              <w:bottom w:val="single" w:sz="4" w:space="0" w:color="auto"/>
              <w:right w:val="single" w:sz="4" w:space="0" w:color="auto"/>
            </w:tcBorders>
            <w:shd w:val="clear" w:color="auto" w:fill="auto"/>
            <w:noWrap/>
            <w:vAlign w:val="center"/>
            <w:hideMark/>
          </w:tcPr>
          <w:p w14:paraId="66838E36"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5</w:t>
            </w:r>
          </w:p>
        </w:tc>
        <w:tc>
          <w:tcPr>
            <w:tcW w:w="1284" w:type="dxa"/>
            <w:tcBorders>
              <w:top w:val="nil"/>
              <w:left w:val="nil"/>
              <w:bottom w:val="single" w:sz="4" w:space="0" w:color="auto"/>
              <w:right w:val="single" w:sz="4" w:space="0" w:color="auto"/>
            </w:tcBorders>
            <w:shd w:val="clear" w:color="auto" w:fill="auto"/>
            <w:noWrap/>
            <w:vAlign w:val="center"/>
            <w:hideMark/>
          </w:tcPr>
          <w:p w14:paraId="5FF3A1FB"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FX</w:t>
            </w:r>
          </w:p>
        </w:tc>
        <w:tc>
          <w:tcPr>
            <w:tcW w:w="868" w:type="dxa"/>
            <w:tcBorders>
              <w:top w:val="nil"/>
              <w:left w:val="nil"/>
              <w:bottom w:val="single" w:sz="4" w:space="0" w:color="auto"/>
              <w:right w:val="single" w:sz="4" w:space="0" w:color="auto"/>
            </w:tcBorders>
            <w:shd w:val="clear" w:color="auto" w:fill="auto"/>
            <w:noWrap/>
            <w:vAlign w:val="center"/>
            <w:hideMark/>
          </w:tcPr>
          <w:p w14:paraId="2099F766"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USD</w:t>
            </w:r>
          </w:p>
        </w:tc>
      </w:tr>
      <w:tr w:rsidR="000B6A0A" w:rsidRPr="0046672D" w14:paraId="29DF4D34" w14:textId="77777777" w:rsidTr="00F51A8E">
        <w:trPr>
          <w:trHeight w:val="230"/>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8B830AB"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USD_6</w:t>
            </w:r>
          </w:p>
        </w:tc>
        <w:tc>
          <w:tcPr>
            <w:tcW w:w="2136" w:type="dxa"/>
            <w:tcBorders>
              <w:top w:val="nil"/>
              <w:left w:val="nil"/>
              <w:bottom w:val="single" w:sz="4" w:space="0" w:color="auto"/>
              <w:right w:val="single" w:sz="4" w:space="0" w:color="auto"/>
            </w:tcBorders>
            <w:shd w:val="clear" w:color="auto" w:fill="auto"/>
            <w:noWrap/>
            <w:vAlign w:val="center"/>
            <w:hideMark/>
          </w:tcPr>
          <w:p w14:paraId="3D2FC8D8"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ОУ-ын бонд</w:t>
            </w:r>
          </w:p>
        </w:tc>
        <w:tc>
          <w:tcPr>
            <w:tcW w:w="1531" w:type="dxa"/>
            <w:tcBorders>
              <w:top w:val="nil"/>
              <w:left w:val="nil"/>
              <w:bottom w:val="single" w:sz="4" w:space="0" w:color="auto"/>
              <w:right w:val="single" w:sz="4" w:space="0" w:color="auto"/>
            </w:tcBorders>
            <w:shd w:val="clear" w:color="auto" w:fill="auto"/>
            <w:noWrap/>
            <w:vAlign w:val="center"/>
            <w:hideMark/>
          </w:tcPr>
          <w:p w14:paraId="6D38CD33"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3725095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5</w:t>
            </w:r>
          </w:p>
        </w:tc>
        <w:tc>
          <w:tcPr>
            <w:tcW w:w="1554" w:type="dxa"/>
            <w:tcBorders>
              <w:top w:val="nil"/>
              <w:left w:val="nil"/>
              <w:bottom w:val="single" w:sz="4" w:space="0" w:color="auto"/>
              <w:right w:val="single" w:sz="4" w:space="0" w:color="auto"/>
            </w:tcBorders>
            <w:shd w:val="clear" w:color="auto" w:fill="auto"/>
            <w:noWrap/>
            <w:vAlign w:val="center"/>
            <w:hideMark/>
          </w:tcPr>
          <w:p w14:paraId="22E483DC"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4</w:t>
            </w:r>
          </w:p>
        </w:tc>
        <w:tc>
          <w:tcPr>
            <w:tcW w:w="1284" w:type="dxa"/>
            <w:tcBorders>
              <w:top w:val="nil"/>
              <w:left w:val="nil"/>
              <w:bottom w:val="single" w:sz="4" w:space="0" w:color="auto"/>
              <w:right w:val="single" w:sz="4" w:space="0" w:color="auto"/>
            </w:tcBorders>
            <w:shd w:val="clear" w:color="auto" w:fill="auto"/>
            <w:noWrap/>
            <w:vAlign w:val="center"/>
            <w:hideMark/>
          </w:tcPr>
          <w:p w14:paraId="33A3514F"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FX</w:t>
            </w:r>
          </w:p>
        </w:tc>
        <w:tc>
          <w:tcPr>
            <w:tcW w:w="868" w:type="dxa"/>
            <w:tcBorders>
              <w:top w:val="nil"/>
              <w:left w:val="nil"/>
              <w:bottom w:val="single" w:sz="4" w:space="0" w:color="auto"/>
              <w:right w:val="single" w:sz="4" w:space="0" w:color="auto"/>
            </w:tcBorders>
            <w:shd w:val="clear" w:color="auto" w:fill="auto"/>
            <w:noWrap/>
            <w:vAlign w:val="center"/>
            <w:hideMark/>
          </w:tcPr>
          <w:p w14:paraId="1B731AFE"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USD</w:t>
            </w:r>
          </w:p>
        </w:tc>
      </w:tr>
      <w:tr w:rsidR="000B6A0A" w:rsidRPr="0046672D" w14:paraId="62E70EB5"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76A18FF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USD_7</w:t>
            </w:r>
          </w:p>
        </w:tc>
        <w:tc>
          <w:tcPr>
            <w:tcW w:w="2136" w:type="dxa"/>
            <w:tcBorders>
              <w:top w:val="nil"/>
              <w:left w:val="nil"/>
              <w:bottom w:val="single" w:sz="4" w:space="0" w:color="auto"/>
              <w:right w:val="single" w:sz="4" w:space="0" w:color="auto"/>
            </w:tcBorders>
            <w:shd w:val="clear" w:color="auto" w:fill="auto"/>
            <w:noWrap/>
            <w:vAlign w:val="center"/>
            <w:hideMark/>
          </w:tcPr>
          <w:p w14:paraId="2F1BF867"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Арилжааны зээл</w:t>
            </w:r>
          </w:p>
        </w:tc>
        <w:tc>
          <w:tcPr>
            <w:tcW w:w="1531" w:type="dxa"/>
            <w:tcBorders>
              <w:top w:val="nil"/>
              <w:left w:val="nil"/>
              <w:bottom w:val="single" w:sz="4" w:space="0" w:color="auto"/>
              <w:right w:val="single" w:sz="4" w:space="0" w:color="auto"/>
            </w:tcBorders>
            <w:shd w:val="clear" w:color="auto" w:fill="auto"/>
            <w:noWrap/>
            <w:vAlign w:val="center"/>
            <w:hideMark/>
          </w:tcPr>
          <w:p w14:paraId="5F1557F7"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50DC82AF"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5</w:t>
            </w:r>
          </w:p>
        </w:tc>
        <w:tc>
          <w:tcPr>
            <w:tcW w:w="1554" w:type="dxa"/>
            <w:tcBorders>
              <w:top w:val="nil"/>
              <w:left w:val="nil"/>
              <w:bottom w:val="single" w:sz="4" w:space="0" w:color="auto"/>
              <w:right w:val="single" w:sz="4" w:space="0" w:color="auto"/>
            </w:tcBorders>
            <w:shd w:val="clear" w:color="auto" w:fill="auto"/>
            <w:noWrap/>
            <w:vAlign w:val="center"/>
            <w:hideMark/>
          </w:tcPr>
          <w:p w14:paraId="368E594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3</w:t>
            </w:r>
          </w:p>
        </w:tc>
        <w:tc>
          <w:tcPr>
            <w:tcW w:w="1284" w:type="dxa"/>
            <w:tcBorders>
              <w:top w:val="nil"/>
              <w:left w:val="nil"/>
              <w:bottom w:val="single" w:sz="4" w:space="0" w:color="auto"/>
              <w:right w:val="single" w:sz="4" w:space="0" w:color="auto"/>
            </w:tcBorders>
            <w:shd w:val="clear" w:color="auto" w:fill="auto"/>
            <w:noWrap/>
            <w:vAlign w:val="center"/>
            <w:hideMark/>
          </w:tcPr>
          <w:p w14:paraId="0E02D8C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FX</w:t>
            </w:r>
          </w:p>
        </w:tc>
        <w:tc>
          <w:tcPr>
            <w:tcW w:w="868" w:type="dxa"/>
            <w:tcBorders>
              <w:top w:val="nil"/>
              <w:left w:val="nil"/>
              <w:bottom w:val="single" w:sz="4" w:space="0" w:color="auto"/>
              <w:right w:val="single" w:sz="4" w:space="0" w:color="auto"/>
            </w:tcBorders>
            <w:shd w:val="clear" w:color="auto" w:fill="auto"/>
            <w:noWrap/>
            <w:vAlign w:val="center"/>
            <w:hideMark/>
          </w:tcPr>
          <w:p w14:paraId="1E41F1D4"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USD</w:t>
            </w:r>
          </w:p>
        </w:tc>
      </w:tr>
      <w:tr w:rsidR="000B6A0A" w:rsidRPr="0046672D" w14:paraId="6D67F1DF"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52C148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USD_8</w:t>
            </w:r>
          </w:p>
        </w:tc>
        <w:tc>
          <w:tcPr>
            <w:tcW w:w="2136" w:type="dxa"/>
            <w:tcBorders>
              <w:top w:val="nil"/>
              <w:left w:val="nil"/>
              <w:bottom w:val="single" w:sz="4" w:space="0" w:color="auto"/>
              <w:right w:val="single" w:sz="4" w:space="0" w:color="auto"/>
            </w:tcBorders>
            <w:shd w:val="clear" w:color="auto" w:fill="auto"/>
            <w:noWrap/>
            <w:vAlign w:val="center"/>
            <w:hideMark/>
          </w:tcPr>
          <w:p w14:paraId="171CC35C"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Арилжааны зээл</w:t>
            </w:r>
          </w:p>
        </w:tc>
        <w:tc>
          <w:tcPr>
            <w:tcW w:w="1531" w:type="dxa"/>
            <w:tcBorders>
              <w:top w:val="nil"/>
              <w:left w:val="nil"/>
              <w:bottom w:val="single" w:sz="4" w:space="0" w:color="auto"/>
              <w:right w:val="single" w:sz="4" w:space="0" w:color="auto"/>
            </w:tcBorders>
            <w:shd w:val="clear" w:color="auto" w:fill="auto"/>
            <w:noWrap/>
            <w:vAlign w:val="center"/>
            <w:hideMark/>
          </w:tcPr>
          <w:p w14:paraId="457F500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хувьсах</w:t>
            </w:r>
          </w:p>
        </w:tc>
        <w:tc>
          <w:tcPr>
            <w:tcW w:w="1159" w:type="dxa"/>
            <w:tcBorders>
              <w:top w:val="nil"/>
              <w:left w:val="nil"/>
              <w:bottom w:val="single" w:sz="4" w:space="0" w:color="auto"/>
              <w:right w:val="single" w:sz="4" w:space="0" w:color="auto"/>
            </w:tcBorders>
            <w:shd w:val="clear" w:color="auto" w:fill="auto"/>
            <w:noWrap/>
            <w:vAlign w:val="center"/>
            <w:hideMark/>
          </w:tcPr>
          <w:p w14:paraId="402CF6F4"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6</w:t>
            </w:r>
          </w:p>
        </w:tc>
        <w:tc>
          <w:tcPr>
            <w:tcW w:w="1554" w:type="dxa"/>
            <w:tcBorders>
              <w:top w:val="nil"/>
              <w:left w:val="nil"/>
              <w:bottom w:val="single" w:sz="4" w:space="0" w:color="auto"/>
              <w:right w:val="single" w:sz="4" w:space="0" w:color="auto"/>
            </w:tcBorders>
            <w:shd w:val="clear" w:color="auto" w:fill="auto"/>
            <w:noWrap/>
            <w:vAlign w:val="center"/>
            <w:hideMark/>
          </w:tcPr>
          <w:p w14:paraId="180AB826"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2</w:t>
            </w:r>
          </w:p>
        </w:tc>
        <w:tc>
          <w:tcPr>
            <w:tcW w:w="1284" w:type="dxa"/>
            <w:tcBorders>
              <w:top w:val="nil"/>
              <w:left w:val="nil"/>
              <w:bottom w:val="single" w:sz="4" w:space="0" w:color="auto"/>
              <w:right w:val="single" w:sz="4" w:space="0" w:color="auto"/>
            </w:tcBorders>
            <w:shd w:val="clear" w:color="auto" w:fill="auto"/>
            <w:noWrap/>
            <w:vAlign w:val="center"/>
            <w:hideMark/>
          </w:tcPr>
          <w:p w14:paraId="6E47448C"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FX</w:t>
            </w:r>
          </w:p>
        </w:tc>
        <w:tc>
          <w:tcPr>
            <w:tcW w:w="868" w:type="dxa"/>
            <w:tcBorders>
              <w:top w:val="nil"/>
              <w:left w:val="nil"/>
              <w:bottom w:val="single" w:sz="4" w:space="0" w:color="auto"/>
              <w:right w:val="single" w:sz="4" w:space="0" w:color="auto"/>
            </w:tcBorders>
            <w:shd w:val="clear" w:color="auto" w:fill="auto"/>
            <w:noWrap/>
            <w:vAlign w:val="center"/>
            <w:hideMark/>
          </w:tcPr>
          <w:p w14:paraId="3F1D9849"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USD</w:t>
            </w:r>
          </w:p>
        </w:tc>
      </w:tr>
      <w:tr w:rsidR="000B6A0A" w:rsidRPr="0046672D" w14:paraId="7AC1E511"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7B6F18C"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MNT_11</w:t>
            </w:r>
          </w:p>
        </w:tc>
        <w:tc>
          <w:tcPr>
            <w:tcW w:w="2136" w:type="dxa"/>
            <w:tcBorders>
              <w:top w:val="nil"/>
              <w:left w:val="nil"/>
              <w:bottom w:val="single" w:sz="4" w:space="0" w:color="auto"/>
              <w:right w:val="single" w:sz="4" w:space="0" w:color="auto"/>
            </w:tcBorders>
            <w:shd w:val="clear" w:color="auto" w:fill="auto"/>
            <w:noWrap/>
            <w:vAlign w:val="center"/>
            <w:hideMark/>
          </w:tcPr>
          <w:p w14:paraId="505D535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Богино хугацаат үнэт цаас</w:t>
            </w:r>
          </w:p>
        </w:tc>
        <w:tc>
          <w:tcPr>
            <w:tcW w:w="1531" w:type="dxa"/>
            <w:tcBorders>
              <w:top w:val="nil"/>
              <w:left w:val="nil"/>
              <w:bottom w:val="single" w:sz="4" w:space="0" w:color="auto"/>
              <w:right w:val="single" w:sz="4" w:space="0" w:color="auto"/>
            </w:tcBorders>
            <w:shd w:val="clear" w:color="auto" w:fill="auto"/>
            <w:noWrap/>
            <w:vAlign w:val="center"/>
            <w:hideMark/>
          </w:tcPr>
          <w:p w14:paraId="2751FA88"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0F04FE6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1</w:t>
            </w:r>
          </w:p>
        </w:tc>
        <w:tc>
          <w:tcPr>
            <w:tcW w:w="1554" w:type="dxa"/>
            <w:tcBorders>
              <w:top w:val="nil"/>
              <w:left w:val="nil"/>
              <w:bottom w:val="single" w:sz="4" w:space="0" w:color="auto"/>
              <w:right w:val="single" w:sz="4" w:space="0" w:color="auto"/>
            </w:tcBorders>
            <w:shd w:val="clear" w:color="auto" w:fill="auto"/>
            <w:noWrap/>
            <w:vAlign w:val="center"/>
            <w:hideMark/>
          </w:tcPr>
          <w:p w14:paraId="4DA0D52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0</w:t>
            </w:r>
          </w:p>
        </w:tc>
        <w:tc>
          <w:tcPr>
            <w:tcW w:w="1284" w:type="dxa"/>
            <w:tcBorders>
              <w:top w:val="nil"/>
              <w:left w:val="nil"/>
              <w:bottom w:val="single" w:sz="4" w:space="0" w:color="auto"/>
              <w:right w:val="single" w:sz="4" w:space="0" w:color="auto"/>
            </w:tcBorders>
            <w:shd w:val="clear" w:color="auto" w:fill="auto"/>
            <w:noWrap/>
            <w:vAlign w:val="center"/>
            <w:hideMark/>
          </w:tcPr>
          <w:p w14:paraId="2E1E8FFD"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DX</w:t>
            </w:r>
          </w:p>
        </w:tc>
        <w:tc>
          <w:tcPr>
            <w:tcW w:w="868" w:type="dxa"/>
            <w:tcBorders>
              <w:top w:val="nil"/>
              <w:left w:val="nil"/>
              <w:bottom w:val="single" w:sz="4" w:space="0" w:color="auto"/>
              <w:right w:val="single" w:sz="4" w:space="0" w:color="auto"/>
            </w:tcBorders>
            <w:shd w:val="clear" w:color="auto" w:fill="auto"/>
            <w:noWrap/>
            <w:vAlign w:val="center"/>
            <w:hideMark/>
          </w:tcPr>
          <w:p w14:paraId="6586ADAE"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MNT</w:t>
            </w:r>
          </w:p>
        </w:tc>
      </w:tr>
      <w:tr w:rsidR="000B6A0A" w:rsidRPr="0046672D" w14:paraId="3D2A2DCF"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7B7DBCD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MNT_12</w:t>
            </w:r>
          </w:p>
        </w:tc>
        <w:tc>
          <w:tcPr>
            <w:tcW w:w="2136" w:type="dxa"/>
            <w:tcBorders>
              <w:top w:val="nil"/>
              <w:left w:val="nil"/>
              <w:bottom w:val="single" w:sz="4" w:space="0" w:color="auto"/>
              <w:right w:val="single" w:sz="4" w:space="0" w:color="auto"/>
            </w:tcBorders>
            <w:shd w:val="clear" w:color="auto" w:fill="auto"/>
            <w:noWrap/>
            <w:vAlign w:val="center"/>
            <w:hideMark/>
          </w:tcPr>
          <w:p w14:paraId="21C2E4D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Үнэт цаас /2-жил/</w:t>
            </w:r>
          </w:p>
        </w:tc>
        <w:tc>
          <w:tcPr>
            <w:tcW w:w="1531" w:type="dxa"/>
            <w:tcBorders>
              <w:top w:val="nil"/>
              <w:left w:val="nil"/>
              <w:bottom w:val="single" w:sz="4" w:space="0" w:color="auto"/>
              <w:right w:val="single" w:sz="4" w:space="0" w:color="auto"/>
            </w:tcBorders>
            <w:shd w:val="clear" w:color="auto" w:fill="auto"/>
            <w:noWrap/>
            <w:vAlign w:val="center"/>
            <w:hideMark/>
          </w:tcPr>
          <w:p w14:paraId="4CD0F5E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077564F3"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2</w:t>
            </w:r>
          </w:p>
        </w:tc>
        <w:tc>
          <w:tcPr>
            <w:tcW w:w="1554" w:type="dxa"/>
            <w:tcBorders>
              <w:top w:val="nil"/>
              <w:left w:val="nil"/>
              <w:bottom w:val="single" w:sz="4" w:space="0" w:color="auto"/>
              <w:right w:val="single" w:sz="4" w:space="0" w:color="auto"/>
            </w:tcBorders>
            <w:shd w:val="clear" w:color="auto" w:fill="auto"/>
            <w:noWrap/>
            <w:vAlign w:val="center"/>
            <w:hideMark/>
          </w:tcPr>
          <w:p w14:paraId="3DAE7833"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1</w:t>
            </w:r>
          </w:p>
        </w:tc>
        <w:tc>
          <w:tcPr>
            <w:tcW w:w="1284" w:type="dxa"/>
            <w:tcBorders>
              <w:top w:val="nil"/>
              <w:left w:val="nil"/>
              <w:bottom w:val="single" w:sz="4" w:space="0" w:color="auto"/>
              <w:right w:val="single" w:sz="4" w:space="0" w:color="auto"/>
            </w:tcBorders>
            <w:shd w:val="clear" w:color="auto" w:fill="auto"/>
            <w:noWrap/>
            <w:vAlign w:val="center"/>
            <w:hideMark/>
          </w:tcPr>
          <w:p w14:paraId="6945FFA9"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DX</w:t>
            </w:r>
          </w:p>
        </w:tc>
        <w:tc>
          <w:tcPr>
            <w:tcW w:w="868" w:type="dxa"/>
            <w:tcBorders>
              <w:top w:val="nil"/>
              <w:left w:val="nil"/>
              <w:bottom w:val="single" w:sz="4" w:space="0" w:color="auto"/>
              <w:right w:val="single" w:sz="4" w:space="0" w:color="auto"/>
            </w:tcBorders>
            <w:shd w:val="clear" w:color="auto" w:fill="auto"/>
            <w:noWrap/>
            <w:vAlign w:val="center"/>
            <w:hideMark/>
          </w:tcPr>
          <w:p w14:paraId="3D6DED02"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MNT</w:t>
            </w:r>
          </w:p>
        </w:tc>
      </w:tr>
      <w:tr w:rsidR="000B6A0A" w:rsidRPr="0046672D" w14:paraId="25A76F89"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62C2E0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MNT_13</w:t>
            </w:r>
          </w:p>
        </w:tc>
        <w:tc>
          <w:tcPr>
            <w:tcW w:w="2136" w:type="dxa"/>
            <w:tcBorders>
              <w:top w:val="nil"/>
              <w:left w:val="nil"/>
              <w:bottom w:val="single" w:sz="4" w:space="0" w:color="auto"/>
              <w:right w:val="single" w:sz="4" w:space="0" w:color="auto"/>
            </w:tcBorders>
            <w:shd w:val="clear" w:color="auto" w:fill="auto"/>
            <w:noWrap/>
            <w:vAlign w:val="center"/>
            <w:hideMark/>
          </w:tcPr>
          <w:p w14:paraId="37ED7AA3"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Үнэт цаас /3-жил/</w:t>
            </w:r>
          </w:p>
        </w:tc>
        <w:tc>
          <w:tcPr>
            <w:tcW w:w="1531" w:type="dxa"/>
            <w:tcBorders>
              <w:top w:val="nil"/>
              <w:left w:val="nil"/>
              <w:bottom w:val="single" w:sz="4" w:space="0" w:color="auto"/>
              <w:right w:val="single" w:sz="4" w:space="0" w:color="auto"/>
            </w:tcBorders>
            <w:shd w:val="clear" w:color="auto" w:fill="auto"/>
            <w:noWrap/>
            <w:vAlign w:val="center"/>
            <w:hideMark/>
          </w:tcPr>
          <w:p w14:paraId="2C86816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3F1E28A0"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3</w:t>
            </w:r>
          </w:p>
        </w:tc>
        <w:tc>
          <w:tcPr>
            <w:tcW w:w="1554" w:type="dxa"/>
            <w:tcBorders>
              <w:top w:val="nil"/>
              <w:left w:val="nil"/>
              <w:bottom w:val="single" w:sz="4" w:space="0" w:color="auto"/>
              <w:right w:val="single" w:sz="4" w:space="0" w:color="auto"/>
            </w:tcBorders>
            <w:shd w:val="clear" w:color="auto" w:fill="auto"/>
            <w:noWrap/>
            <w:vAlign w:val="center"/>
            <w:hideMark/>
          </w:tcPr>
          <w:p w14:paraId="0309596C"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2</w:t>
            </w:r>
          </w:p>
        </w:tc>
        <w:tc>
          <w:tcPr>
            <w:tcW w:w="1284" w:type="dxa"/>
            <w:tcBorders>
              <w:top w:val="nil"/>
              <w:left w:val="nil"/>
              <w:bottom w:val="single" w:sz="4" w:space="0" w:color="auto"/>
              <w:right w:val="single" w:sz="4" w:space="0" w:color="auto"/>
            </w:tcBorders>
            <w:shd w:val="clear" w:color="auto" w:fill="auto"/>
            <w:noWrap/>
            <w:vAlign w:val="center"/>
            <w:hideMark/>
          </w:tcPr>
          <w:p w14:paraId="18B828CD"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DX</w:t>
            </w:r>
          </w:p>
        </w:tc>
        <w:tc>
          <w:tcPr>
            <w:tcW w:w="868" w:type="dxa"/>
            <w:tcBorders>
              <w:top w:val="nil"/>
              <w:left w:val="nil"/>
              <w:bottom w:val="single" w:sz="4" w:space="0" w:color="auto"/>
              <w:right w:val="single" w:sz="4" w:space="0" w:color="auto"/>
            </w:tcBorders>
            <w:shd w:val="clear" w:color="auto" w:fill="auto"/>
            <w:noWrap/>
            <w:vAlign w:val="center"/>
            <w:hideMark/>
          </w:tcPr>
          <w:p w14:paraId="6C020C86"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MNT</w:t>
            </w:r>
          </w:p>
        </w:tc>
      </w:tr>
      <w:tr w:rsidR="000B6A0A" w:rsidRPr="0046672D" w14:paraId="14B0F71F"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36EA22E"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MNT_14</w:t>
            </w:r>
          </w:p>
        </w:tc>
        <w:tc>
          <w:tcPr>
            <w:tcW w:w="2136" w:type="dxa"/>
            <w:tcBorders>
              <w:top w:val="nil"/>
              <w:left w:val="nil"/>
              <w:bottom w:val="single" w:sz="4" w:space="0" w:color="auto"/>
              <w:right w:val="single" w:sz="4" w:space="0" w:color="auto"/>
            </w:tcBorders>
            <w:shd w:val="clear" w:color="auto" w:fill="auto"/>
            <w:noWrap/>
            <w:vAlign w:val="center"/>
            <w:hideMark/>
          </w:tcPr>
          <w:p w14:paraId="66507628"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Үнэт цаас /5-жил/</w:t>
            </w:r>
          </w:p>
        </w:tc>
        <w:tc>
          <w:tcPr>
            <w:tcW w:w="1531" w:type="dxa"/>
            <w:tcBorders>
              <w:top w:val="nil"/>
              <w:left w:val="nil"/>
              <w:bottom w:val="single" w:sz="4" w:space="0" w:color="auto"/>
              <w:right w:val="single" w:sz="4" w:space="0" w:color="auto"/>
            </w:tcBorders>
            <w:shd w:val="clear" w:color="auto" w:fill="auto"/>
            <w:noWrap/>
            <w:vAlign w:val="center"/>
            <w:hideMark/>
          </w:tcPr>
          <w:p w14:paraId="37D1C642"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05AF90C5"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5</w:t>
            </w:r>
          </w:p>
        </w:tc>
        <w:tc>
          <w:tcPr>
            <w:tcW w:w="1554" w:type="dxa"/>
            <w:tcBorders>
              <w:top w:val="nil"/>
              <w:left w:val="nil"/>
              <w:bottom w:val="single" w:sz="4" w:space="0" w:color="auto"/>
              <w:right w:val="single" w:sz="4" w:space="0" w:color="auto"/>
            </w:tcBorders>
            <w:shd w:val="clear" w:color="auto" w:fill="auto"/>
            <w:noWrap/>
            <w:vAlign w:val="center"/>
            <w:hideMark/>
          </w:tcPr>
          <w:p w14:paraId="3B519149"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4</w:t>
            </w:r>
          </w:p>
        </w:tc>
        <w:tc>
          <w:tcPr>
            <w:tcW w:w="1284" w:type="dxa"/>
            <w:tcBorders>
              <w:top w:val="nil"/>
              <w:left w:val="nil"/>
              <w:bottom w:val="single" w:sz="4" w:space="0" w:color="auto"/>
              <w:right w:val="single" w:sz="4" w:space="0" w:color="auto"/>
            </w:tcBorders>
            <w:shd w:val="clear" w:color="auto" w:fill="auto"/>
            <w:noWrap/>
            <w:vAlign w:val="center"/>
            <w:hideMark/>
          </w:tcPr>
          <w:p w14:paraId="433F6E7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DX</w:t>
            </w:r>
          </w:p>
        </w:tc>
        <w:tc>
          <w:tcPr>
            <w:tcW w:w="868" w:type="dxa"/>
            <w:tcBorders>
              <w:top w:val="nil"/>
              <w:left w:val="nil"/>
              <w:bottom w:val="single" w:sz="4" w:space="0" w:color="auto"/>
              <w:right w:val="single" w:sz="4" w:space="0" w:color="auto"/>
            </w:tcBorders>
            <w:shd w:val="clear" w:color="auto" w:fill="auto"/>
            <w:noWrap/>
            <w:vAlign w:val="center"/>
            <w:hideMark/>
          </w:tcPr>
          <w:p w14:paraId="737CC57B"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MNT</w:t>
            </w:r>
          </w:p>
        </w:tc>
      </w:tr>
      <w:tr w:rsidR="000B6A0A" w:rsidRPr="0046672D" w14:paraId="1E1EF794"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6405286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MNT_15</w:t>
            </w:r>
          </w:p>
        </w:tc>
        <w:tc>
          <w:tcPr>
            <w:tcW w:w="2136" w:type="dxa"/>
            <w:tcBorders>
              <w:top w:val="nil"/>
              <w:left w:val="nil"/>
              <w:bottom w:val="single" w:sz="4" w:space="0" w:color="auto"/>
              <w:right w:val="single" w:sz="4" w:space="0" w:color="auto"/>
            </w:tcBorders>
            <w:shd w:val="clear" w:color="auto" w:fill="auto"/>
            <w:noWrap/>
            <w:vAlign w:val="center"/>
            <w:hideMark/>
          </w:tcPr>
          <w:p w14:paraId="34EC67A4"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Үнэт цаас /7-жил/</w:t>
            </w:r>
          </w:p>
        </w:tc>
        <w:tc>
          <w:tcPr>
            <w:tcW w:w="1531" w:type="dxa"/>
            <w:tcBorders>
              <w:top w:val="nil"/>
              <w:left w:val="nil"/>
              <w:bottom w:val="single" w:sz="4" w:space="0" w:color="auto"/>
              <w:right w:val="single" w:sz="4" w:space="0" w:color="auto"/>
            </w:tcBorders>
            <w:shd w:val="clear" w:color="auto" w:fill="auto"/>
            <w:noWrap/>
            <w:vAlign w:val="center"/>
            <w:hideMark/>
          </w:tcPr>
          <w:p w14:paraId="6C50BF17"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70BFBE4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7</w:t>
            </w:r>
          </w:p>
        </w:tc>
        <w:tc>
          <w:tcPr>
            <w:tcW w:w="1554" w:type="dxa"/>
            <w:tcBorders>
              <w:top w:val="nil"/>
              <w:left w:val="nil"/>
              <w:bottom w:val="single" w:sz="4" w:space="0" w:color="auto"/>
              <w:right w:val="single" w:sz="4" w:space="0" w:color="auto"/>
            </w:tcBorders>
            <w:shd w:val="clear" w:color="auto" w:fill="auto"/>
            <w:noWrap/>
            <w:vAlign w:val="center"/>
            <w:hideMark/>
          </w:tcPr>
          <w:p w14:paraId="06F2A8D8"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6</w:t>
            </w:r>
          </w:p>
        </w:tc>
        <w:tc>
          <w:tcPr>
            <w:tcW w:w="1284" w:type="dxa"/>
            <w:tcBorders>
              <w:top w:val="nil"/>
              <w:left w:val="nil"/>
              <w:bottom w:val="single" w:sz="4" w:space="0" w:color="auto"/>
              <w:right w:val="single" w:sz="4" w:space="0" w:color="auto"/>
            </w:tcBorders>
            <w:shd w:val="clear" w:color="auto" w:fill="auto"/>
            <w:noWrap/>
            <w:vAlign w:val="center"/>
            <w:hideMark/>
          </w:tcPr>
          <w:p w14:paraId="2644293B"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DX</w:t>
            </w:r>
          </w:p>
        </w:tc>
        <w:tc>
          <w:tcPr>
            <w:tcW w:w="868" w:type="dxa"/>
            <w:tcBorders>
              <w:top w:val="nil"/>
              <w:left w:val="nil"/>
              <w:bottom w:val="single" w:sz="4" w:space="0" w:color="auto"/>
              <w:right w:val="single" w:sz="4" w:space="0" w:color="auto"/>
            </w:tcBorders>
            <w:shd w:val="clear" w:color="auto" w:fill="auto"/>
            <w:noWrap/>
            <w:vAlign w:val="center"/>
            <w:hideMark/>
          </w:tcPr>
          <w:p w14:paraId="1FEE9035"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MNT</w:t>
            </w:r>
          </w:p>
        </w:tc>
      </w:tr>
      <w:tr w:rsidR="000B6A0A" w:rsidRPr="0046672D" w14:paraId="630F4115" w14:textId="77777777" w:rsidTr="00F51A8E">
        <w:trPr>
          <w:trHeight w:val="219"/>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50CB6B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MNT_16</w:t>
            </w:r>
          </w:p>
        </w:tc>
        <w:tc>
          <w:tcPr>
            <w:tcW w:w="2136" w:type="dxa"/>
            <w:tcBorders>
              <w:top w:val="nil"/>
              <w:left w:val="nil"/>
              <w:bottom w:val="single" w:sz="4" w:space="0" w:color="auto"/>
              <w:right w:val="single" w:sz="4" w:space="0" w:color="auto"/>
            </w:tcBorders>
            <w:shd w:val="clear" w:color="auto" w:fill="auto"/>
            <w:noWrap/>
            <w:vAlign w:val="center"/>
            <w:hideMark/>
          </w:tcPr>
          <w:p w14:paraId="73C97A8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Үнэт цаас /10-жил/</w:t>
            </w:r>
          </w:p>
        </w:tc>
        <w:tc>
          <w:tcPr>
            <w:tcW w:w="1531" w:type="dxa"/>
            <w:tcBorders>
              <w:top w:val="nil"/>
              <w:left w:val="nil"/>
              <w:bottom w:val="single" w:sz="4" w:space="0" w:color="auto"/>
              <w:right w:val="single" w:sz="4" w:space="0" w:color="auto"/>
            </w:tcBorders>
            <w:shd w:val="clear" w:color="auto" w:fill="auto"/>
            <w:noWrap/>
            <w:vAlign w:val="center"/>
            <w:hideMark/>
          </w:tcPr>
          <w:p w14:paraId="136F02F6"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nil"/>
              <w:left w:val="nil"/>
              <w:bottom w:val="single" w:sz="4" w:space="0" w:color="auto"/>
              <w:right w:val="single" w:sz="4" w:space="0" w:color="auto"/>
            </w:tcBorders>
            <w:shd w:val="clear" w:color="auto" w:fill="auto"/>
            <w:noWrap/>
            <w:vAlign w:val="center"/>
            <w:hideMark/>
          </w:tcPr>
          <w:p w14:paraId="24D1508A"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10</w:t>
            </w:r>
          </w:p>
        </w:tc>
        <w:tc>
          <w:tcPr>
            <w:tcW w:w="1554" w:type="dxa"/>
            <w:tcBorders>
              <w:top w:val="nil"/>
              <w:left w:val="nil"/>
              <w:bottom w:val="single" w:sz="4" w:space="0" w:color="auto"/>
              <w:right w:val="single" w:sz="4" w:space="0" w:color="auto"/>
            </w:tcBorders>
            <w:shd w:val="clear" w:color="auto" w:fill="auto"/>
            <w:noWrap/>
            <w:vAlign w:val="center"/>
            <w:hideMark/>
          </w:tcPr>
          <w:p w14:paraId="0D0B8851"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9</w:t>
            </w:r>
          </w:p>
        </w:tc>
        <w:tc>
          <w:tcPr>
            <w:tcW w:w="1284" w:type="dxa"/>
            <w:tcBorders>
              <w:top w:val="nil"/>
              <w:left w:val="nil"/>
              <w:bottom w:val="single" w:sz="4" w:space="0" w:color="auto"/>
              <w:right w:val="single" w:sz="4" w:space="0" w:color="auto"/>
            </w:tcBorders>
            <w:shd w:val="clear" w:color="auto" w:fill="auto"/>
            <w:noWrap/>
            <w:vAlign w:val="center"/>
            <w:hideMark/>
          </w:tcPr>
          <w:p w14:paraId="0E793829"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DX</w:t>
            </w:r>
          </w:p>
        </w:tc>
        <w:tc>
          <w:tcPr>
            <w:tcW w:w="868" w:type="dxa"/>
            <w:tcBorders>
              <w:top w:val="nil"/>
              <w:left w:val="nil"/>
              <w:bottom w:val="single" w:sz="4" w:space="0" w:color="auto"/>
              <w:right w:val="single" w:sz="4" w:space="0" w:color="auto"/>
            </w:tcBorders>
            <w:shd w:val="clear" w:color="auto" w:fill="auto"/>
            <w:noWrap/>
            <w:vAlign w:val="center"/>
            <w:hideMark/>
          </w:tcPr>
          <w:p w14:paraId="5B6C413A"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MNT</w:t>
            </w:r>
          </w:p>
        </w:tc>
      </w:tr>
      <w:tr w:rsidR="000B6A0A" w:rsidRPr="0046672D" w14:paraId="152E2909" w14:textId="77777777" w:rsidTr="00F51A8E">
        <w:trPr>
          <w:trHeight w:val="219"/>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0BBDD"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MNT_17</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14:paraId="5D73E314"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Үнэт цаас /15-жил/</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41DB4F48"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тогтмол</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157D4EE8"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15</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0348D448"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14</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1C0471E6" w14:textId="77777777" w:rsidR="000B6A0A" w:rsidRPr="0046672D" w:rsidRDefault="000B6A0A" w:rsidP="00F51A8E">
            <w:pPr>
              <w:spacing w:after="0" w:line="240" w:lineRule="auto"/>
              <w:jc w:val="center"/>
              <w:rPr>
                <w:rFonts w:ascii="Arial" w:eastAsia="Times New Roman" w:hAnsi="Arial" w:cs="Arial"/>
                <w:sz w:val="20"/>
                <w:szCs w:val="24"/>
                <w:lang w:val="mn-MN"/>
              </w:rPr>
            </w:pPr>
            <w:r w:rsidRPr="0046672D">
              <w:rPr>
                <w:rFonts w:ascii="Arial" w:eastAsia="Times New Roman" w:hAnsi="Arial" w:cs="Arial"/>
                <w:sz w:val="20"/>
                <w:szCs w:val="24"/>
                <w:lang w:val="mn-MN"/>
              </w:rPr>
              <w:t>DX</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14:paraId="719250AE" w14:textId="77777777" w:rsidR="000B6A0A" w:rsidRPr="0046672D" w:rsidRDefault="000B6A0A" w:rsidP="00F51A8E">
            <w:pPr>
              <w:spacing w:after="0" w:line="240" w:lineRule="auto"/>
              <w:jc w:val="center"/>
              <w:rPr>
                <w:rFonts w:ascii="Arial" w:eastAsia="Times New Roman" w:hAnsi="Arial" w:cs="Arial"/>
                <w:color w:val="000000" w:themeColor="text1"/>
                <w:sz w:val="20"/>
                <w:szCs w:val="24"/>
                <w:lang w:val="mn-MN"/>
              </w:rPr>
            </w:pPr>
            <w:r w:rsidRPr="0046672D">
              <w:rPr>
                <w:rFonts w:ascii="Arial" w:eastAsia="Times New Roman" w:hAnsi="Arial" w:cs="Arial"/>
                <w:color w:val="000000" w:themeColor="text1"/>
                <w:sz w:val="20"/>
                <w:szCs w:val="24"/>
                <w:lang w:val="mn-MN"/>
              </w:rPr>
              <w:t>MNT</w:t>
            </w:r>
          </w:p>
        </w:tc>
      </w:tr>
    </w:tbl>
    <w:p w14:paraId="26E901A2" w14:textId="77777777" w:rsidR="000B6A0A" w:rsidRPr="0046672D" w:rsidRDefault="000B6A0A" w:rsidP="000B6A0A">
      <w:pPr>
        <w:pStyle w:val="NoSpacing"/>
        <w:spacing w:after="0"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cols w:space="720"/>
          <w:titlePg/>
          <w:docGrid w:linePitch="360"/>
        </w:sectPr>
      </w:pPr>
    </w:p>
    <w:p w14:paraId="53F062A4" w14:textId="77777777" w:rsidR="000B6A0A" w:rsidRPr="0046672D" w:rsidRDefault="000B6A0A" w:rsidP="000B6A0A">
      <w:pPr>
        <w:pStyle w:val="NoSpacing"/>
        <w:spacing w:line="240" w:lineRule="auto"/>
        <w:ind w:firstLine="720"/>
        <w:jc w:val="left"/>
        <w:rPr>
          <w:rFonts w:ascii="Arial" w:hAnsi="Arial" w:cs="Arial"/>
          <w:b/>
          <w:sz w:val="24"/>
          <w:szCs w:val="24"/>
        </w:rPr>
      </w:pPr>
    </w:p>
    <w:p w14:paraId="48050FA9" w14:textId="77777777" w:rsidR="000B6A0A" w:rsidRPr="0046672D" w:rsidRDefault="000B6A0A" w:rsidP="000B6A0A">
      <w:pPr>
        <w:pStyle w:val="NoSpacing"/>
        <w:spacing w:line="240" w:lineRule="auto"/>
        <w:ind w:firstLine="720"/>
        <w:jc w:val="left"/>
        <w:rPr>
          <w:rFonts w:ascii="Arial" w:hAnsi="Arial" w:cs="Arial"/>
          <w:b/>
          <w:sz w:val="24"/>
          <w:szCs w:val="24"/>
        </w:rPr>
      </w:pPr>
      <w:r w:rsidRPr="0046672D">
        <w:rPr>
          <w:rFonts w:ascii="Arial" w:hAnsi="Arial" w:cs="Arial"/>
          <w:b/>
          <w:sz w:val="24"/>
          <w:szCs w:val="24"/>
        </w:rPr>
        <w:t>Өрийн удирдлагын боломжит хувилбарууд</w:t>
      </w:r>
    </w:p>
    <w:p w14:paraId="05369752" w14:textId="77777777" w:rsidR="000B6A0A" w:rsidRPr="0046672D" w:rsidRDefault="000B6A0A" w:rsidP="000B6A0A">
      <w:pPr>
        <w:pStyle w:val="NoSpacing"/>
        <w:spacing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cols w:space="720"/>
          <w:titlePg/>
          <w:docGrid w:linePitch="360"/>
        </w:sectPr>
      </w:pPr>
    </w:p>
    <w:p w14:paraId="1A57DEDC" w14:textId="77777777" w:rsidR="000B6A0A" w:rsidRPr="0046672D" w:rsidRDefault="000B6A0A" w:rsidP="000B6A0A">
      <w:pPr>
        <w:pStyle w:val="NoSpacing"/>
        <w:spacing w:line="240" w:lineRule="auto"/>
        <w:ind w:firstLine="720"/>
        <w:rPr>
          <w:rFonts w:ascii="Arial" w:hAnsi="Arial" w:cs="Arial"/>
          <w:sz w:val="24"/>
          <w:szCs w:val="24"/>
        </w:rPr>
        <w:sectPr w:rsidR="000B6A0A" w:rsidRPr="0046672D" w:rsidSect="002A2F8C">
          <w:type w:val="continuous"/>
          <w:pgSz w:w="11906" w:h="16838" w:code="9"/>
          <w:pgMar w:top="1134" w:right="851" w:bottom="851" w:left="1247" w:header="720" w:footer="720" w:gutter="0"/>
          <w:cols w:space="720"/>
          <w:titlePg/>
          <w:docGrid w:linePitch="360"/>
        </w:sectPr>
      </w:pPr>
      <w:r w:rsidRPr="0046672D">
        <w:rPr>
          <w:rFonts w:ascii="Arial" w:hAnsi="Arial" w:cs="Arial"/>
          <w:sz w:val="24"/>
          <w:szCs w:val="24"/>
        </w:rPr>
        <w:lastRenderedPageBreak/>
        <w:t>Загварт олгож буй боломжийн дагуу дараах 4 боломжит стратегийг сонгон авч, үр дүнд шинжилгээ хийлээ. Үүнд:</w:t>
      </w:r>
    </w:p>
    <w:p w14:paraId="380D6EFF"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b/>
          <w:sz w:val="24"/>
          <w:szCs w:val="24"/>
        </w:rPr>
        <w:lastRenderedPageBreak/>
        <w:t>Стратеги 1 (S1)</w:t>
      </w:r>
      <w:r w:rsidRPr="0046672D">
        <w:rPr>
          <w:rFonts w:ascii="Arial" w:hAnsi="Arial" w:cs="Arial"/>
          <w:sz w:val="24"/>
          <w:szCs w:val="24"/>
        </w:rPr>
        <w:t>: Санхүүжилтийн хэрэгцээг санхүүжүүлэхээр жилд төсөл, хөтөлбөрийн зээл шинээр авч ашиглаж, дотоод бонд арилжаалах;</w:t>
      </w:r>
    </w:p>
    <w:p w14:paraId="7667F4A4"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b/>
          <w:sz w:val="24"/>
          <w:szCs w:val="24"/>
        </w:rPr>
        <w:t>Стратеги 2 (S2):</w:t>
      </w:r>
      <w:r w:rsidRPr="0046672D">
        <w:rPr>
          <w:rFonts w:ascii="Arial" w:hAnsi="Arial" w:cs="Arial"/>
          <w:sz w:val="24"/>
          <w:szCs w:val="24"/>
        </w:rPr>
        <w:t xml:space="preserve"> Санхүүжилтийн хэрэгцээг төслийн хөнгөлөлттэй нөхцөлтэй зээл, төсвийн алдагдал санхүүжүүлэхээр арилжааны нөхцөлтэй зээл шинээр авч ашиглаж, дотоод бондын арилжаагаар санхүүжүүлэх;</w:t>
      </w:r>
    </w:p>
    <w:p w14:paraId="0D2126C6"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b/>
          <w:sz w:val="24"/>
          <w:szCs w:val="24"/>
        </w:rPr>
        <w:t xml:space="preserve">Стратеги 3 (S3): </w:t>
      </w:r>
      <w:r w:rsidRPr="0046672D">
        <w:rPr>
          <w:rFonts w:ascii="Arial" w:hAnsi="Arial" w:cs="Arial"/>
          <w:sz w:val="24"/>
          <w:szCs w:val="24"/>
        </w:rPr>
        <w:t>Санхүүжилтийн хэрэгцээг санхүүжүүлэхээр хөтөлбөрийн зээл авч ашиглахгүй, төслийн зээл шинээр авч ашиглах болон дотоод бонд арилжаалан санхүүжүүлэх;</w:t>
      </w:r>
    </w:p>
    <w:p w14:paraId="4BD942AF"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b/>
          <w:sz w:val="24"/>
          <w:szCs w:val="24"/>
        </w:rPr>
        <w:t>Стратеги 4 (S4):</w:t>
      </w:r>
      <w:r w:rsidRPr="0046672D">
        <w:rPr>
          <w:rFonts w:ascii="Arial" w:hAnsi="Arial" w:cs="Arial"/>
          <w:sz w:val="24"/>
          <w:szCs w:val="24"/>
        </w:rPr>
        <w:t xml:space="preserve"> Төсөл хөтөлбөрүүдийг хөгжлийн үнэт цаас арилжаалан санхүүжүүлэх, санхүүжилтийн хэрэгцээг дотоод бонд арилжаалан санхүүжүүлэх.</w:t>
      </w:r>
    </w:p>
    <w:p w14:paraId="68E01BB9" w14:textId="77777777" w:rsidR="000B6A0A" w:rsidRPr="0046672D" w:rsidRDefault="000B6A0A" w:rsidP="000B6A0A">
      <w:pPr>
        <w:pStyle w:val="NoSpacing"/>
        <w:spacing w:after="0" w:line="240" w:lineRule="auto"/>
        <w:rPr>
          <w:rFonts w:ascii="Arial" w:hAnsi="Arial" w:cs="Arial"/>
          <w:i/>
          <w:sz w:val="20"/>
          <w:szCs w:val="20"/>
        </w:rPr>
        <w:sectPr w:rsidR="000B6A0A" w:rsidRPr="0046672D" w:rsidSect="00F23FCB">
          <w:type w:val="continuous"/>
          <w:pgSz w:w="11906" w:h="16838" w:code="9"/>
          <w:pgMar w:top="1134" w:right="851" w:bottom="851" w:left="1247" w:header="720" w:footer="720" w:gutter="0"/>
          <w:cols w:space="720"/>
          <w:titlePg/>
          <w:docGrid w:linePitch="360"/>
        </w:sectPr>
      </w:pPr>
      <w:r w:rsidRPr="0046672D">
        <w:rPr>
          <w:rFonts w:ascii="Arial" w:hAnsi="Arial" w:cs="Arial"/>
          <w:i/>
          <w:sz w:val="20"/>
          <w:szCs w:val="20"/>
        </w:rPr>
        <w:tab/>
        <w:t>Хүснэгт № 11: Засгийн газрын өрийн дунд хугацааны зардал, эрсдэлийн үзүүлэлтүүд</w:t>
      </w:r>
    </w:p>
    <w:tbl>
      <w:tblPr>
        <w:tblW w:w="9798" w:type="dxa"/>
        <w:tblLook w:val="04A0" w:firstRow="1" w:lastRow="0" w:firstColumn="1" w:lastColumn="0" w:noHBand="0" w:noVBand="1"/>
      </w:tblPr>
      <w:tblGrid>
        <w:gridCol w:w="1554"/>
        <w:gridCol w:w="3617"/>
        <w:gridCol w:w="1190"/>
        <w:gridCol w:w="837"/>
        <w:gridCol w:w="837"/>
        <w:gridCol w:w="837"/>
        <w:gridCol w:w="926"/>
      </w:tblGrid>
      <w:tr w:rsidR="000B6A0A" w:rsidRPr="0046672D" w14:paraId="28E597CB" w14:textId="77777777" w:rsidTr="00F51A8E">
        <w:trPr>
          <w:trHeight w:val="185"/>
        </w:trPr>
        <w:tc>
          <w:tcPr>
            <w:tcW w:w="5171"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7894747A"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lastRenderedPageBreak/>
              <w:t>Эрсдэлийн индикатор</w:t>
            </w:r>
          </w:p>
        </w:tc>
        <w:tc>
          <w:tcPr>
            <w:tcW w:w="1190" w:type="dxa"/>
            <w:tcBorders>
              <w:top w:val="single" w:sz="4" w:space="0" w:color="auto"/>
              <w:left w:val="nil"/>
              <w:bottom w:val="single" w:sz="4" w:space="0" w:color="auto"/>
              <w:right w:val="single" w:sz="4" w:space="0" w:color="auto"/>
            </w:tcBorders>
            <w:shd w:val="clear" w:color="000000" w:fill="305496"/>
            <w:noWrap/>
            <w:vAlign w:val="center"/>
            <w:hideMark/>
          </w:tcPr>
          <w:p w14:paraId="72455837" w14:textId="77777777" w:rsidR="000B6A0A" w:rsidRPr="0046672D" w:rsidRDefault="000B6A0A" w:rsidP="00F51A8E">
            <w:pPr>
              <w:spacing w:after="0" w:line="240" w:lineRule="auto"/>
              <w:jc w:val="center"/>
              <w:rPr>
                <w:rFonts w:ascii="Arial" w:eastAsia="Times New Roman" w:hAnsi="Arial" w:cs="Arial"/>
                <w:color w:val="FFFFFF" w:themeColor="background1"/>
                <w:sz w:val="18"/>
                <w:szCs w:val="24"/>
                <w:lang w:val="mn-MN"/>
              </w:rPr>
            </w:pPr>
            <w:r w:rsidRPr="0046672D">
              <w:rPr>
                <w:rFonts w:ascii="Arial" w:eastAsia="Times New Roman" w:hAnsi="Arial" w:cs="Arial"/>
                <w:color w:val="FFFFFF" w:themeColor="background1"/>
                <w:sz w:val="18"/>
                <w:szCs w:val="24"/>
                <w:lang w:val="mn-MN"/>
              </w:rPr>
              <w:t>2021</w:t>
            </w:r>
          </w:p>
        </w:tc>
        <w:tc>
          <w:tcPr>
            <w:tcW w:w="3437" w:type="dxa"/>
            <w:gridSpan w:val="4"/>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9562566" w14:textId="77777777" w:rsidR="000B6A0A" w:rsidRPr="0046672D" w:rsidRDefault="000B6A0A" w:rsidP="00F51A8E">
            <w:pPr>
              <w:spacing w:after="0" w:line="240" w:lineRule="auto"/>
              <w:jc w:val="center"/>
              <w:rPr>
                <w:rFonts w:ascii="Arial" w:eastAsia="Times New Roman" w:hAnsi="Arial" w:cs="Arial"/>
                <w:color w:val="FFFFFF" w:themeColor="background1"/>
                <w:sz w:val="18"/>
                <w:szCs w:val="24"/>
                <w:lang w:val="mn-MN"/>
              </w:rPr>
            </w:pPr>
            <w:r w:rsidRPr="0046672D">
              <w:rPr>
                <w:rFonts w:ascii="Arial" w:eastAsia="Times New Roman" w:hAnsi="Arial" w:cs="Arial"/>
                <w:color w:val="FFFFFF" w:themeColor="background1"/>
                <w:sz w:val="18"/>
                <w:szCs w:val="24"/>
                <w:lang w:val="mn-MN"/>
              </w:rPr>
              <w:t>2025</w:t>
            </w:r>
          </w:p>
        </w:tc>
      </w:tr>
      <w:tr w:rsidR="000B6A0A" w:rsidRPr="0046672D" w14:paraId="6C181A31" w14:textId="77777777" w:rsidTr="00F51A8E">
        <w:trPr>
          <w:trHeight w:val="185"/>
        </w:trPr>
        <w:tc>
          <w:tcPr>
            <w:tcW w:w="5171" w:type="dxa"/>
            <w:gridSpan w:val="2"/>
            <w:vMerge/>
            <w:tcBorders>
              <w:top w:val="single" w:sz="4" w:space="0" w:color="auto"/>
              <w:left w:val="single" w:sz="4" w:space="0" w:color="auto"/>
              <w:bottom w:val="single" w:sz="4" w:space="0" w:color="000000"/>
              <w:right w:val="single" w:sz="4" w:space="0" w:color="000000"/>
            </w:tcBorders>
            <w:vAlign w:val="center"/>
            <w:hideMark/>
          </w:tcPr>
          <w:p w14:paraId="0AFD0324" w14:textId="77777777" w:rsidR="000B6A0A" w:rsidRPr="0046672D" w:rsidRDefault="000B6A0A" w:rsidP="00F51A8E">
            <w:pPr>
              <w:spacing w:after="0" w:line="240" w:lineRule="auto"/>
              <w:rPr>
                <w:rFonts w:ascii="Arial" w:eastAsia="Times New Roman" w:hAnsi="Arial" w:cs="Arial"/>
                <w:sz w:val="18"/>
                <w:szCs w:val="24"/>
                <w:lang w:val="mn-MN"/>
              </w:rPr>
            </w:pPr>
          </w:p>
        </w:tc>
        <w:tc>
          <w:tcPr>
            <w:tcW w:w="1190" w:type="dxa"/>
            <w:tcBorders>
              <w:top w:val="nil"/>
              <w:left w:val="nil"/>
              <w:bottom w:val="single" w:sz="4" w:space="0" w:color="auto"/>
              <w:right w:val="single" w:sz="4" w:space="0" w:color="auto"/>
            </w:tcBorders>
            <w:shd w:val="clear" w:color="000000" w:fill="D9D9D9"/>
            <w:noWrap/>
            <w:vAlign w:val="bottom"/>
            <w:hideMark/>
          </w:tcPr>
          <w:p w14:paraId="276E3EFE"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Суурь</w:t>
            </w:r>
          </w:p>
        </w:tc>
        <w:tc>
          <w:tcPr>
            <w:tcW w:w="837" w:type="dxa"/>
            <w:tcBorders>
              <w:top w:val="nil"/>
              <w:left w:val="nil"/>
              <w:bottom w:val="single" w:sz="4" w:space="0" w:color="auto"/>
              <w:right w:val="single" w:sz="4" w:space="0" w:color="auto"/>
            </w:tcBorders>
            <w:shd w:val="clear" w:color="000000" w:fill="D9D9D9"/>
            <w:noWrap/>
            <w:vAlign w:val="bottom"/>
            <w:hideMark/>
          </w:tcPr>
          <w:p w14:paraId="4B73519E"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S1</w:t>
            </w:r>
          </w:p>
        </w:tc>
        <w:tc>
          <w:tcPr>
            <w:tcW w:w="837" w:type="dxa"/>
            <w:tcBorders>
              <w:top w:val="nil"/>
              <w:left w:val="nil"/>
              <w:bottom w:val="single" w:sz="4" w:space="0" w:color="auto"/>
              <w:right w:val="single" w:sz="4" w:space="0" w:color="auto"/>
            </w:tcBorders>
            <w:shd w:val="clear" w:color="000000" w:fill="D9D9D9"/>
            <w:noWrap/>
            <w:vAlign w:val="bottom"/>
            <w:hideMark/>
          </w:tcPr>
          <w:p w14:paraId="220EEED8"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S2</w:t>
            </w:r>
          </w:p>
        </w:tc>
        <w:tc>
          <w:tcPr>
            <w:tcW w:w="837" w:type="dxa"/>
            <w:tcBorders>
              <w:top w:val="nil"/>
              <w:left w:val="nil"/>
              <w:bottom w:val="single" w:sz="4" w:space="0" w:color="auto"/>
              <w:right w:val="single" w:sz="4" w:space="0" w:color="auto"/>
            </w:tcBorders>
            <w:shd w:val="clear" w:color="000000" w:fill="D9D9D9"/>
            <w:noWrap/>
            <w:vAlign w:val="bottom"/>
            <w:hideMark/>
          </w:tcPr>
          <w:p w14:paraId="31EDA325"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S3</w:t>
            </w:r>
          </w:p>
        </w:tc>
        <w:tc>
          <w:tcPr>
            <w:tcW w:w="926" w:type="dxa"/>
            <w:tcBorders>
              <w:top w:val="nil"/>
              <w:left w:val="nil"/>
              <w:bottom w:val="single" w:sz="4" w:space="0" w:color="auto"/>
              <w:right w:val="single" w:sz="4" w:space="0" w:color="auto"/>
            </w:tcBorders>
            <w:shd w:val="clear" w:color="000000" w:fill="D9D9D9"/>
            <w:noWrap/>
            <w:vAlign w:val="bottom"/>
            <w:hideMark/>
          </w:tcPr>
          <w:p w14:paraId="049891A5"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S4</w:t>
            </w:r>
          </w:p>
        </w:tc>
      </w:tr>
      <w:tr w:rsidR="000B6A0A" w:rsidRPr="0046672D" w14:paraId="1F164BAE" w14:textId="77777777" w:rsidTr="00F51A8E">
        <w:trPr>
          <w:trHeight w:val="185"/>
        </w:trPr>
        <w:tc>
          <w:tcPr>
            <w:tcW w:w="517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73B1ACEE"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ДНБ-д эзлэх ЗГ-ын өр нэрлэсэн дүнгээр</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02440C4B"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62.6</w:t>
            </w:r>
          </w:p>
        </w:tc>
        <w:tc>
          <w:tcPr>
            <w:tcW w:w="837" w:type="dxa"/>
            <w:tcBorders>
              <w:top w:val="nil"/>
              <w:left w:val="nil"/>
              <w:bottom w:val="single" w:sz="4" w:space="0" w:color="auto"/>
              <w:right w:val="single" w:sz="4" w:space="0" w:color="auto"/>
            </w:tcBorders>
            <w:shd w:val="clear" w:color="auto" w:fill="auto"/>
            <w:noWrap/>
            <w:vAlign w:val="bottom"/>
          </w:tcPr>
          <w:p w14:paraId="0798470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61.7</w:t>
            </w:r>
          </w:p>
        </w:tc>
        <w:tc>
          <w:tcPr>
            <w:tcW w:w="837" w:type="dxa"/>
            <w:tcBorders>
              <w:top w:val="nil"/>
              <w:left w:val="nil"/>
              <w:bottom w:val="single" w:sz="4" w:space="0" w:color="auto"/>
              <w:right w:val="single" w:sz="4" w:space="0" w:color="auto"/>
            </w:tcBorders>
            <w:shd w:val="clear" w:color="auto" w:fill="auto"/>
            <w:noWrap/>
            <w:vAlign w:val="bottom"/>
          </w:tcPr>
          <w:p w14:paraId="77E9B0B5"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69.0</w:t>
            </w:r>
          </w:p>
        </w:tc>
        <w:tc>
          <w:tcPr>
            <w:tcW w:w="837" w:type="dxa"/>
            <w:tcBorders>
              <w:top w:val="nil"/>
              <w:left w:val="nil"/>
              <w:bottom w:val="single" w:sz="4" w:space="0" w:color="auto"/>
              <w:right w:val="single" w:sz="4" w:space="0" w:color="auto"/>
            </w:tcBorders>
            <w:shd w:val="clear" w:color="auto" w:fill="auto"/>
            <w:noWrap/>
            <w:vAlign w:val="bottom"/>
          </w:tcPr>
          <w:p w14:paraId="5B2D066E"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65.6</w:t>
            </w:r>
          </w:p>
        </w:tc>
        <w:tc>
          <w:tcPr>
            <w:tcW w:w="926" w:type="dxa"/>
            <w:tcBorders>
              <w:top w:val="nil"/>
              <w:left w:val="nil"/>
              <w:bottom w:val="single" w:sz="4" w:space="0" w:color="auto"/>
              <w:right w:val="single" w:sz="4" w:space="0" w:color="auto"/>
            </w:tcBorders>
            <w:shd w:val="clear" w:color="auto" w:fill="auto"/>
            <w:noWrap/>
            <w:vAlign w:val="bottom"/>
          </w:tcPr>
          <w:p w14:paraId="695C903C"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62.0</w:t>
            </w:r>
          </w:p>
        </w:tc>
      </w:tr>
      <w:tr w:rsidR="000B6A0A" w:rsidRPr="0046672D" w14:paraId="31F382A9" w14:textId="77777777" w:rsidTr="00F51A8E">
        <w:trPr>
          <w:trHeight w:val="185"/>
        </w:trPr>
        <w:tc>
          <w:tcPr>
            <w:tcW w:w="5171"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5620BAF"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ДНБ-д эзлэх ЗГ-ын өр өнөөгийн үнэ цэнээр</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0D66F844"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50.7</w:t>
            </w:r>
          </w:p>
        </w:tc>
        <w:tc>
          <w:tcPr>
            <w:tcW w:w="837" w:type="dxa"/>
            <w:tcBorders>
              <w:top w:val="nil"/>
              <w:left w:val="nil"/>
              <w:bottom w:val="single" w:sz="4" w:space="0" w:color="auto"/>
              <w:right w:val="single" w:sz="4" w:space="0" w:color="auto"/>
            </w:tcBorders>
            <w:shd w:val="clear" w:color="auto" w:fill="auto"/>
            <w:noWrap/>
            <w:vAlign w:val="bottom"/>
          </w:tcPr>
          <w:p w14:paraId="424F0B51"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54.1</w:t>
            </w:r>
          </w:p>
        </w:tc>
        <w:tc>
          <w:tcPr>
            <w:tcW w:w="837" w:type="dxa"/>
            <w:tcBorders>
              <w:top w:val="nil"/>
              <w:left w:val="nil"/>
              <w:bottom w:val="single" w:sz="4" w:space="0" w:color="auto"/>
              <w:right w:val="single" w:sz="4" w:space="0" w:color="auto"/>
            </w:tcBorders>
            <w:shd w:val="clear" w:color="auto" w:fill="auto"/>
            <w:noWrap/>
            <w:vAlign w:val="bottom"/>
          </w:tcPr>
          <w:p w14:paraId="6D71E842"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60.6</w:t>
            </w:r>
          </w:p>
        </w:tc>
        <w:tc>
          <w:tcPr>
            <w:tcW w:w="837" w:type="dxa"/>
            <w:tcBorders>
              <w:top w:val="nil"/>
              <w:left w:val="nil"/>
              <w:bottom w:val="single" w:sz="4" w:space="0" w:color="auto"/>
              <w:right w:val="single" w:sz="4" w:space="0" w:color="auto"/>
            </w:tcBorders>
            <w:shd w:val="clear" w:color="auto" w:fill="auto"/>
            <w:noWrap/>
            <w:vAlign w:val="bottom"/>
          </w:tcPr>
          <w:p w14:paraId="45E810E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58.4</w:t>
            </w:r>
          </w:p>
        </w:tc>
        <w:tc>
          <w:tcPr>
            <w:tcW w:w="926" w:type="dxa"/>
            <w:tcBorders>
              <w:top w:val="nil"/>
              <w:left w:val="nil"/>
              <w:bottom w:val="single" w:sz="4" w:space="0" w:color="auto"/>
              <w:right w:val="single" w:sz="4" w:space="0" w:color="auto"/>
            </w:tcBorders>
            <w:shd w:val="clear" w:color="auto" w:fill="auto"/>
            <w:noWrap/>
            <w:vAlign w:val="bottom"/>
          </w:tcPr>
          <w:p w14:paraId="72DD618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55.3</w:t>
            </w:r>
          </w:p>
        </w:tc>
      </w:tr>
      <w:tr w:rsidR="000B6A0A" w:rsidRPr="0046672D" w14:paraId="0330E059" w14:textId="77777777" w:rsidTr="00F51A8E">
        <w:trPr>
          <w:trHeight w:val="185"/>
        </w:trPr>
        <w:tc>
          <w:tcPr>
            <w:tcW w:w="5171" w:type="dxa"/>
            <w:gridSpan w:val="2"/>
            <w:tcBorders>
              <w:top w:val="single" w:sz="4" w:space="0" w:color="auto"/>
              <w:left w:val="single" w:sz="4" w:space="0" w:color="auto"/>
              <w:bottom w:val="nil"/>
              <w:right w:val="nil"/>
            </w:tcBorders>
            <w:shd w:val="clear" w:color="000000" w:fill="FFFFFF"/>
            <w:noWrap/>
            <w:vAlign w:val="bottom"/>
            <w:hideMark/>
          </w:tcPr>
          <w:p w14:paraId="65E868BB"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Хүүгийн төлбөрийн ДНБ-нд эзлэх хувь</w:t>
            </w:r>
          </w:p>
        </w:tc>
        <w:tc>
          <w:tcPr>
            <w:tcW w:w="1190" w:type="dxa"/>
            <w:tcBorders>
              <w:top w:val="nil"/>
              <w:left w:val="single" w:sz="4" w:space="0" w:color="auto"/>
              <w:bottom w:val="nil"/>
              <w:right w:val="single" w:sz="4" w:space="0" w:color="auto"/>
            </w:tcBorders>
            <w:shd w:val="clear" w:color="auto" w:fill="auto"/>
            <w:noWrap/>
            <w:vAlign w:val="bottom"/>
          </w:tcPr>
          <w:p w14:paraId="2006B7E2"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1.8</w:t>
            </w:r>
          </w:p>
        </w:tc>
        <w:tc>
          <w:tcPr>
            <w:tcW w:w="837" w:type="dxa"/>
            <w:tcBorders>
              <w:top w:val="nil"/>
              <w:left w:val="nil"/>
              <w:bottom w:val="nil"/>
              <w:right w:val="single" w:sz="4" w:space="0" w:color="auto"/>
            </w:tcBorders>
            <w:shd w:val="clear" w:color="auto" w:fill="auto"/>
            <w:noWrap/>
            <w:vAlign w:val="bottom"/>
          </w:tcPr>
          <w:p w14:paraId="3CC92CCC"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2.4</w:t>
            </w:r>
          </w:p>
        </w:tc>
        <w:tc>
          <w:tcPr>
            <w:tcW w:w="837" w:type="dxa"/>
            <w:tcBorders>
              <w:top w:val="nil"/>
              <w:left w:val="nil"/>
              <w:bottom w:val="nil"/>
              <w:right w:val="single" w:sz="4" w:space="0" w:color="auto"/>
            </w:tcBorders>
            <w:shd w:val="clear" w:color="auto" w:fill="auto"/>
            <w:noWrap/>
            <w:vAlign w:val="bottom"/>
          </w:tcPr>
          <w:p w14:paraId="0CC863D5"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2.5</w:t>
            </w:r>
          </w:p>
        </w:tc>
        <w:tc>
          <w:tcPr>
            <w:tcW w:w="837" w:type="dxa"/>
            <w:tcBorders>
              <w:top w:val="nil"/>
              <w:left w:val="nil"/>
              <w:bottom w:val="nil"/>
              <w:right w:val="single" w:sz="4" w:space="0" w:color="auto"/>
            </w:tcBorders>
            <w:shd w:val="clear" w:color="auto" w:fill="auto"/>
            <w:noWrap/>
            <w:vAlign w:val="bottom"/>
          </w:tcPr>
          <w:p w14:paraId="7EAA8E0F"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2.8</w:t>
            </w:r>
          </w:p>
        </w:tc>
        <w:tc>
          <w:tcPr>
            <w:tcW w:w="926" w:type="dxa"/>
            <w:tcBorders>
              <w:top w:val="nil"/>
              <w:left w:val="nil"/>
              <w:bottom w:val="nil"/>
              <w:right w:val="single" w:sz="4" w:space="0" w:color="auto"/>
            </w:tcBorders>
            <w:shd w:val="clear" w:color="auto" w:fill="auto"/>
            <w:noWrap/>
            <w:vAlign w:val="bottom"/>
          </w:tcPr>
          <w:p w14:paraId="7018D1AD"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2.9</w:t>
            </w:r>
          </w:p>
        </w:tc>
      </w:tr>
      <w:tr w:rsidR="000B6A0A" w:rsidRPr="0046672D" w14:paraId="07CC89C5" w14:textId="77777777" w:rsidTr="00F51A8E">
        <w:trPr>
          <w:trHeight w:val="195"/>
        </w:trPr>
        <w:tc>
          <w:tcPr>
            <w:tcW w:w="5171" w:type="dxa"/>
            <w:gridSpan w:val="2"/>
            <w:tcBorders>
              <w:top w:val="single" w:sz="4" w:space="0" w:color="auto"/>
              <w:left w:val="single" w:sz="4" w:space="0" w:color="auto"/>
              <w:bottom w:val="double" w:sz="6" w:space="0" w:color="auto"/>
              <w:right w:val="nil"/>
            </w:tcBorders>
            <w:shd w:val="clear" w:color="000000" w:fill="FFFFFF"/>
            <w:noWrap/>
            <w:vAlign w:val="bottom"/>
            <w:hideMark/>
          </w:tcPr>
          <w:p w14:paraId="051B6B9C"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Жигнэсэн дундаж хүү (хувь)</w:t>
            </w:r>
          </w:p>
        </w:tc>
        <w:tc>
          <w:tcPr>
            <w:tcW w:w="1190" w:type="dxa"/>
            <w:tcBorders>
              <w:top w:val="single" w:sz="4" w:space="0" w:color="auto"/>
              <w:left w:val="single" w:sz="4" w:space="0" w:color="auto"/>
              <w:bottom w:val="double" w:sz="6" w:space="0" w:color="auto"/>
              <w:right w:val="single" w:sz="4" w:space="0" w:color="auto"/>
            </w:tcBorders>
            <w:shd w:val="clear" w:color="auto" w:fill="auto"/>
            <w:noWrap/>
            <w:vAlign w:val="bottom"/>
          </w:tcPr>
          <w:p w14:paraId="07FBF8C6"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3.0</w:t>
            </w:r>
          </w:p>
        </w:tc>
        <w:tc>
          <w:tcPr>
            <w:tcW w:w="837" w:type="dxa"/>
            <w:tcBorders>
              <w:top w:val="single" w:sz="4" w:space="0" w:color="auto"/>
              <w:left w:val="nil"/>
              <w:bottom w:val="nil"/>
              <w:right w:val="single" w:sz="4" w:space="0" w:color="auto"/>
            </w:tcBorders>
            <w:shd w:val="clear" w:color="auto" w:fill="auto"/>
            <w:noWrap/>
            <w:vAlign w:val="bottom"/>
          </w:tcPr>
          <w:p w14:paraId="688377C5"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4.7</w:t>
            </w:r>
          </w:p>
        </w:tc>
        <w:tc>
          <w:tcPr>
            <w:tcW w:w="837" w:type="dxa"/>
            <w:tcBorders>
              <w:top w:val="single" w:sz="4" w:space="0" w:color="auto"/>
              <w:left w:val="nil"/>
              <w:bottom w:val="nil"/>
              <w:right w:val="single" w:sz="4" w:space="0" w:color="auto"/>
            </w:tcBorders>
            <w:shd w:val="clear" w:color="auto" w:fill="auto"/>
            <w:noWrap/>
            <w:vAlign w:val="bottom"/>
          </w:tcPr>
          <w:p w14:paraId="1696A5D3"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4.5</w:t>
            </w:r>
          </w:p>
        </w:tc>
        <w:tc>
          <w:tcPr>
            <w:tcW w:w="837" w:type="dxa"/>
            <w:tcBorders>
              <w:top w:val="single" w:sz="4" w:space="0" w:color="auto"/>
              <w:left w:val="nil"/>
              <w:bottom w:val="nil"/>
              <w:right w:val="single" w:sz="4" w:space="0" w:color="auto"/>
            </w:tcBorders>
            <w:shd w:val="clear" w:color="auto" w:fill="auto"/>
            <w:noWrap/>
            <w:vAlign w:val="bottom"/>
          </w:tcPr>
          <w:p w14:paraId="2C6459C2"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5.1</w:t>
            </w:r>
          </w:p>
        </w:tc>
        <w:tc>
          <w:tcPr>
            <w:tcW w:w="926" w:type="dxa"/>
            <w:tcBorders>
              <w:top w:val="single" w:sz="4" w:space="0" w:color="auto"/>
              <w:left w:val="nil"/>
              <w:bottom w:val="nil"/>
              <w:right w:val="single" w:sz="4" w:space="0" w:color="auto"/>
            </w:tcBorders>
            <w:shd w:val="clear" w:color="auto" w:fill="auto"/>
            <w:noWrap/>
            <w:vAlign w:val="bottom"/>
          </w:tcPr>
          <w:p w14:paraId="20D4339B"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5.7</w:t>
            </w:r>
          </w:p>
        </w:tc>
      </w:tr>
      <w:tr w:rsidR="000B6A0A" w:rsidRPr="0046672D" w14:paraId="56BB6F7F" w14:textId="77777777" w:rsidTr="00F51A8E">
        <w:trPr>
          <w:trHeight w:val="195"/>
        </w:trPr>
        <w:tc>
          <w:tcPr>
            <w:tcW w:w="1554" w:type="dxa"/>
            <w:vMerge w:val="restart"/>
            <w:tcBorders>
              <w:top w:val="nil"/>
              <w:left w:val="single" w:sz="4" w:space="0" w:color="auto"/>
              <w:bottom w:val="double" w:sz="6" w:space="0" w:color="000000"/>
              <w:right w:val="single" w:sz="4" w:space="0" w:color="auto"/>
            </w:tcBorders>
            <w:shd w:val="clear" w:color="000000" w:fill="FFFFFF"/>
            <w:vAlign w:val="center"/>
            <w:hideMark/>
          </w:tcPr>
          <w:p w14:paraId="4CCDF07B"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Дахин санхүүжилтийн эрсдэл</w:t>
            </w:r>
          </w:p>
        </w:tc>
        <w:tc>
          <w:tcPr>
            <w:tcW w:w="3617" w:type="dxa"/>
            <w:tcBorders>
              <w:top w:val="nil"/>
              <w:left w:val="nil"/>
              <w:bottom w:val="single" w:sz="4" w:space="0" w:color="auto"/>
              <w:right w:val="nil"/>
            </w:tcBorders>
            <w:shd w:val="clear" w:color="000000" w:fill="FFFFFF"/>
            <w:noWrap/>
            <w:vAlign w:val="bottom"/>
          </w:tcPr>
          <w:p w14:paraId="138F7514"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Богино хугацаанд төлөгдөх өр /Нийт өрд эздэх хувь/</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018B444E"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4.9</w:t>
            </w:r>
          </w:p>
        </w:tc>
        <w:tc>
          <w:tcPr>
            <w:tcW w:w="837" w:type="dxa"/>
            <w:tcBorders>
              <w:top w:val="double" w:sz="6" w:space="0" w:color="auto"/>
              <w:left w:val="nil"/>
              <w:bottom w:val="single" w:sz="4" w:space="0" w:color="auto"/>
              <w:right w:val="single" w:sz="4" w:space="0" w:color="auto"/>
            </w:tcBorders>
            <w:shd w:val="clear" w:color="auto" w:fill="auto"/>
            <w:noWrap/>
            <w:vAlign w:val="bottom"/>
          </w:tcPr>
          <w:p w14:paraId="56C8151D"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13.5</w:t>
            </w:r>
          </w:p>
        </w:tc>
        <w:tc>
          <w:tcPr>
            <w:tcW w:w="837" w:type="dxa"/>
            <w:tcBorders>
              <w:top w:val="double" w:sz="6" w:space="0" w:color="auto"/>
              <w:left w:val="nil"/>
              <w:bottom w:val="single" w:sz="4" w:space="0" w:color="auto"/>
              <w:right w:val="single" w:sz="4" w:space="0" w:color="auto"/>
            </w:tcBorders>
            <w:shd w:val="clear" w:color="auto" w:fill="auto"/>
            <w:noWrap/>
            <w:vAlign w:val="bottom"/>
          </w:tcPr>
          <w:p w14:paraId="54DEDCE4"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11.8</w:t>
            </w:r>
          </w:p>
        </w:tc>
        <w:tc>
          <w:tcPr>
            <w:tcW w:w="837" w:type="dxa"/>
            <w:tcBorders>
              <w:top w:val="double" w:sz="6" w:space="0" w:color="auto"/>
              <w:left w:val="nil"/>
              <w:bottom w:val="single" w:sz="4" w:space="0" w:color="auto"/>
              <w:right w:val="single" w:sz="4" w:space="0" w:color="auto"/>
            </w:tcBorders>
            <w:shd w:val="clear" w:color="auto" w:fill="auto"/>
            <w:noWrap/>
            <w:vAlign w:val="bottom"/>
          </w:tcPr>
          <w:p w14:paraId="04CCF697"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14.1</w:t>
            </w:r>
          </w:p>
        </w:tc>
        <w:tc>
          <w:tcPr>
            <w:tcW w:w="926" w:type="dxa"/>
            <w:tcBorders>
              <w:top w:val="double" w:sz="6" w:space="0" w:color="auto"/>
              <w:left w:val="nil"/>
              <w:bottom w:val="single" w:sz="4" w:space="0" w:color="auto"/>
              <w:right w:val="single" w:sz="4" w:space="0" w:color="auto"/>
            </w:tcBorders>
            <w:shd w:val="clear" w:color="auto" w:fill="auto"/>
            <w:noWrap/>
            <w:vAlign w:val="bottom"/>
          </w:tcPr>
          <w:p w14:paraId="461CB793"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14.2</w:t>
            </w:r>
          </w:p>
        </w:tc>
      </w:tr>
      <w:tr w:rsidR="000B6A0A" w:rsidRPr="0046672D" w14:paraId="0C7EFA6D" w14:textId="77777777" w:rsidTr="00F51A8E">
        <w:trPr>
          <w:trHeight w:val="185"/>
        </w:trPr>
        <w:tc>
          <w:tcPr>
            <w:tcW w:w="1554" w:type="dxa"/>
            <w:vMerge/>
            <w:tcBorders>
              <w:top w:val="nil"/>
              <w:left w:val="single" w:sz="4" w:space="0" w:color="auto"/>
              <w:bottom w:val="double" w:sz="6" w:space="0" w:color="000000"/>
              <w:right w:val="single" w:sz="4" w:space="0" w:color="auto"/>
            </w:tcBorders>
            <w:vAlign w:val="center"/>
            <w:hideMark/>
          </w:tcPr>
          <w:p w14:paraId="6FB146F5" w14:textId="77777777" w:rsidR="000B6A0A" w:rsidRPr="0046672D" w:rsidRDefault="000B6A0A" w:rsidP="00F51A8E">
            <w:pPr>
              <w:spacing w:after="0" w:line="240" w:lineRule="auto"/>
              <w:rPr>
                <w:rFonts w:ascii="Arial" w:eastAsia="Times New Roman" w:hAnsi="Arial" w:cs="Arial"/>
                <w:sz w:val="18"/>
                <w:szCs w:val="24"/>
                <w:lang w:val="mn-MN"/>
              </w:rPr>
            </w:pPr>
          </w:p>
        </w:tc>
        <w:tc>
          <w:tcPr>
            <w:tcW w:w="3617" w:type="dxa"/>
            <w:tcBorders>
              <w:top w:val="nil"/>
              <w:left w:val="nil"/>
              <w:bottom w:val="single" w:sz="4" w:space="0" w:color="auto"/>
              <w:right w:val="nil"/>
            </w:tcBorders>
            <w:shd w:val="clear" w:color="000000" w:fill="FFFFFF"/>
            <w:noWrap/>
            <w:vAlign w:val="bottom"/>
          </w:tcPr>
          <w:p w14:paraId="7EFC0D73"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Богино хугацаанд төлөгдөх өр /ДНБ-д эзлэх хувь/</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269CFD13"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4.0</w:t>
            </w:r>
          </w:p>
        </w:tc>
        <w:tc>
          <w:tcPr>
            <w:tcW w:w="837" w:type="dxa"/>
            <w:tcBorders>
              <w:top w:val="nil"/>
              <w:left w:val="nil"/>
              <w:bottom w:val="single" w:sz="4" w:space="0" w:color="auto"/>
              <w:right w:val="single" w:sz="4" w:space="0" w:color="auto"/>
            </w:tcBorders>
            <w:shd w:val="clear" w:color="auto" w:fill="auto"/>
            <w:noWrap/>
            <w:vAlign w:val="bottom"/>
          </w:tcPr>
          <w:p w14:paraId="6FA584F6"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8.3</w:t>
            </w:r>
          </w:p>
        </w:tc>
        <w:tc>
          <w:tcPr>
            <w:tcW w:w="837" w:type="dxa"/>
            <w:tcBorders>
              <w:top w:val="nil"/>
              <w:left w:val="nil"/>
              <w:bottom w:val="single" w:sz="4" w:space="0" w:color="auto"/>
              <w:right w:val="single" w:sz="4" w:space="0" w:color="auto"/>
            </w:tcBorders>
            <w:shd w:val="clear" w:color="auto" w:fill="auto"/>
            <w:noWrap/>
            <w:vAlign w:val="bottom"/>
          </w:tcPr>
          <w:p w14:paraId="3BEAC103"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8.2</w:t>
            </w:r>
          </w:p>
        </w:tc>
        <w:tc>
          <w:tcPr>
            <w:tcW w:w="837" w:type="dxa"/>
            <w:tcBorders>
              <w:top w:val="nil"/>
              <w:left w:val="nil"/>
              <w:bottom w:val="single" w:sz="4" w:space="0" w:color="auto"/>
              <w:right w:val="single" w:sz="4" w:space="0" w:color="auto"/>
            </w:tcBorders>
            <w:shd w:val="clear" w:color="auto" w:fill="auto"/>
            <w:noWrap/>
            <w:vAlign w:val="bottom"/>
          </w:tcPr>
          <w:p w14:paraId="37FB5C71"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9.2</w:t>
            </w:r>
          </w:p>
        </w:tc>
        <w:tc>
          <w:tcPr>
            <w:tcW w:w="926" w:type="dxa"/>
            <w:tcBorders>
              <w:top w:val="nil"/>
              <w:left w:val="nil"/>
              <w:bottom w:val="single" w:sz="4" w:space="0" w:color="auto"/>
              <w:right w:val="single" w:sz="4" w:space="0" w:color="auto"/>
            </w:tcBorders>
            <w:shd w:val="clear" w:color="auto" w:fill="auto"/>
            <w:noWrap/>
            <w:vAlign w:val="bottom"/>
          </w:tcPr>
          <w:p w14:paraId="41163869"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8.8</w:t>
            </w:r>
          </w:p>
        </w:tc>
      </w:tr>
      <w:tr w:rsidR="000B6A0A" w:rsidRPr="0046672D" w14:paraId="37EA5541" w14:textId="77777777" w:rsidTr="00F51A8E">
        <w:trPr>
          <w:trHeight w:val="185"/>
        </w:trPr>
        <w:tc>
          <w:tcPr>
            <w:tcW w:w="1554" w:type="dxa"/>
            <w:vMerge/>
            <w:tcBorders>
              <w:top w:val="nil"/>
              <w:left w:val="single" w:sz="4" w:space="0" w:color="auto"/>
              <w:bottom w:val="double" w:sz="6" w:space="0" w:color="000000"/>
              <w:right w:val="single" w:sz="4" w:space="0" w:color="auto"/>
            </w:tcBorders>
            <w:vAlign w:val="center"/>
            <w:hideMark/>
          </w:tcPr>
          <w:p w14:paraId="7E59D8BF" w14:textId="77777777" w:rsidR="000B6A0A" w:rsidRPr="0046672D" w:rsidRDefault="000B6A0A" w:rsidP="00F51A8E">
            <w:pPr>
              <w:spacing w:after="0" w:line="240" w:lineRule="auto"/>
              <w:rPr>
                <w:rFonts w:ascii="Arial" w:eastAsia="Times New Roman" w:hAnsi="Arial" w:cs="Arial"/>
                <w:sz w:val="18"/>
                <w:szCs w:val="24"/>
                <w:lang w:val="mn-MN"/>
              </w:rPr>
            </w:pPr>
          </w:p>
        </w:tc>
        <w:tc>
          <w:tcPr>
            <w:tcW w:w="3617" w:type="dxa"/>
            <w:tcBorders>
              <w:top w:val="nil"/>
              <w:left w:val="nil"/>
              <w:bottom w:val="single" w:sz="4" w:space="0" w:color="auto"/>
              <w:right w:val="nil"/>
            </w:tcBorders>
            <w:shd w:val="clear" w:color="000000" w:fill="FFFFFF"/>
            <w:noWrap/>
            <w:vAlign w:val="bottom"/>
          </w:tcPr>
          <w:p w14:paraId="57DD1D95"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 xml:space="preserve"> Гадаад өрийн эргэн төлөгдөх дундаж хугацаа /жил/</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58C4C341"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8.6</w:t>
            </w:r>
          </w:p>
        </w:tc>
        <w:tc>
          <w:tcPr>
            <w:tcW w:w="837" w:type="dxa"/>
            <w:tcBorders>
              <w:top w:val="nil"/>
              <w:left w:val="nil"/>
              <w:bottom w:val="single" w:sz="4" w:space="0" w:color="auto"/>
              <w:right w:val="single" w:sz="4" w:space="0" w:color="auto"/>
            </w:tcBorders>
            <w:shd w:val="clear" w:color="auto" w:fill="auto"/>
            <w:noWrap/>
            <w:vAlign w:val="bottom"/>
          </w:tcPr>
          <w:p w14:paraId="0F83848F"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7.8</w:t>
            </w:r>
          </w:p>
        </w:tc>
        <w:tc>
          <w:tcPr>
            <w:tcW w:w="837" w:type="dxa"/>
            <w:tcBorders>
              <w:top w:val="nil"/>
              <w:left w:val="nil"/>
              <w:bottom w:val="single" w:sz="4" w:space="0" w:color="auto"/>
              <w:right w:val="single" w:sz="4" w:space="0" w:color="auto"/>
            </w:tcBorders>
            <w:shd w:val="clear" w:color="auto" w:fill="auto"/>
            <w:noWrap/>
            <w:vAlign w:val="bottom"/>
          </w:tcPr>
          <w:p w14:paraId="438123A9"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7.6</w:t>
            </w:r>
          </w:p>
        </w:tc>
        <w:tc>
          <w:tcPr>
            <w:tcW w:w="837" w:type="dxa"/>
            <w:tcBorders>
              <w:top w:val="nil"/>
              <w:left w:val="nil"/>
              <w:bottom w:val="single" w:sz="4" w:space="0" w:color="auto"/>
              <w:right w:val="single" w:sz="4" w:space="0" w:color="auto"/>
            </w:tcBorders>
            <w:shd w:val="clear" w:color="auto" w:fill="auto"/>
            <w:noWrap/>
            <w:vAlign w:val="bottom"/>
          </w:tcPr>
          <w:p w14:paraId="4C41EFB2"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7.4</w:t>
            </w:r>
          </w:p>
        </w:tc>
        <w:tc>
          <w:tcPr>
            <w:tcW w:w="926" w:type="dxa"/>
            <w:tcBorders>
              <w:top w:val="nil"/>
              <w:left w:val="nil"/>
              <w:bottom w:val="single" w:sz="4" w:space="0" w:color="auto"/>
              <w:right w:val="single" w:sz="4" w:space="0" w:color="auto"/>
            </w:tcBorders>
            <w:shd w:val="clear" w:color="auto" w:fill="auto"/>
            <w:noWrap/>
            <w:vAlign w:val="bottom"/>
          </w:tcPr>
          <w:p w14:paraId="18956FAF"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7.6</w:t>
            </w:r>
          </w:p>
        </w:tc>
      </w:tr>
      <w:tr w:rsidR="000B6A0A" w:rsidRPr="0046672D" w14:paraId="0B37ADCB" w14:textId="77777777" w:rsidTr="00F51A8E">
        <w:trPr>
          <w:trHeight w:val="185"/>
        </w:trPr>
        <w:tc>
          <w:tcPr>
            <w:tcW w:w="1554" w:type="dxa"/>
            <w:vMerge/>
            <w:tcBorders>
              <w:top w:val="nil"/>
              <w:left w:val="single" w:sz="4" w:space="0" w:color="auto"/>
              <w:bottom w:val="double" w:sz="6" w:space="0" w:color="000000"/>
              <w:right w:val="single" w:sz="4" w:space="0" w:color="auto"/>
            </w:tcBorders>
            <w:vAlign w:val="center"/>
            <w:hideMark/>
          </w:tcPr>
          <w:p w14:paraId="33D57FCC" w14:textId="77777777" w:rsidR="000B6A0A" w:rsidRPr="0046672D" w:rsidRDefault="000B6A0A" w:rsidP="00F51A8E">
            <w:pPr>
              <w:spacing w:after="0" w:line="240" w:lineRule="auto"/>
              <w:rPr>
                <w:rFonts w:ascii="Arial" w:eastAsia="Times New Roman" w:hAnsi="Arial" w:cs="Arial"/>
                <w:sz w:val="18"/>
                <w:szCs w:val="24"/>
                <w:lang w:val="mn-MN"/>
              </w:rPr>
            </w:pPr>
          </w:p>
        </w:tc>
        <w:tc>
          <w:tcPr>
            <w:tcW w:w="3617" w:type="dxa"/>
            <w:tcBorders>
              <w:top w:val="nil"/>
              <w:left w:val="nil"/>
              <w:bottom w:val="single" w:sz="4" w:space="0" w:color="auto"/>
              <w:right w:val="nil"/>
            </w:tcBorders>
            <w:shd w:val="clear" w:color="000000" w:fill="FFFFFF"/>
            <w:noWrap/>
            <w:vAlign w:val="bottom"/>
          </w:tcPr>
          <w:p w14:paraId="20947F24"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Дотоод өрийн эргэн төлөгдөх дундаж хугацаа /жил/</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7BDE4D3C"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3.2</w:t>
            </w:r>
          </w:p>
        </w:tc>
        <w:tc>
          <w:tcPr>
            <w:tcW w:w="837" w:type="dxa"/>
            <w:tcBorders>
              <w:top w:val="nil"/>
              <w:left w:val="nil"/>
              <w:bottom w:val="single" w:sz="4" w:space="0" w:color="auto"/>
              <w:right w:val="single" w:sz="4" w:space="0" w:color="auto"/>
            </w:tcBorders>
            <w:shd w:val="clear" w:color="auto" w:fill="auto"/>
            <w:noWrap/>
            <w:vAlign w:val="bottom"/>
          </w:tcPr>
          <w:p w14:paraId="1A45E9BD"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2.8</w:t>
            </w:r>
          </w:p>
        </w:tc>
        <w:tc>
          <w:tcPr>
            <w:tcW w:w="837" w:type="dxa"/>
            <w:tcBorders>
              <w:top w:val="nil"/>
              <w:left w:val="nil"/>
              <w:bottom w:val="single" w:sz="4" w:space="0" w:color="auto"/>
              <w:right w:val="single" w:sz="4" w:space="0" w:color="auto"/>
            </w:tcBorders>
            <w:shd w:val="clear" w:color="auto" w:fill="auto"/>
            <w:noWrap/>
            <w:vAlign w:val="bottom"/>
          </w:tcPr>
          <w:p w14:paraId="0724C3B7"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2.8</w:t>
            </w:r>
          </w:p>
        </w:tc>
        <w:tc>
          <w:tcPr>
            <w:tcW w:w="837" w:type="dxa"/>
            <w:tcBorders>
              <w:top w:val="nil"/>
              <w:left w:val="nil"/>
              <w:bottom w:val="single" w:sz="4" w:space="0" w:color="auto"/>
              <w:right w:val="single" w:sz="4" w:space="0" w:color="auto"/>
            </w:tcBorders>
            <w:shd w:val="clear" w:color="auto" w:fill="auto"/>
            <w:noWrap/>
            <w:vAlign w:val="bottom"/>
          </w:tcPr>
          <w:p w14:paraId="287504F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2.8</w:t>
            </w:r>
          </w:p>
        </w:tc>
        <w:tc>
          <w:tcPr>
            <w:tcW w:w="926" w:type="dxa"/>
            <w:tcBorders>
              <w:top w:val="nil"/>
              <w:left w:val="nil"/>
              <w:bottom w:val="single" w:sz="4" w:space="0" w:color="auto"/>
              <w:right w:val="single" w:sz="4" w:space="0" w:color="auto"/>
            </w:tcBorders>
            <w:shd w:val="clear" w:color="auto" w:fill="auto"/>
            <w:noWrap/>
            <w:vAlign w:val="bottom"/>
          </w:tcPr>
          <w:p w14:paraId="2C4C6E7E"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3.1</w:t>
            </w:r>
          </w:p>
        </w:tc>
      </w:tr>
      <w:tr w:rsidR="000B6A0A" w:rsidRPr="0046672D" w14:paraId="72CDAE49" w14:textId="77777777" w:rsidTr="00F51A8E">
        <w:trPr>
          <w:trHeight w:val="195"/>
        </w:trPr>
        <w:tc>
          <w:tcPr>
            <w:tcW w:w="1554" w:type="dxa"/>
            <w:vMerge/>
            <w:tcBorders>
              <w:top w:val="nil"/>
              <w:left w:val="single" w:sz="4" w:space="0" w:color="auto"/>
              <w:bottom w:val="double" w:sz="6" w:space="0" w:color="000000"/>
              <w:right w:val="single" w:sz="4" w:space="0" w:color="auto"/>
            </w:tcBorders>
            <w:vAlign w:val="center"/>
            <w:hideMark/>
          </w:tcPr>
          <w:p w14:paraId="72130C4D" w14:textId="77777777" w:rsidR="000B6A0A" w:rsidRPr="0046672D" w:rsidRDefault="000B6A0A" w:rsidP="00F51A8E">
            <w:pPr>
              <w:spacing w:after="0" w:line="240" w:lineRule="auto"/>
              <w:rPr>
                <w:rFonts w:ascii="Arial" w:eastAsia="Times New Roman" w:hAnsi="Arial" w:cs="Arial"/>
                <w:sz w:val="18"/>
                <w:szCs w:val="24"/>
                <w:lang w:val="mn-MN"/>
              </w:rPr>
            </w:pPr>
          </w:p>
        </w:tc>
        <w:tc>
          <w:tcPr>
            <w:tcW w:w="3617" w:type="dxa"/>
            <w:tcBorders>
              <w:top w:val="nil"/>
              <w:left w:val="nil"/>
              <w:bottom w:val="single" w:sz="4" w:space="0" w:color="auto"/>
              <w:right w:val="nil"/>
            </w:tcBorders>
            <w:shd w:val="clear" w:color="000000" w:fill="FFFFFF"/>
            <w:noWrap/>
            <w:vAlign w:val="bottom"/>
          </w:tcPr>
          <w:p w14:paraId="5FCBD1B8"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Нийт өрийн багцын эргэн төлөгдөх дундаж хугацаа /жил/</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2939617A"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8.4</w:t>
            </w:r>
          </w:p>
        </w:tc>
        <w:tc>
          <w:tcPr>
            <w:tcW w:w="837" w:type="dxa"/>
            <w:tcBorders>
              <w:top w:val="nil"/>
              <w:left w:val="nil"/>
              <w:bottom w:val="single" w:sz="4" w:space="0" w:color="auto"/>
              <w:right w:val="single" w:sz="4" w:space="0" w:color="auto"/>
            </w:tcBorders>
            <w:shd w:val="clear" w:color="auto" w:fill="auto"/>
            <w:noWrap/>
            <w:vAlign w:val="bottom"/>
          </w:tcPr>
          <w:p w14:paraId="195D52CD"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7.0</w:t>
            </w:r>
          </w:p>
        </w:tc>
        <w:tc>
          <w:tcPr>
            <w:tcW w:w="837" w:type="dxa"/>
            <w:tcBorders>
              <w:top w:val="nil"/>
              <w:left w:val="nil"/>
              <w:bottom w:val="single" w:sz="4" w:space="0" w:color="auto"/>
              <w:right w:val="single" w:sz="4" w:space="0" w:color="auto"/>
            </w:tcBorders>
            <w:shd w:val="clear" w:color="auto" w:fill="auto"/>
            <w:noWrap/>
            <w:vAlign w:val="bottom"/>
          </w:tcPr>
          <w:p w14:paraId="2C3E2EE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7.0</w:t>
            </w:r>
          </w:p>
        </w:tc>
        <w:tc>
          <w:tcPr>
            <w:tcW w:w="837" w:type="dxa"/>
            <w:tcBorders>
              <w:top w:val="nil"/>
              <w:left w:val="nil"/>
              <w:bottom w:val="single" w:sz="4" w:space="0" w:color="auto"/>
              <w:right w:val="single" w:sz="4" w:space="0" w:color="auto"/>
            </w:tcBorders>
            <w:shd w:val="clear" w:color="auto" w:fill="auto"/>
            <w:noWrap/>
            <w:vAlign w:val="bottom"/>
          </w:tcPr>
          <w:p w14:paraId="689A491B"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6.5</w:t>
            </w:r>
          </w:p>
        </w:tc>
        <w:tc>
          <w:tcPr>
            <w:tcW w:w="926" w:type="dxa"/>
            <w:tcBorders>
              <w:top w:val="nil"/>
              <w:left w:val="nil"/>
              <w:bottom w:val="single" w:sz="4" w:space="0" w:color="auto"/>
              <w:right w:val="single" w:sz="4" w:space="0" w:color="auto"/>
            </w:tcBorders>
            <w:shd w:val="clear" w:color="auto" w:fill="auto"/>
            <w:noWrap/>
            <w:vAlign w:val="bottom"/>
          </w:tcPr>
          <w:p w14:paraId="01F36DF3"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6.4</w:t>
            </w:r>
          </w:p>
        </w:tc>
      </w:tr>
      <w:tr w:rsidR="000B6A0A" w:rsidRPr="0046672D" w14:paraId="749A6BEF" w14:textId="77777777" w:rsidTr="00F51A8E">
        <w:trPr>
          <w:trHeight w:val="195"/>
        </w:trPr>
        <w:tc>
          <w:tcPr>
            <w:tcW w:w="15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A40A66"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Хүүгийн түвшний эрсдэл</w:t>
            </w:r>
          </w:p>
        </w:tc>
        <w:tc>
          <w:tcPr>
            <w:tcW w:w="3617" w:type="dxa"/>
            <w:tcBorders>
              <w:top w:val="double" w:sz="6" w:space="0" w:color="auto"/>
              <w:left w:val="nil"/>
              <w:bottom w:val="nil"/>
              <w:right w:val="single" w:sz="4" w:space="0" w:color="auto"/>
            </w:tcBorders>
            <w:shd w:val="clear" w:color="000000" w:fill="FFFFFF"/>
            <w:noWrap/>
            <w:vAlign w:val="bottom"/>
          </w:tcPr>
          <w:p w14:paraId="4B2FE0C4"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Хүү шинэчлэгдэх дундаж хугацаа /жил/</w:t>
            </w:r>
          </w:p>
        </w:tc>
        <w:tc>
          <w:tcPr>
            <w:tcW w:w="1190" w:type="dxa"/>
            <w:tcBorders>
              <w:top w:val="double" w:sz="6" w:space="0" w:color="auto"/>
              <w:left w:val="nil"/>
              <w:bottom w:val="nil"/>
              <w:right w:val="single" w:sz="4" w:space="0" w:color="auto"/>
            </w:tcBorders>
            <w:shd w:val="clear" w:color="auto" w:fill="auto"/>
            <w:noWrap/>
            <w:vAlign w:val="bottom"/>
          </w:tcPr>
          <w:p w14:paraId="06CEA6C2"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7.5</w:t>
            </w:r>
          </w:p>
        </w:tc>
        <w:tc>
          <w:tcPr>
            <w:tcW w:w="837" w:type="dxa"/>
            <w:tcBorders>
              <w:top w:val="double" w:sz="6" w:space="0" w:color="auto"/>
              <w:left w:val="nil"/>
              <w:bottom w:val="single" w:sz="4" w:space="0" w:color="auto"/>
              <w:right w:val="single" w:sz="4" w:space="0" w:color="auto"/>
            </w:tcBorders>
            <w:shd w:val="clear" w:color="auto" w:fill="auto"/>
            <w:noWrap/>
            <w:vAlign w:val="bottom"/>
          </w:tcPr>
          <w:p w14:paraId="40E01500"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6.6</w:t>
            </w:r>
          </w:p>
        </w:tc>
        <w:tc>
          <w:tcPr>
            <w:tcW w:w="837" w:type="dxa"/>
            <w:tcBorders>
              <w:top w:val="double" w:sz="6" w:space="0" w:color="auto"/>
              <w:left w:val="nil"/>
              <w:bottom w:val="single" w:sz="4" w:space="0" w:color="auto"/>
              <w:right w:val="single" w:sz="4" w:space="0" w:color="auto"/>
            </w:tcBorders>
            <w:shd w:val="clear" w:color="auto" w:fill="auto"/>
            <w:noWrap/>
            <w:vAlign w:val="bottom"/>
          </w:tcPr>
          <w:p w14:paraId="6F928780"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6.7</w:t>
            </w:r>
          </w:p>
        </w:tc>
        <w:tc>
          <w:tcPr>
            <w:tcW w:w="837" w:type="dxa"/>
            <w:tcBorders>
              <w:top w:val="double" w:sz="6" w:space="0" w:color="auto"/>
              <w:left w:val="nil"/>
              <w:bottom w:val="single" w:sz="4" w:space="0" w:color="auto"/>
              <w:right w:val="single" w:sz="4" w:space="0" w:color="auto"/>
            </w:tcBorders>
            <w:shd w:val="clear" w:color="auto" w:fill="auto"/>
            <w:noWrap/>
            <w:vAlign w:val="bottom"/>
          </w:tcPr>
          <w:p w14:paraId="636525EB"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6.1</w:t>
            </w:r>
          </w:p>
        </w:tc>
        <w:tc>
          <w:tcPr>
            <w:tcW w:w="926" w:type="dxa"/>
            <w:tcBorders>
              <w:top w:val="double" w:sz="6" w:space="0" w:color="auto"/>
              <w:left w:val="nil"/>
              <w:bottom w:val="single" w:sz="4" w:space="0" w:color="auto"/>
              <w:right w:val="single" w:sz="4" w:space="0" w:color="auto"/>
            </w:tcBorders>
            <w:shd w:val="clear" w:color="auto" w:fill="auto"/>
            <w:noWrap/>
            <w:vAlign w:val="bottom"/>
          </w:tcPr>
          <w:p w14:paraId="3A6CA24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6.0</w:t>
            </w:r>
          </w:p>
        </w:tc>
      </w:tr>
      <w:tr w:rsidR="000B6A0A" w:rsidRPr="0046672D" w14:paraId="163BA81D" w14:textId="77777777" w:rsidTr="00F51A8E">
        <w:trPr>
          <w:trHeight w:val="185"/>
        </w:trPr>
        <w:tc>
          <w:tcPr>
            <w:tcW w:w="1554" w:type="dxa"/>
            <w:vMerge/>
            <w:tcBorders>
              <w:top w:val="nil"/>
              <w:left w:val="single" w:sz="4" w:space="0" w:color="auto"/>
              <w:bottom w:val="single" w:sz="4" w:space="0" w:color="000000"/>
              <w:right w:val="single" w:sz="4" w:space="0" w:color="auto"/>
            </w:tcBorders>
            <w:vAlign w:val="center"/>
            <w:hideMark/>
          </w:tcPr>
          <w:p w14:paraId="632BB079" w14:textId="77777777" w:rsidR="000B6A0A" w:rsidRPr="0046672D" w:rsidRDefault="000B6A0A" w:rsidP="00F51A8E">
            <w:pPr>
              <w:spacing w:after="0" w:line="240" w:lineRule="auto"/>
              <w:rPr>
                <w:rFonts w:ascii="Arial" w:eastAsia="Times New Roman" w:hAnsi="Arial" w:cs="Arial"/>
                <w:sz w:val="18"/>
                <w:szCs w:val="24"/>
                <w:lang w:val="mn-MN"/>
              </w:rPr>
            </w:pPr>
          </w:p>
        </w:tc>
        <w:tc>
          <w:tcPr>
            <w:tcW w:w="3617" w:type="dxa"/>
            <w:tcBorders>
              <w:top w:val="single" w:sz="4" w:space="0" w:color="auto"/>
              <w:left w:val="nil"/>
              <w:bottom w:val="single" w:sz="4" w:space="0" w:color="auto"/>
              <w:right w:val="single" w:sz="4" w:space="0" w:color="auto"/>
            </w:tcBorders>
            <w:shd w:val="clear" w:color="000000" w:fill="FFFFFF"/>
            <w:noWrap/>
            <w:vAlign w:val="bottom"/>
          </w:tcPr>
          <w:p w14:paraId="1E1E0D84"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1 жилд тогтмолжуулах өр /нийт өрд эзлэх хувь/</w:t>
            </w:r>
          </w:p>
        </w:tc>
        <w:tc>
          <w:tcPr>
            <w:tcW w:w="1190" w:type="dxa"/>
            <w:tcBorders>
              <w:top w:val="single" w:sz="4" w:space="0" w:color="auto"/>
              <w:left w:val="nil"/>
              <w:bottom w:val="single" w:sz="4" w:space="0" w:color="auto"/>
              <w:right w:val="single" w:sz="4" w:space="0" w:color="auto"/>
            </w:tcBorders>
            <w:shd w:val="clear" w:color="auto" w:fill="auto"/>
            <w:noWrap/>
            <w:vAlign w:val="bottom"/>
          </w:tcPr>
          <w:p w14:paraId="01F94897"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18.2</w:t>
            </w:r>
          </w:p>
        </w:tc>
        <w:tc>
          <w:tcPr>
            <w:tcW w:w="837" w:type="dxa"/>
            <w:tcBorders>
              <w:top w:val="nil"/>
              <w:left w:val="nil"/>
              <w:bottom w:val="single" w:sz="4" w:space="0" w:color="auto"/>
              <w:right w:val="single" w:sz="4" w:space="0" w:color="auto"/>
            </w:tcBorders>
            <w:shd w:val="clear" w:color="auto" w:fill="auto"/>
            <w:noWrap/>
            <w:vAlign w:val="bottom"/>
          </w:tcPr>
          <w:p w14:paraId="53626ED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19.5</w:t>
            </w:r>
          </w:p>
        </w:tc>
        <w:tc>
          <w:tcPr>
            <w:tcW w:w="837" w:type="dxa"/>
            <w:tcBorders>
              <w:top w:val="nil"/>
              <w:left w:val="nil"/>
              <w:bottom w:val="single" w:sz="4" w:space="0" w:color="auto"/>
              <w:right w:val="single" w:sz="4" w:space="0" w:color="auto"/>
            </w:tcBorders>
            <w:shd w:val="clear" w:color="auto" w:fill="auto"/>
            <w:noWrap/>
            <w:vAlign w:val="bottom"/>
          </w:tcPr>
          <w:p w14:paraId="024331D6"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17.3</w:t>
            </w:r>
          </w:p>
        </w:tc>
        <w:tc>
          <w:tcPr>
            <w:tcW w:w="837" w:type="dxa"/>
            <w:tcBorders>
              <w:top w:val="nil"/>
              <w:left w:val="nil"/>
              <w:bottom w:val="single" w:sz="4" w:space="0" w:color="auto"/>
              <w:right w:val="single" w:sz="4" w:space="0" w:color="auto"/>
            </w:tcBorders>
            <w:shd w:val="clear" w:color="auto" w:fill="auto"/>
            <w:noWrap/>
            <w:vAlign w:val="bottom"/>
          </w:tcPr>
          <w:p w14:paraId="66DB8F4B"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19.9</w:t>
            </w:r>
          </w:p>
        </w:tc>
        <w:tc>
          <w:tcPr>
            <w:tcW w:w="926" w:type="dxa"/>
            <w:tcBorders>
              <w:top w:val="nil"/>
              <w:left w:val="nil"/>
              <w:bottom w:val="single" w:sz="4" w:space="0" w:color="auto"/>
              <w:right w:val="single" w:sz="4" w:space="0" w:color="auto"/>
            </w:tcBorders>
            <w:shd w:val="clear" w:color="auto" w:fill="auto"/>
            <w:noWrap/>
            <w:vAlign w:val="bottom"/>
          </w:tcPr>
          <w:p w14:paraId="10152511"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19.9</w:t>
            </w:r>
          </w:p>
        </w:tc>
      </w:tr>
      <w:tr w:rsidR="000B6A0A" w:rsidRPr="0046672D" w14:paraId="10528781" w14:textId="77777777" w:rsidTr="00F51A8E">
        <w:trPr>
          <w:trHeight w:val="185"/>
        </w:trPr>
        <w:tc>
          <w:tcPr>
            <w:tcW w:w="1554" w:type="dxa"/>
            <w:vMerge/>
            <w:tcBorders>
              <w:top w:val="nil"/>
              <w:left w:val="single" w:sz="4" w:space="0" w:color="auto"/>
              <w:bottom w:val="single" w:sz="4" w:space="0" w:color="000000"/>
              <w:right w:val="single" w:sz="4" w:space="0" w:color="auto"/>
            </w:tcBorders>
            <w:vAlign w:val="center"/>
            <w:hideMark/>
          </w:tcPr>
          <w:p w14:paraId="09AD1716" w14:textId="77777777" w:rsidR="000B6A0A" w:rsidRPr="0046672D" w:rsidRDefault="000B6A0A" w:rsidP="00F51A8E">
            <w:pPr>
              <w:spacing w:after="0" w:line="240" w:lineRule="auto"/>
              <w:rPr>
                <w:rFonts w:ascii="Arial" w:eastAsia="Times New Roman" w:hAnsi="Arial" w:cs="Arial"/>
                <w:sz w:val="18"/>
                <w:szCs w:val="24"/>
                <w:lang w:val="mn-MN"/>
              </w:rPr>
            </w:pPr>
          </w:p>
        </w:tc>
        <w:tc>
          <w:tcPr>
            <w:tcW w:w="3617" w:type="dxa"/>
            <w:tcBorders>
              <w:top w:val="nil"/>
              <w:left w:val="nil"/>
              <w:bottom w:val="single" w:sz="4" w:space="0" w:color="auto"/>
              <w:right w:val="single" w:sz="4" w:space="0" w:color="auto"/>
            </w:tcBorders>
            <w:shd w:val="clear" w:color="000000" w:fill="FFFFFF"/>
            <w:noWrap/>
            <w:vAlign w:val="bottom"/>
          </w:tcPr>
          <w:p w14:paraId="505B6375"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Тогтмол хүүтэй зээл ба бонд /нийт өрд эзлэх хувь/</w:t>
            </w:r>
          </w:p>
        </w:tc>
        <w:tc>
          <w:tcPr>
            <w:tcW w:w="1190" w:type="dxa"/>
            <w:tcBorders>
              <w:top w:val="nil"/>
              <w:left w:val="nil"/>
              <w:bottom w:val="single" w:sz="4" w:space="0" w:color="auto"/>
              <w:right w:val="single" w:sz="4" w:space="0" w:color="auto"/>
            </w:tcBorders>
            <w:shd w:val="clear" w:color="auto" w:fill="auto"/>
            <w:noWrap/>
            <w:vAlign w:val="bottom"/>
          </w:tcPr>
          <w:p w14:paraId="5D036FBF"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85.6</w:t>
            </w:r>
          </w:p>
        </w:tc>
        <w:tc>
          <w:tcPr>
            <w:tcW w:w="837" w:type="dxa"/>
            <w:tcBorders>
              <w:top w:val="nil"/>
              <w:left w:val="nil"/>
              <w:bottom w:val="single" w:sz="4" w:space="0" w:color="auto"/>
              <w:right w:val="single" w:sz="4" w:space="0" w:color="auto"/>
            </w:tcBorders>
            <w:shd w:val="clear" w:color="auto" w:fill="auto"/>
            <w:noWrap/>
            <w:vAlign w:val="bottom"/>
          </w:tcPr>
          <w:p w14:paraId="67E2CFF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93.3</w:t>
            </w:r>
          </w:p>
        </w:tc>
        <w:tc>
          <w:tcPr>
            <w:tcW w:w="837" w:type="dxa"/>
            <w:tcBorders>
              <w:top w:val="nil"/>
              <w:left w:val="nil"/>
              <w:bottom w:val="single" w:sz="4" w:space="0" w:color="auto"/>
              <w:right w:val="single" w:sz="4" w:space="0" w:color="auto"/>
            </w:tcBorders>
            <w:shd w:val="clear" w:color="auto" w:fill="auto"/>
            <w:noWrap/>
            <w:vAlign w:val="bottom"/>
          </w:tcPr>
          <w:p w14:paraId="03515848"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93.9</w:t>
            </w:r>
          </w:p>
        </w:tc>
        <w:tc>
          <w:tcPr>
            <w:tcW w:w="837" w:type="dxa"/>
            <w:tcBorders>
              <w:top w:val="nil"/>
              <w:left w:val="nil"/>
              <w:bottom w:val="single" w:sz="4" w:space="0" w:color="auto"/>
              <w:right w:val="single" w:sz="4" w:space="0" w:color="auto"/>
            </w:tcBorders>
            <w:shd w:val="clear" w:color="auto" w:fill="auto"/>
            <w:noWrap/>
            <w:vAlign w:val="bottom"/>
          </w:tcPr>
          <w:p w14:paraId="62B466F2"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93.5</w:t>
            </w:r>
          </w:p>
        </w:tc>
        <w:tc>
          <w:tcPr>
            <w:tcW w:w="926" w:type="dxa"/>
            <w:tcBorders>
              <w:top w:val="nil"/>
              <w:left w:val="nil"/>
              <w:bottom w:val="single" w:sz="4" w:space="0" w:color="auto"/>
              <w:right w:val="single" w:sz="4" w:space="0" w:color="auto"/>
            </w:tcBorders>
            <w:shd w:val="clear" w:color="auto" w:fill="auto"/>
            <w:noWrap/>
            <w:vAlign w:val="bottom"/>
          </w:tcPr>
          <w:p w14:paraId="3DDE32E0"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93.6</w:t>
            </w:r>
          </w:p>
        </w:tc>
      </w:tr>
      <w:tr w:rsidR="000B6A0A" w:rsidRPr="0046672D" w14:paraId="7E97BF02" w14:textId="77777777" w:rsidTr="00F51A8E">
        <w:trPr>
          <w:trHeight w:val="185"/>
        </w:trPr>
        <w:tc>
          <w:tcPr>
            <w:tcW w:w="1554" w:type="dxa"/>
            <w:vMerge w:val="restart"/>
            <w:tcBorders>
              <w:top w:val="nil"/>
              <w:left w:val="single" w:sz="4" w:space="0" w:color="auto"/>
              <w:bottom w:val="single" w:sz="4" w:space="0" w:color="000000"/>
              <w:right w:val="single" w:sz="4" w:space="0" w:color="auto"/>
            </w:tcBorders>
            <w:shd w:val="clear" w:color="auto" w:fill="auto"/>
            <w:vAlign w:val="center"/>
            <w:hideMark/>
          </w:tcPr>
          <w:p w14:paraId="49252852" w14:textId="77777777" w:rsidR="000B6A0A" w:rsidRPr="0046672D" w:rsidRDefault="000B6A0A" w:rsidP="00F51A8E">
            <w:pPr>
              <w:spacing w:after="0" w:line="240" w:lineRule="auto"/>
              <w:jc w:val="center"/>
              <w:rPr>
                <w:rFonts w:ascii="Arial" w:eastAsia="Times New Roman" w:hAnsi="Arial" w:cs="Arial"/>
                <w:sz w:val="18"/>
                <w:szCs w:val="24"/>
                <w:lang w:val="mn-MN"/>
              </w:rPr>
            </w:pPr>
            <w:r w:rsidRPr="0046672D">
              <w:rPr>
                <w:rFonts w:ascii="Arial" w:eastAsia="Times New Roman" w:hAnsi="Arial" w:cs="Arial"/>
                <w:sz w:val="18"/>
                <w:szCs w:val="24"/>
                <w:lang w:val="mn-MN"/>
              </w:rPr>
              <w:t>Ханшийн эрсдэл</w:t>
            </w:r>
          </w:p>
        </w:tc>
        <w:tc>
          <w:tcPr>
            <w:tcW w:w="3617" w:type="dxa"/>
            <w:tcBorders>
              <w:top w:val="nil"/>
              <w:left w:val="nil"/>
              <w:bottom w:val="single" w:sz="4" w:space="0" w:color="auto"/>
              <w:right w:val="nil"/>
            </w:tcBorders>
            <w:shd w:val="clear" w:color="auto" w:fill="auto"/>
            <w:noWrap/>
            <w:vAlign w:val="bottom"/>
          </w:tcPr>
          <w:p w14:paraId="31889E11"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Гадаад валютаар илэрхийлэгдсэн /нийт өрд эзлэх хувь/</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6124C891"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97.5</w:t>
            </w:r>
          </w:p>
        </w:tc>
        <w:tc>
          <w:tcPr>
            <w:tcW w:w="837" w:type="dxa"/>
            <w:tcBorders>
              <w:top w:val="nil"/>
              <w:left w:val="nil"/>
              <w:bottom w:val="single" w:sz="4" w:space="0" w:color="auto"/>
              <w:right w:val="single" w:sz="4" w:space="0" w:color="auto"/>
            </w:tcBorders>
            <w:shd w:val="clear" w:color="auto" w:fill="auto"/>
            <w:noWrap/>
            <w:vAlign w:val="bottom"/>
          </w:tcPr>
          <w:p w14:paraId="5B2F4D13"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80.0</w:t>
            </w:r>
          </w:p>
        </w:tc>
        <w:tc>
          <w:tcPr>
            <w:tcW w:w="837" w:type="dxa"/>
            <w:tcBorders>
              <w:top w:val="nil"/>
              <w:left w:val="nil"/>
              <w:bottom w:val="single" w:sz="4" w:space="0" w:color="auto"/>
              <w:right w:val="single" w:sz="4" w:space="0" w:color="auto"/>
            </w:tcBorders>
            <w:shd w:val="clear" w:color="auto" w:fill="auto"/>
            <w:noWrap/>
            <w:vAlign w:val="bottom"/>
          </w:tcPr>
          <w:p w14:paraId="40ACA90B"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85.0</w:t>
            </w:r>
          </w:p>
        </w:tc>
        <w:tc>
          <w:tcPr>
            <w:tcW w:w="837" w:type="dxa"/>
            <w:tcBorders>
              <w:top w:val="nil"/>
              <w:left w:val="nil"/>
              <w:bottom w:val="single" w:sz="4" w:space="0" w:color="auto"/>
              <w:right w:val="single" w:sz="4" w:space="0" w:color="auto"/>
            </w:tcBorders>
            <w:shd w:val="clear" w:color="auto" w:fill="auto"/>
            <w:noWrap/>
            <w:vAlign w:val="bottom"/>
          </w:tcPr>
          <w:p w14:paraId="3ADDEE5A"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76.6</w:t>
            </w:r>
          </w:p>
        </w:tc>
        <w:tc>
          <w:tcPr>
            <w:tcW w:w="926" w:type="dxa"/>
            <w:tcBorders>
              <w:top w:val="nil"/>
              <w:left w:val="nil"/>
              <w:bottom w:val="single" w:sz="4" w:space="0" w:color="auto"/>
              <w:right w:val="single" w:sz="4" w:space="0" w:color="auto"/>
            </w:tcBorders>
            <w:shd w:val="clear" w:color="auto" w:fill="auto"/>
            <w:noWrap/>
            <w:vAlign w:val="bottom"/>
          </w:tcPr>
          <w:p w14:paraId="6F0DC6FD"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67.8</w:t>
            </w:r>
          </w:p>
        </w:tc>
      </w:tr>
      <w:tr w:rsidR="000B6A0A" w:rsidRPr="0046672D" w14:paraId="687B308B" w14:textId="77777777" w:rsidTr="00F51A8E">
        <w:trPr>
          <w:trHeight w:val="185"/>
        </w:trPr>
        <w:tc>
          <w:tcPr>
            <w:tcW w:w="1554" w:type="dxa"/>
            <w:vMerge/>
            <w:tcBorders>
              <w:top w:val="nil"/>
              <w:left w:val="single" w:sz="4" w:space="0" w:color="auto"/>
              <w:bottom w:val="single" w:sz="4" w:space="0" w:color="000000"/>
              <w:right w:val="single" w:sz="4" w:space="0" w:color="auto"/>
            </w:tcBorders>
            <w:vAlign w:val="center"/>
            <w:hideMark/>
          </w:tcPr>
          <w:p w14:paraId="1E87AD89" w14:textId="77777777" w:rsidR="000B6A0A" w:rsidRPr="0046672D" w:rsidRDefault="000B6A0A" w:rsidP="00F51A8E">
            <w:pPr>
              <w:spacing w:after="0" w:line="240" w:lineRule="auto"/>
              <w:rPr>
                <w:rFonts w:ascii="Arial" w:eastAsia="Times New Roman" w:hAnsi="Arial" w:cs="Arial"/>
                <w:sz w:val="18"/>
                <w:szCs w:val="24"/>
                <w:lang w:val="mn-MN"/>
              </w:rPr>
            </w:pPr>
          </w:p>
        </w:tc>
        <w:tc>
          <w:tcPr>
            <w:tcW w:w="3617" w:type="dxa"/>
            <w:tcBorders>
              <w:top w:val="nil"/>
              <w:left w:val="nil"/>
              <w:bottom w:val="single" w:sz="4" w:space="0" w:color="auto"/>
              <w:right w:val="nil"/>
            </w:tcBorders>
            <w:shd w:val="clear" w:color="auto" w:fill="auto"/>
            <w:noWrap/>
            <w:vAlign w:val="bottom"/>
          </w:tcPr>
          <w:p w14:paraId="56191358" w14:textId="77777777" w:rsidR="000B6A0A" w:rsidRPr="0046672D" w:rsidRDefault="000B6A0A" w:rsidP="00F51A8E">
            <w:pPr>
              <w:spacing w:after="0" w:line="240" w:lineRule="auto"/>
              <w:rPr>
                <w:rFonts w:ascii="Arial" w:eastAsia="Times New Roman" w:hAnsi="Arial" w:cs="Arial"/>
                <w:sz w:val="18"/>
                <w:szCs w:val="24"/>
                <w:lang w:val="mn-MN"/>
              </w:rPr>
            </w:pPr>
            <w:r w:rsidRPr="0046672D">
              <w:rPr>
                <w:rFonts w:ascii="Arial" w:eastAsia="Times New Roman" w:hAnsi="Arial" w:cs="Arial"/>
                <w:sz w:val="18"/>
                <w:szCs w:val="24"/>
                <w:lang w:val="mn-MN"/>
              </w:rPr>
              <w:t>Валютын нөөцөд эзлэх богино хугацаат гадаад өр /хувь/</w:t>
            </w:r>
          </w:p>
        </w:tc>
        <w:tc>
          <w:tcPr>
            <w:tcW w:w="1190" w:type="dxa"/>
            <w:tcBorders>
              <w:top w:val="nil"/>
              <w:left w:val="single" w:sz="4" w:space="0" w:color="auto"/>
              <w:bottom w:val="single" w:sz="4" w:space="0" w:color="auto"/>
              <w:right w:val="single" w:sz="4" w:space="0" w:color="auto"/>
            </w:tcBorders>
            <w:shd w:val="clear" w:color="auto" w:fill="auto"/>
            <w:noWrap/>
            <w:vAlign w:val="bottom"/>
          </w:tcPr>
          <w:p w14:paraId="1B08081D"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9.5</w:t>
            </w:r>
          </w:p>
        </w:tc>
        <w:tc>
          <w:tcPr>
            <w:tcW w:w="837" w:type="dxa"/>
            <w:tcBorders>
              <w:top w:val="nil"/>
              <w:left w:val="nil"/>
              <w:bottom w:val="single" w:sz="4" w:space="0" w:color="auto"/>
              <w:right w:val="single" w:sz="4" w:space="0" w:color="auto"/>
            </w:tcBorders>
            <w:shd w:val="clear" w:color="auto" w:fill="auto"/>
            <w:noWrap/>
            <w:vAlign w:val="bottom"/>
          </w:tcPr>
          <w:p w14:paraId="1E2BFEA7"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17.1</w:t>
            </w:r>
          </w:p>
        </w:tc>
        <w:tc>
          <w:tcPr>
            <w:tcW w:w="837" w:type="dxa"/>
            <w:tcBorders>
              <w:top w:val="nil"/>
              <w:left w:val="nil"/>
              <w:bottom w:val="single" w:sz="4" w:space="0" w:color="auto"/>
              <w:right w:val="single" w:sz="4" w:space="0" w:color="auto"/>
            </w:tcBorders>
            <w:shd w:val="clear" w:color="auto" w:fill="auto"/>
            <w:noWrap/>
            <w:vAlign w:val="bottom"/>
          </w:tcPr>
          <w:p w14:paraId="18D51666"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19.0</w:t>
            </w:r>
          </w:p>
        </w:tc>
        <w:tc>
          <w:tcPr>
            <w:tcW w:w="837" w:type="dxa"/>
            <w:tcBorders>
              <w:top w:val="nil"/>
              <w:left w:val="nil"/>
              <w:bottom w:val="single" w:sz="4" w:space="0" w:color="auto"/>
              <w:right w:val="single" w:sz="4" w:space="0" w:color="auto"/>
            </w:tcBorders>
            <w:shd w:val="clear" w:color="auto" w:fill="auto"/>
            <w:noWrap/>
            <w:vAlign w:val="bottom"/>
          </w:tcPr>
          <w:p w14:paraId="41C916B4"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17.1</w:t>
            </w:r>
          </w:p>
        </w:tc>
        <w:tc>
          <w:tcPr>
            <w:tcW w:w="926" w:type="dxa"/>
            <w:tcBorders>
              <w:top w:val="nil"/>
              <w:left w:val="nil"/>
              <w:bottom w:val="single" w:sz="4" w:space="0" w:color="auto"/>
              <w:right w:val="single" w:sz="4" w:space="0" w:color="auto"/>
            </w:tcBorders>
            <w:shd w:val="clear" w:color="auto" w:fill="auto"/>
            <w:noWrap/>
            <w:vAlign w:val="bottom"/>
          </w:tcPr>
          <w:p w14:paraId="5A78D473" w14:textId="77777777" w:rsidR="000B6A0A" w:rsidRPr="0046672D" w:rsidRDefault="000B6A0A" w:rsidP="00F51A8E">
            <w:pPr>
              <w:spacing w:after="0" w:line="240" w:lineRule="auto"/>
              <w:jc w:val="right"/>
              <w:rPr>
                <w:rFonts w:ascii="Arial" w:eastAsia="Times New Roman" w:hAnsi="Arial" w:cs="Arial"/>
                <w:sz w:val="18"/>
                <w:szCs w:val="24"/>
                <w:highlight w:val="yellow"/>
                <w:lang w:val="mn-MN"/>
              </w:rPr>
            </w:pPr>
            <w:r w:rsidRPr="0046672D">
              <w:rPr>
                <w:rFonts w:ascii="Arial" w:hAnsi="Arial" w:cs="Arial"/>
                <w:sz w:val="20"/>
                <w:szCs w:val="20"/>
                <w:lang w:val="mn-MN"/>
              </w:rPr>
              <w:t>17.1</w:t>
            </w:r>
          </w:p>
        </w:tc>
      </w:tr>
    </w:tbl>
    <w:p w14:paraId="59022C7F" w14:textId="77777777" w:rsidR="000B6A0A" w:rsidRPr="0046672D" w:rsidRDefault="000B6A0A" w:rsidP="000B6A0A">
      <w:pPr>
        <w:pStyle w:val="NoSpacing"/>
        <w:spacing w:after="0" w:line="240" w:lineRule="auto"/>
        <w:rPr>
          <w:rFonts w:ascii="Arial" w:hAnsi="Arial" w:cs="Arial"/>
          <w:sz w:val="24"/>
          <w:szCs w:val="24"/>
        </w:rPr>
        <w:sectPr w:rsidR="000B6A0A" w:rsidRPr="0046672D" w:rsidSect="002A2F8C">
          <w:type w:val="continuous"/>
          <w:pgSz w:w="11906" w:h="16838" w:code="9"/>
          <w:pgMar w:top="1134" w:right="851" w:bottom="851" w:left="1247" w:header="720" w:footer="720" w:gutter="0"/>
          <w:pgNumType w:start="0"/>
          <w:cols w:space="720"/>
          <w:titlePg/>
          <w:docGrid w:linePitch="360"/>
        </w:sectPr>
      </w:pPr>
      <w:r w:rsidRPr="0046672D">
        <w:rPr>
          <w:noProof/>
          <w:lang w:val="en-US"/>
        </w:rPr>
        <w:drawing>
          <wp:anchor distT="0" distB="0" distL="114300" distR="114300" simplePos="0" relativeHeight="251658242" behindDoc="0" locked="0" layoutInCell="1" allowOverlap="1" wp14:anchorId="13E7E95E" wp14:editId="42F066D5">
            <wp:simplePos x="0" y="0"/>
            <wp:positionH relativeFrom="margin">
              <wp:align>right</wp:align>
            </wp:positionH>
            <wp:positionV relativeFrom="paragraph">
              <wp:posOffset>163195</wp:posOffset>
            </wp:positionV>
            <wp:extent cx="3105150" cy="2314575"/>
            <wp:effectExtent l="0" t="0" r="0" b="9525"/>
            <wp:wrapSquare wrapText="bothSides"/>
            <wp:docPr id="21" name="Chart 2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46672D">
        <w:rPr>
          <w:noProof/>
          <w:lang w:val="en-US"/>
        </w:rPr>
        <w:drawing>
          <wp:anchor distT="0" distB="0" distL="114300" distR="114300" simplePos="0" relativeHeight="251658241" behindDoc="0" locked="0" layoutInCell="1" allowOverlap="1" wp14:anchorId="1BA5CF40" wp14:editId="430C83DF">
            <wp:simplePos x="0" y="0"/>
            <wp:positionH relativeFrom="margin">
              <wp:align>left</wp:align>
            </wp:positionH>
            <wp:positionV relativeFrom="paragraph">
              <wp:posOffset>161290</wp:posOffset>
            </wp:positionV>
            <wp:extent cx="3124200" cy="2314575"/>
            <wp:effectExtent l="0" t="0" r="0" b="9525"/>
            <wp:wrapSquare wrapText="bothSides"/>
            <wp:docPr id="22" name="Chart 22">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371E279" w14:textId="77777777" w:rsidR="000B6A0A" w:rsidRPr="0046672D" w:rsidRDefault="000B6A0A" w:rsidP="000B6A0A">
      <w:pPr>
        <w:pStyle w:val="NoSpacing"/>
        <w:spacing w:after="0" w:line="240" w:lineRule="auto"/>
        <w:rPr>
          <w:rFonts w:ascii="Arial" w:hAnsi="Arial" w:cs="Arial"/>
          <w:b/>
          <w:i/>
          <w:sz w:val="24"/>
          <w:szCs w:val="24"/>
        </w:rPr>
      </w:pPr>
      <w:r w:rsidRPr="0046672D">
        <w:t xml:space="preserve">  </w:t>
      </w:r>
    </w:p>
    <w:p w14:paraId="1A1D8BFD" w14:textId="77777777" w:rsidR="00C774CF" w:rsidRPr="0012350E" w:rsidRDefault="00C774CF" w:rsidP="00C774CF">
      <w:pPr>
        <w:pStyle w:val="NoSpacing"/>
        <w:spacing w:line="240" w:lineRule="auto"/>
        <w:rPr>
          <w:rFonts w:ascii="Arial" w:hAnsi="Arial" w:cs="Arial"/>
          <w:b/>
          <w:sz w:val="24"/>
          <w:szCs w:val="24"/>
        </w:rPr>
      </w:pPr>
      <w:r w:rsidRPr="0012350E">
        <w:rPr>
          <w:rFonts w:ascii="Arial" w:hAnsi="Arial" w:cs="Arial"/>
          <w:b/>
          <w:sz w:val="24"/>
          <w:szCs w:val="24"/>
        </w:rPr>
        <w:t>Дүгнэлт</w:t>
      </w:r>
    </w:p>
    <w:p w14:paraId="7A902C91" w14:textId="77777777" w:rsidR="00C774CF" w:rsidRPr="0012350E" w:rsidRDefault="00C774CF" w:rsidP="00C774CF">
      <w:pPr>
        <w:pStyle w:val="NoSpacing"/>
        <w:spacing w:line="240" w:lineRule="auto"/>
        <w:rPr>
          <w:rFonts w:ascii="Arial" w:hAnsi="Arial" w:cs="Arial"/>
          <w:sz w:val="24"/>
          <w:szCs w:val="24"/>
        </w:rPr>
      </w:pPr>
      <w:r w:rsidRPr="0012350E">
        <w:rPr>
          <w:rFonts w:ascii="Arial" w:hAnsi="Arial" w:cs="Arial"/>
          <w:sz w:val="24"/>
          <w:szCs w:val="24"/>
        </w:rPr>
        <w:t xml:space="preserve">Шинжилгээний үр дүнгээс үзэхэд дотоод бондоор санхүүжилтийн хэрэгцээг бүхэлд нь санхүүжүүлэх (S3, S4) нь ханшийн эрсдэлийг багасгаж байгаа ч өрийн үйлчилгээний зардлыг ихэсгэснээр өрийн үйлчилгээний эрсдэл өндөр гарч байна. Цаашлаад арилжааны зээлийг ашигласнаар (S2) гадаад валютаар илэрхийлэгдсэн өрийн хэмжээг ихэсгэж, ханшийн эрсдэлийг өсгөж байна. Харин төсвийн алдагдлыг санхүүжүүлэх гадаад эх үүсвэрийг хязгаарлаж, дотоод эх үүсвэр ашиглах нь гадаад валютын ханшийн эрсдэлийг бууруулж, гадаад өрийн дарамтыг бууруулах ач холбогдолтой болохыг шинжилгээний үр дүн харуулж байна. </w:t>
      </w:r>
      <w:r w:rsidRPr="0012350E">
        <w:rPr>
          <w:rFonts w:ascii="Arial" w:hAnsi="Arial" w:cs="Arial"/>
          <w:b/>
          <w:sz w:val="24"/>
          <w:szCs w:val="24"/>
        </w:rPr>
        <w:tab/>
      </w:r>
    </w:p>
    <w:p w14:paraId="080AB7B5" w14:textId="77777777" w:rsidR="00C774CF" w:rsidRPr="0012350E" w:rsidRDefault="00C774CF" w:rsidP="00C774CF">
      <w:pPr>
        <w:pStyle w:val="NormalWeb"/>
        <w:rPr>
          <w:rFonts w:ascii="Arial" w:hAnsi="Arial" w:cs="Arial"/>
          <w:b/>
          <w:lang w:val="mn-MN"/>
        </w:rPr>
      </w:pPr>
      <w:r w:rsidRPr="0012350E">
        <w:rPr>
          <w:rStyle w:val="Strong"/>
          <w:rFonts w:ascii="Arial" w:hAnsi="Arial" w:cs="Arial"/>
          <w:lang w:val="mn-MN"/>
        </w:rPr>
        <w:t>ДУНД ХУГАЦААНД ДЭВШҮҮЛЖ БАЙГАА ЗОРИЛТ, ХЭРЭГЖҮҮЛЭХ АРГА ЗАМ</w:t>
      </w:r>
      <w:r w:rsidRPr="0012350E">
        <w:rPr>
          <w:rFonts w:ascii="Arial" w:hAnsi="Arial" w:cs="Arial"/>
          <w:b/>
          <w:lang w:val="mn-MN"/>
        </w:rPr>
        <w:tab/>
      </w:r>
    </w:p>
    <w:p w14:paraId="1E364624" w14:textId="77777777" w:rsidR="00C774CF" w:rsidRPr="0012350E" w:rsidRDefault="00C774CF" w:rsidP="00C774CF">
      <w:pPr>
        <w:pStyle w:val="NoSpacing"/>
        <w:spacing w:before="240" w:line="240" w:lineRule="auto"/>
        <w:rPr>
          <w:rFonts w:ascii="Arial" w:hAnsi="Arial" w:cs="Arial"/>
          <w:b/>
          <w:sz w:val="24"/>
          <w:szCs w:val="24"/>
        </w:rPr>
      </w:pPr>
      <w:r w:rsidRPr="0012350E" w:rsidDel="00502FE2">
        <w:rPr>
          <w:rFonts w:ascii="Arial" w:hAnsi="Arial" w:cs="Arial"/>
          <w:b/>
          <w:sz w:val="24"/>
          <w:szCs w:val="24"/>
        </w:rPr>
        <w:t>Зорилт</w:t>
      </w:r>
      <w:r w:rsidRPr="0012350E" w:rsidDel="002D041F">
        <w:rPr>
          <w:rFonts w:ascii="Arial" w:hAnsi="Arial" w:cs="Arial"/>
          <w:b/>
          <w:sz w:val="24"/>
          <w:szCs w:val="24"/>
        </w:rPr>
        <w:t xml:space="preserve"> </w:t>
      </w:r>
      <w:r w:rsidRPr="0012350E">
        <w:rPr>
          <w:rFonts w:ascii="Arial" w:hAnsi="Arial" w:cs="Arial"/>
          <w:b/>
          <w:sz w:val="24"/>
          <w:szCs w:val="24"/>
        </w:rPr>
        <w:t>1</w:t>
      </w:r>
      <w:r w:rsidRPr="0012350E" w:rsidDel="00502FE2">
        <w:rPr>
          <w:rFonts w:ascii="Arial" w:hAnsi="Arial" w:cs="Arial"/>
          <w:b/>
          <w:sz w:val="24"/>
          <w:szCs w:val="24"/>
        </w:rPr>
        <w:t xml:space="preserve">: </w:t>
      </w:r>
      <w:r w:rsidRPr="0012350E">
        <w:rPr>
          <w:rFonts w:ascii="Arial" w:hAnsi="Arial" w:cs="Arial"/>
          <w:b/>
          <w:sz w:val="24"/>
          <w:szCs w:val="24"/>
        </w:rPr>
        <w:t>Засгийн газрын гадаад зээлийн хөрөнгөөр хэрэгжих төслүүдийн үр ашгийг нэмэгдүүлэх, гадаад зээлийн өрийн үйлчилгээний төсөвт үзүүлэх төлбөрийн дарамтыг бууруулна.</w:t>
      </w:r>
    </w:p>
    <w:p w14:paraId="232D8D13" w14:textId="77777777" w:rsidR="00C774CF" w:rsidRPr="0012350E" w:rsidRDefault="00C774CF" w:rsidP="00C774CF">
      <w:pPr>
        <w:pStyle w:val="NoSpacing"/>
        <w:spacing w:before="240" w:line="240" w:lineRule="auto"/>
        <w:ind w:firstLine="720"/>
        <w:rPr>
          <w:rFonts w:ascii="Arial" w:hAnsi="Arial" w:cs="Arial"/>
          <w:sz w:val="24"/>
          <w:szCs w:val="24"/>
        </w:rPr>
      </w:pPr>
      <w:r w:rsidRPr="0012350E">
        <w:rPr>
          <w:rFonts w:ascii="Arial" w:hAnsi="Arial" w:cs="Arial"/>
          <w:b/>
          <w:sz w:val="24"/>
          <w:szCs w:val="24"/>
        </w:rPr>
        <w:t xml:space="preserve">Үндэслэл: </w:t>
      </w:r>
      <w:r w:rsidRPr="0012350E">
        <w:rPr>
          <w:rFonts w:ascii="Arial" w:hAnsi="Arial" w:cs="Arial"/>
          <w:sz w:val="24"/>
          <w:szCs w:val="24"/>
        </w:rPr>
        <w:t>Монгол Улсын Үндэсний аюулгүй байдлын үзэл баримтлалын 3.2.3.2-т “Засгийн газрын авах зээл нь бодит эдийн засгийн салбарт чиглэгдэх бөгөөд эдийн засгийн аюулгүй байдлыг хангасан, зохистой харьцаанд байна” гэж заасан. Түүнчлэн, 2021 оныг хүртэл байгуулагдаад буй гадаад зээлийн гэрээ, хэлэлцээрийн хүрээнд авч ашиглаагүй зээлийн</w:t>
      </w:r>
      <w:r w:rsidRPr="0012350E" w:rsidDel="003122CE">
        <w:rPr>
          <w:rFonts w:ascii="Arial" w:hAnsi="Arial" w:cs="Arial"/>
          <w:sz w:val="24"/>
          <w:szCs w:val="24"/>
        </w:rPr>
        <w:t xml:space="preserve"> </w:t>
      </w:r>
      <w:r w:rsidRPr="0012350E">
        <w:rPr>
          <w:rFonts w:ascii="Arial" w:hAnsi="Arial" w:cs="Arial"/>
          <w:sz w:val="24"/>
          <w:szCs w:val="24"/>
        </w:rPr>
        <w:t>хэмжээ мэдэгдэхүйц их</w:t>
      </w:r>
      <w:r>
        <w:rPr>
          <w:rFonts w:ascii="Arial" w:hAnsi="Arial" w:cs="Arial"/>
          <w:sz w:val="24"/>
          <w:szCs w:val="24"/>
        </w:rPr>
        <w:t>эсч</w:t>
      </w:r>
      <w:r w:rsidRPr="0012350E">
        <w:rPr>
          <w:rFonts w:ascii="Arial" w:hAnsi="Arial" w:cs="Arial"/>
          <w:sz w:val="24"/>
          <w:szCs w:val="24"/>
        </w:rPr>
        <w:t xml:space="preserve"> байгаа ба түүнд тооцогдох хүүгийн </w:t>
      </w:r>
      <w:r>
        <w:rPr>
          <w:rFonts w:ascii="Arial" w:hAnsi="Arial" w:cs="Arial"/>
          <w:sz w:val="24"/>
          <w:szCs w:val="24"/>
        </w:rPr>
        <w:t xml:space="preserve">шимтгэлийн </w:t>
      </w:r>
      <w:r w:rsidRPr="0012350E">
        <w:rPr>
          <w:rFonts w:ascii="Arial" w:hAnsi="Arial" w:cs="Arial"/>
          <w:sz w:val="24"/>
          <w:szCs w:val="24"/>
        </w:rPr>
        <w:t>хэмжээ өссөөр байна</w:t>
      </w:r>
      <w:r>
        <w:rPr>
          <w:rFonts w:ascii="Arial" w:hAnsi="Arial" w:cs="Arial"/>
          <w:sz w:val="24"/>
          <w:szCs w:val="24"/>
        </w:rPr>
        <w:t xml:space="preserve">. </w:t>
      </w:r>
      <w:r w:rsidRPr="0012350E">
        <w:rPr>
          <w:rFonts w:ascii="Arial" w:hAnsi="Arial" w:cs="Arial"/>
          <w:sz w:val="24"/>
          <w:szCs w:val="24"/>
        </w:rPr>
        <w:t xml:space="preserve">Цаашид Засгийн газрын гадаад зээлийн хөрөнгөөр хэрэгжиж буй төслүүдийн үр ашгийг нэмэгдүүлэх, ашиглагдаагүй зээлийн хэмжээг хязгаарлах, гадаад зээлийн гэрээ хэлэлцээр байгуулахаас өмнөх төслийн бэлтгэл ажлыг Монголын талаас шуурхайлан хэрэгжүүлэх зайлшгүй шаардлагатай байна. </w:t>
      </w:r>
      <w:r w:rsidRPr="0012350E" w:rsidDel="005B5F04">
        <w:rPr>
          <w:rFonts w:ascii="Arial" w:hAnsi="Arial" w:cs="Arial"/>
          <w:sz w:val="24"/>
          <w:szCs w:val="24"/>
        </w:rPr>
        <w:t xml:space="preserve">Иймд гадаад зээлийн хөрөнгөөр санхүүжүүлэх төслийн бэлэн байдал хангагдсан, </w:t>
      </w:r>
      <w:r w:rsidRPr="0012350E">
        <w:rPr>
          <w:rFonts w:ascii="Arial" w:hAnsi="Arial" w:cs="Arial"/>
          <w:sz w:val="24"/>
          <w:szCs w:val="24"/>
        </w:rPr>
        <w:t xml:space="preserve">бодит </w:t>
      </w:r>
      <w:r w:rsidRPr="0012350E">
        <w:rPr>
          <w:rFonts w:ascii="Arial" w:hAnsi="Arial" w:cs="Arial"/>
          <w:sz w:val="24"/>
          <w:szCs w:val="24"/>
        </w:rPr>
        <w:lastRenderedPageBreak/>
        <w:t>секторт чиглэсэн төслүүдэд хөрөнгө оруулалт хийснээр</w:t>
      </w:r>
      <w:r w:rsidRPr="0012350E" w:rsidDel="005B5F04">
        <w:rPr>
          <w:rFonts w:ascii="Arial" w:hAnsi="Arial" w:cs="Arial"/>
          <w:sz w:val="24"/>
          <w:szCs w:val="24"/>
        </w:rPr>
        <w:t xml:space="preserve"> Засгийн газрын </w:t>
      </w:r>
      <w:r w:rsidRPr="0012350E">
        <w:rPr>
          <w:rFonts w:ascii="Arial" w:hAnsi="Arial" w:cs="Arial"/>
          <w:sz w:val="24"/>
          <w:szCs w:val="24"/>
        </w:rPr>
        <w:t>гадаад зээлийн бодлогын хэрэгжилт</w:t>
      </w:r>
      <w:r w:rsidRPr="0012350E" w:rsidDel="005B5F04">
        <w:rPr>
          <w:rFonts w:ascii="Arial" w:hAnsi="Arial" w:cs="Arial"/>
          <w:sz w:val="24"/>
          <w:szCs w:val="24"/>
        </w:rPr>
        <w:t xml:space="preserve"> сайж</w:t>
      </w:r>
      <w:r w:rsidRPr="0012350E">
        <w:rPr>
          <w:rFonts w:ascii="Arial" w:hAnsi="Arial" w:cs="Arial"/>
          <w:sz w:val="24"/>
          <w:szCs w:val="24"/>
        </w:rPr>
        <w:t>ирч, төсвийн зардал дахь ашиглагдаагүй зээлийн үлдэгдэлд төлж буй шимтгэлийн хэмжээ буурах орчин нөхцөл бүрдэнэ</w:t>
      </w:r>
      <w:r w:rsidRPr="0012350E" w:rsidDel="005B5F04">
        <w:rPr>
          <w:rFonts w:ascii="Arial" w:hAnsi="Arial" w:cs="Arial"/>
          <w:sz w:val="24"/>
          <w:szCs w:val="24"/>
        </w:rPr>
        <w:t xml:space="preserve">. </w:t>
      </w:r>
    </w:p>
    <w:p w14:paraId="2589DC02" w14:textId="77777777" w:rsidR="00C774CF" w:rsidRPr="0012350E" w:rsidRDefault="00C774CF" w:rsidP="00C774CF">
      <w:pPr>
        <w:pStyle w:val="NoSpacing"/>
        <w:spacing w:line="240" w:lineRule="auto"/>
        <w:rPr>
          <w:rFonts w:ascii="Arial" w:hAnsi="Arial" w:cs="Arial"/>
          <w:sz w:val="24"/>
          <w:szCs w:val="24"/>
        </w:rPr>
      </w:pPr>
      <w:r w:rsidRPr="0012350E">
        <w:rPr>
          <w:rFonts w:ascii="Arial" w:hAnsi="Arial" w:cs="Arial"/>
          <w:b/>
          <w:sz w:val="24"/>
          <w:szCs w:val="24"/>
        </w:rPr>
        <w:tab/>
        <w:t>Хэрэгжүүлэх арга зам:</w:t>
      </w:r>
    </w:p>
    <w:p w14:paraId="34CA04DB" w14:textId="77777777" w:rsidR="00C774CF" w:rsidRPr="0012350E" w:rsidRDefault="00C774CF" w:rsidP="00C774CF">
      <w:pPr>
        <w:pStyle w:val="NoSpacing"/>
        <w:numPr>
          <w:ilvl w:val="0"/>
          <w:numId w:val="1"/>
        </w:numPr>
        <w:spacing w:after="0" w:line="240" w:lineRule="auto"/>
        <w:ind w:left="720"/>
        <w:rPr>
          <w:rFonts w:ascii="Arial" w:hAnsi="Arial" w:cs="Arial"/>
          <w:sz w:val="24"/>
          <w:szCs w:val="24"/>
        </w:rPr>
      </w:pPr>
      <w:r w:rsidRPr="0012350E">
        <w:rPr>
          <w:rFonts w:ascii="Arial" w:hAnsi="Arial" w:cs="Arial"/>
          <w:sz w:val="24"/>
          <w:szCs w:val="24"/>
        </w:rPr>
        <w:t>Эдийн засгийн бодит өсөлт болон экспортын орлогыг нэмэгдүүлэхгүй,  гадаад улс орны худалдан авалтыг дэмжих замаар импортыг өсгөж, төлбөрийн тэнцэлд дарамт учруулах нөлөө бүхий Засгийн газрын гадаад зээлийн эх үүсвэрийг авч ашиглахаас татгалзах;</w:t>
      </w:r>
    </w:p>
    <w:p w14:paraId="45290E04" w14:textId="77777777" w:rsidR="00C774CF" w:rsidRPr="0012350E" w:rsidDel="005B5F04" w:rsidRDefault="00C774CF" w:rsidP="00C774CF">
      <w:pPr>
        <w:pStyle w:val="NoSpacing"/>
        <w:numPr>
          <w:ilvl w:val="0"/>
          <w:numId w:val="1"/>
        </w:numPr>
        <w:spacing w:after="0" w:line="240" w:lineRule="auto"/>
        <w:ind w:left="720"/>
        <w:rPr>
          <w:rFonts w:ascii="Arial" w:hAnsi="Arial" w:cs="Arial"/>
          <w:sz w:val="24"/>
          <w:szCs w:val="24"/>
        </w:rPr>
      </w:pPr>
      <w:r w:rsidRPr="0012350E">
        <w:rPr>
          <w:rFonts w:ascii="Arial" w:hAnsi="Arial" w:cs="Arial"/>
          <w:sz w:val="24"/>
          <w:szCs w:val="24"/>
        </w:rPr>
        <w:t>Өрийн удирдлагын тухай хуулийн 7 дугаар зүйлийн 7.1.6</w:t>
      </w:r>
      <w:r w:rsidRPr="0012350E">
        <w:rPr>
          <w:rStyle w:val="FootnoteReference"/>
          <w:rFonts w:ascii="Arial" w:hAnsi="Arial" w:cs="Arial"/>
          <w:sz w:val="24"/>
          <w:szCs w:val="24"/>
        </w:rPr>
        <w:footnoteReference w:id="12"/>
      </w:r>
      <w:r w:rsidRPr="0012350E">
        <w:rPr>
          <w:rFonts w:ascii="Arial" w:hAnsi="Arial" w:cs="Arial"/>
          <w:sz w:val="24"/>
          <w:szCs w:val="24"/>
        </w:rPr>
        <w:t>-д зааснаас бусад тохиолдолд зөвхөн бодит эдийн засгийн салбарт чиглэсэн төслийг санхүүжүүлэх зориулалтаар Засгийн газрын гадаад зээл авч ашиглах;</w:t>
      </w:r>
      <w:r w:rsidRPr="0012350E" w:rsidDel="003C404E">
        <w:rPr>
          <w:rFonts w:ascii="Arial" w:hAnsi="Arial" w:cs="Arial"/>
          <w:sz w:val="24"/>
          <w:szCs w:val="24"/>
        </w:rPr>
        <w:t xml:space="preserve"> </w:t>
      </w:r>
    </w:p>
    <w:p w14:paraId="530B7BBB" w14:textId="77777777" w:rsidR="00C774CF" w:rsidRPr="0012350E" w:rsidRDefault="00C774CF" w:rsidP="00C774CF">
      <w:pPr>
        <w:pStyle w:val="NoSpacing"/>
        <w:numPr>
          <w:ilvl w:val="0"/>
          <w:numId w:val="1"/>
        </w:numPr>
        <w:spacing w:line="240" w:lineRule="auto"/>
        <w:ind w:left="720"/>
        <w:rPr>
          <w:rFonts w:ascii="Arial" w:hAnsi="Arial" w:cs="Arial"/>
          <w:sz w:val="24"/>
          <w:szCs w:val="24"/>
        </w:rPr>
      </w:pPr>
      <w:r w:rsidRPr="0012350E">
        <w:rPr>
          <w:rFonts w:ascii="Arial" w:hAnsi="Arial" w:cs="Arial"/>
          <w:sz w:val="24"/>
          <w:szCs w:val="24"/>
        </w:rPr>
        <w:t>Төсвийн алдагдлыг санхүүжүүлэх зорилгоор арилжааны нөхцөлтэй зээллэг хийхгүй байх.</w:t>
      </w:r>
    </w:p>
    <w:p w14:paraId="5AD4A827" w14:textId="77777777" w:rsidR="00864010" w:rsidRPr="0046672D" w:rsidRDefault="00864010" w:rsidP="000B6A0A">
      <w:pPr>
        <w:pStyle w:val="NoSpacing"/>
        <w:spacing w:after="0" w:line="240" w:lineRule="auto"/>
        <w:rPr>
          <w:rFonts w:ascii="Arial" w:hAnsi="Arial" w:cs="Arial"/>
          <w:b/>
          <w:sz w:val="24"/>
          <w:szCs w:val="24"/>
        </w:rPr>
      </w:pPr>
    </w:p>
    <w:p w14:paraId="60D369EE" w14:textId="77777777" w:rsidR="00864010" w:rsidRPr="0046672D" w:rsidRDefault="00864010" w:rsidP="000B6A0A">
      <w:pPr>
        <w:pStyle w:val="NoSpacing"/>
        <w:spacing w:after="0" w:line="240" w:lineRule="auto"/>
        <w:rPr>
          <w:rFonts w:ascii="Arial" w:hAnsi="Arial" w:cs="Arial"/>
          <w:b/>
          <w:sz w:val="24"/>
          <w:szCs w:val="24"/>
        </w:rPr>
      </w:pPr>
    </w:p>
    <w:p w14:paraId="501844E9" w14:textId="2B43BDC1" w:rsidR="000B6A0A" w:rsidRPr="0046672D" w:rsidRDefault="000B6A0A" w:rsidP="000B6A0A">
      <w:pPr>
        <w:pStyle w:val="NoSpacing"/>
        <w:spacing w:after="0" w:line="240" w:lineRule="auto"/>
        <w:rPr>
          <w:rFonts w:ascii="Arial" w:hAnsi="Arial" w:cs="Arial"/>
          <w:b/>
          <w:sz w:val="24"/>
          <w:szCs w:val="24"/>
        </w:rPr>
      </w:pPr>
      <w:r w:rsidRPr="0046672D">
        <w:rPr>
          <w:rFonts w:ascii="Arial" w:hAnsi="Arial" w:cs="Arial"/>
          <w:b/>
          <w:sz w:val="24"/>
          <w:szCs w:val="24"/>
        </w:rPr>
        <w:t>Зорилт 2:</w:t>
      </w:r>
      <w:r w:rsidR="00864010" w:rsidRPr="0046672D">
        <w:rPr>
          <w:rFonts w:ascii="Arial" w:hAnsi="Arial" w:cs="Arial"/>
          <w:b/>
          <w:sz w:val="24"/>
          <w:szCs w:val="24"/>
        </w:rPr>
        <w:t xml:space="preserve"> Засгийн газрын гадаад үнэт цаас /ЗГГҮЦ/-ны төлбөрүүдийг эдийн засаг, төсөвт дарамт учруулахгүйгээр төлж, дахин санхүүжилтийн эрсдэлийг бууруулна.</w:t>
      </w:r>
    </w:p>
    <w:p w14:paraId="4E188DB0" w14:textId="77777777" w:rsidR="000B6A0A" w:rsidRPr="0046672D" w:rsidRDefault="000B6A0A" w:rsidP="000B6A0A">
      <w:pPr>
        <w:pStyle w:val="NoSpacing"/>
        <w:spacing w:after="0" w:line="240" w:lineRule="auto"/>
        <w:rPr>
          <w:rFonts w:ascii="Arial" w:hAnsi="Arial" w:cs="Arial"/>
          <w:b/>
          <w:sz w:val="24"/>
          <w:szCs w:val="24"/>
        </w:rPr>
      </w:pPr>
    </w:p>
    <w:p w14:paraId="1F007A1F"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b/>
          <w:sz w:val="24"/>
          <w:szCs w:val="24"/>
        </w:rPr>
        <w:tab/>
        <w:t xml:space="preserve">Үндэслэл: </w:t>
      </w:r>
      <w:r w:rsidRPr="0046672D">
        <w:rPr>
          <w:rFonts w:ascii="Arial" w:hAnsi="Arial" w:cs="Arial"/>
          <w:sz w:val="24"/>
          <w:szCs w:val="24"/>
        </w:rPr>
        <w:t xml:space="preserve">Дэлхийн нийгэм эдийн засгийн нөхцөл байдал, олон улсын хөрөнгийн зах зээлийн гэнэтийн өөрчлөлт, төлөв байдлаас хамааран Засгийн газрын гадаад өрийн зохицуулалтын арга хэмжээг авч хэрэгжүүлэх шаардлагууд энэхүү стратегийн баримт бичгийн хугацаанд үүснэ. Тухайлбал 2023-2024 онуудад Засгийн газрын гадаад бондын төлөлтийн хувьд өндөр ачаалалтай жилүүд болж байна. </w:t>
      </w:r>
    </w:p>
    <w:p w14:paraId="7059C14A" w14:textId="77777777" w:rsidR="000B6A0A" w:rsidRPr="0046672D" w:rsidRDefault="000B6A0A" w:rsidP="000B6A0A">
      <w:pPr>
        <w:pStyle w:val="NoSpacing"/>
        <w:spacing w:line="240" w:lineRule="auto"/>
        <w:rPr>
          <w:rFonts w:ascii="Arial" w:hAnsi="Arial" w:cs="Arial"/>
          <w:b/>
          <w:sz w:val="24"/>
          <w:szCs w:val="24"/>
        </w:rPr>
      </w:pPr>
      <w:r w:rsidRPr="0046672D">
        <w:rPr>
          <w:rFonts w:ascii="Arial" w:hAnsi="Arial" w:cs="Arial"/>
          <w:b/>
          <w:sz w:val="24"/>
          <w:szCs w:val="24"/>
        </w:rPr>
        <w:tab/>
        <w:t>Хэрэгжүүлэх арга зам:</w:t>
      </w:r>
      <w:r w:rsidRPr="0046672D">
        <w:rPr>
          <w:rFonts w:ascii="Arial" w:hAnsi="Arial" w:cs="Arial"/>
          <w:b/>
          <w:sz w:val="24"/>
          <w:szCs w:val="24"/>
        </w:rPr>
        <w:tab/>
      </w:r>
    </w:p>
    <w:p w14:paraId="3E591F68" w14:textId="77777777" w:rsidR="000B6A0A" w:rsidRPr="0046672D" w:rsidRDefault="000B6A0A" w:rsidP="00FE3633">
      <w:pPr>
        <w:pStyle w:val="NoSpacing"/>
        <w:numPr>
          <w:ilvl w:val="0"/>
          <w:numId w:val="9"/>
        </w:numPr>
        <w:spacing w:after="0" w:line="240" w:lineRule="auto"/>
        <w:rPr>
          <w:rFonts w:ascii="Arial" w:hAnsi="Arial" w:cs="Arial"/>
          <w:sz w:val="24"/>
          <w:szCs w:val="24"/>
        </w:rPr>
      </w:pPr>
      <w:r w:rsidRPr="0046672D">
        <w:rPr>
          <w:rFonts w:ascii="Arial" w:hAnsi="Arial" w:cs="Arial"/>
          <w:sz w:val="24"/>
          <w:szCs w:val="24"/>
        </w:rPr>
        <w:t>Гадаад зах зээлийн нөхцөл байдал, зардал, эрсдэлийн судалгааг тогтмол хийж, Засгийн газрын гадаад үнэт цаасыг хугацаанаас өмнө худалдан авах арга хэмжээг хэрэгжүүлэх;</w:t>
      </w:r>
    </w:p>
    <w:p w14:paraId="7C16A56E" w14:textId="77777777" w:rsidR="000B6A0A" w:rsidRPr="0046672D" w:rsidRDefault="000B6A0A" w:rsidP="00FE3633">
      <w:pPr>
        <w:pStyle w:val="NoSpacing"/>
        <w:numPr>
          <w:ilvl w:val="0"/>
          <w:numId w:val="9"/>
        </w:numPr>
        <w:spacing w:after="0" w:line="240" w:lineRule="auto"/>
        <w:rPr>
          <w:rFonts w:ascii="Arial" w:eastAsia="Times New Roman" w:hAnsi="Arial" w:cs="Arial"/>
          <w:sz w:val="24"/>
          <w:szCs w:val="24"/>
        </w:rPr>
      </w:pPr>
      <w:r w:rsidRPr="0046672D">
        <w:rPr>
          <w:rFonts w:ascii="Arial" w:hAnsi="Arial" w:cs="Arial"/>
          <w:sz w:val="24"/>
          <w:szCs w:val="24"/>
        </w:rPr>
        <w:t>Засгийн газрын гадаад үнэт цаас</w:t>
      </w:r>
      <w:r w:rsidRPr="0046672D">
        <w:rPr>
          <w:rFonts w:ascii="Arial" w:eastAsia="Times New Roman" w:hAnsi="Arial" w:cs="Arial"/>
          <w:sz w:val="24"/>
          <w:szCs w:val="24"/>
        </w:rPr>
        <w:t xml:space="preserve">ны төлбөрийг мөнгөн хөрөнгийн хуримтлалаас боломжит хэмжээгээр төлөх, өрийн зохицуулалтын арга хэмжээ, хугацаанаас нь өмнө худалдан авах, дахин санхүүжүүлэх зэрэг арга хэмжээнүүдийг </w:t>
      </w:r>
      <w:r w:rsidRPr="0046672D">
        <w:rPr>
          <w:rFonts w:ascii="Arial" w:hAnsi="Arial" w:cs="Arial"/>
          <w:sz w:val="24"/>
          <w:szCs w:val="24"/>
        </w:rPr>
        <w:t>авч хэрэгжүүлэх</w:t>
      </w:r>
      <w:r w:rsidRPr="0046672D">
        <w:rPr>
          <w:rFonts w:ascii="Arial" w:eastAsia="Times New Roman" w:hAnsi="Arial" w:cs="Arial"/>
          <w:sz w:val="24"/>
          <w:szCs w:val="24"/>
        </w:rPr>
        <w:t>;</w:t>
      </w:r>
    </w:p>
    <w:p w14:paraId="0BD56633" w14:textId="77777777" w:rsidR="000B6A0A" w:rsidRPr="0046672D" w:rsidRDefault="000B6A0A" w:rsidP="00FE3633">
      <w:pPr>
        <w:pStyle w:val="NoSpacing"/>
        <w:numPr>
          <w:ilvl w:val="0"/>
          <w:numId w:val="9"/>
        </w:numPr>
        <w:spacing w:after="0" w:line="240" w:lineRule="auto"/>
        <w:rPr>
          <w:rFonts w:ascii="Arial" w:eastAsia="Times New Roman" w:hAnsi="Arial" w:cs="Arial"/>
          <w:sz w:val="24"/>
          <w:szCs w:val="24"/>
        </w:rPr>
      </w:pPr>
      <w:r w:rsidRPr="0046672D">
        <w:rPr>
          <w:rFonts w:ascii="Arial" w:eastAsia="Times New Roman" w:hAnsi="Arial" w:cs="Arial"/>
          <w:sz w:val="24"/>
          <w:szCs w:val="24"/>
        </w:rPr>
        <w:t xml:space="preserve">Дахин санхүүжилтээс бусад зориулалтаар </w:t>
      </w:r>
      <w:r w:rsidRPr="0046672D">
        <w:rPr>
          <w:rFonts w:ascii="Arial" w:hAnsi="Arial" w:cs="Arial"/>
          <w:sz w:val="24"/>
          <w:szCs w:val="24"/>
        </w:rPr>
        <w:t>Засгийн газрын гадаад үнэт цаас</w:t>
      </w:r>
      <w:r w:rsidRPr="0046672D">
        <w:rPr>
          <w:rFonts w:ascii="Arial" w:eastAsia="Times New Roman" w:hAnsi="Arial" w:cs="Arial"/>
          <w:sz w:val="24"/>
          <w:szCs w:val="24"/>
        </w:rPr>
        <w:t>ыг арилжаалахгүй байх;</w:t>
      </w:r>
    </w:p>
    <w:p w14:paraId="14BE621C" w14:textId="77777777" w:rsidR="000B6A0A" w:rsidRPr="0046672D" w:rsidRDefault="000B6A0A" w:rsidP="00FE3633">
      <w:pPr>
        <w:pStyle w:val="NoSpacing"/>
        <w:numPr>
          <w:ilvl w:val="0"/>
          <w:numId w:val="9"/>
        </w:numPr>
        <w:spacing w:line="240" w:lineRule="auto"/>
        <w:rPr>
          <w:rFonts w:ascii="Arial" w:eastAsia="Times New Roman" w:hAnsi="Arial" w:cs="Arial"/>
          <w:sz w:val="28"/>
          <w:szCs w:val="28"/>
        </w:rPr>
      </w:pPr>
      <w:r w:rsidRPr="0046672D">
        <w:rPr>
          <w:rFonts w:ascii="Arial" w:hAnsi="Arial" w:cs="Arial"/>
          <w:sz w:val="24"/>
          <w:szCs w:val="24"/>
        </w:rPr>
        <w:t>Улсын зээлжих зэрэглэлийг сайжруулах үүднээс зэрэглэл тогтоогч байгууллага, хөрөнгө оруулагчдыг мэдээллээр тогтмол ханган хамтарч ажиллах.</w:t>
      </w:r>
    </w:p>
    <w:p w14:paraId="66C68CC2" w14:textId="31566365" w:rsidR="000B6A0A" w:rsidRPr="0046672D" w:rsidRDefault="000B6A0A" w:rsidP="000B6A0A">
      <w:pPr>
        <w:pStyle w:val="NoSpacing"/>
        <w:spacing w:after="0" w:line="240" w:lineRule="auto"/>
        <w:rPr>
          <w:rFonts w:ascii="Arial" w:eastAsia="Times New Roman" w:hAnsi="Arial" w:cs="Arial"/>
          <w:b/>
          <w:sz w:val="24"/>
          <w:szCs w:val="24"/>
        </w:rPr>
      </w:pPr>
      <w:r w:rsidRPr="0046672D">
        <w:rPr>
          <w:rFonts w:ascii="Arial" w:eastAsia="Times New Roman" w:hAnsi="Arial" w:cs="Arial"/>
          <w:b/>
          <w:sz w:val="24"/>
          <w:szCs w:val="24"/>
        </w:rPr>
        <w:t xml:space="preserve">Зорилт 3: </w:t>
      </w:r>
      <w:r w:rsidRPr="0046672D">
        <w:rPr>
          <w:rFonts w:ascii="Arial" w:hAnsi="Arial" w:cs="Arial"/>
          <w:b/>
          <w:sz w:val="24"/>
          <w:szCs w:val="24"/>
        </w:rPr>
        <w:t xml:space="preserve">Засгийн газрын өрийн удирдлагын тогтолцоог сайжруулж орчин үеийн чиг хандлагад нийцүүлэх, </w:t>
      </w:r>
      <w:r w:rsidRPr="0046672D">
        <w:rPr>
          <w:rFonts w:ascii="Arial" w:eastAsia="Times New Roman" w:hAnsi="Arial" w:cs="Arial"/>
          <w:b/>
          <w:sz w:val="24"/>
          <w:szCs w:val="24"/>
        </w:rPr>
        <w:t>Засгийн газрын өрийн багц дахь зах зээлийн эрсдэлээс сэргийлэх зорилгоор үүсмэл арга хэрэгслийг өрийн зохицуулалтын үйл ажиллагаанд нэвтрүүл</w:t>
      </w:r>
      <w:r w:rsidR="00A03EC1" w:rsidRPr="0046672D">
        <w:rPr>
          <w:rFonts w:ascii="Arial" w:eastAsia="Times New Roman" w:hAnsi="Arial" w:cs="Arial"/>
          <w:b/>
          <w:sz w:val="24"/>
          <w:szCs w:val="24"/>
        </w:rPr>
        <w:t>нэ</w:t>
      </w:r>
      <w:r w:rsidRPr="0046672D">
        <w:rPr>
          <w:rFonts w:ascii="Arial" w:eastAsia="Times New Roman" w:hAnsi="Arial" w:cs="Arial"/>
          <w:b/>
          <w:sz w:val="24"/>
          <w:szCs w:val="24"/>
        </w:rPr>
        <w:t>.</w:t>
      </w:r>
    </w:p>
    <w:p w14:paraId="6A12DE58" w14:textId="77777777" w:rsidR="000B6A0A" w:rsidRPr="0046672D" w:rsidRDefault="000B6A0A" w:rsidP="000B6A0A">
      <w:pPr>
        <w:pStyle w:val="NoSpacing"/>
        <w:spacing w:after="0" w:line="240" w:lineRule="auto"/>
        <w:rPr>
          <w:rFonts w:ascii="Arial" w:eastAsia="Times New Roman" w:hAnsi="Arial" w:cs="Arial"/>
          <w:sz w:val="24"/>
          <w:szCs w:val="24"/>
        </w:rPr>
      </w:pPr>
    </w:p>
    <w:p w14:paraId="70E8B713" w14:textId="77777777" w:rsidR="000B6A0A" w:rsidRPr="0046672D" w:rsidRDefault="000B6A0A" w:rsidP="000B6A0A">
      <w:pPr>
        <w:pStyle w:val="NoSpacing"/>
        <w:spacing w:line="240" w:lineRule="auto"/>
        <w:ind w:firstLine="720"/>
        <w:rPr>
          <w:rFonts w:ascii="Arial" w:hAnsi="Arial" w:cs="Arial"/>
          <w:sz w:val="24"/>
          <w:szCs w:val="24"/>
        </w:rPr>
      </w:pPr>
      <w:r w:rsidRPr="0046672D">
        <w:rPr>
          <w:rFonts w:ascii="Arial" w:hAnsi="Arial" w:cs="Arial"/>
          <w:b/>
          <w:sz w:val="24"/>
          <w:szCs w:val="24"/>
        </w:rPr>
        <w:t>Үндэслэл:</w:t>
      </w:r>
      <w:r w:rsidRPr="0046672D">
        <w:rPr>
          <w:rFonts w:ascii="Arial" w:hAnsi="Arial" w:cs="Arial"/>
          <w:sz w:val="24"/>
          <w:szCs w:val="24"/>
        </w:rPr>
        <w:t xml:space="preserve"> Дэлхийн хамгийн том эдийн засаг болох АНУ-д инфляцын түвшин 2022 оны 3 дугаар сарын байдлаар сүүлийн 40 жилийн хугацаан дахь хамгийн дээд түвшиндээ хүрсний улмаас тус улсын Төв банкнаас бодлогын хүүгийн түвшинг 2 хувьд </w:t>
      </w:r>
      <w:r w:rsidRPr="0046672D">
        <w:rPr>
          <w:rFonts w:ascii="Arial" w:hAnsi="Arial" w:cs="Arial"/>
          <w:sz w:val="24"/>
          <w:szCs w:val="24"/>
        </w:rPr>
        <w:lastRenderedPageBreak/>
        <w:t>хүргэх тухай урт хугацааны зорилтоо олон нийтэд мэдэгдсэн. Улмаар АНУ-ын бодлогын хүү өсөх нь ам.долларын ханш бусад улсын валютын эсрэг чангарах, дэлхийн санхүүгийн зах зээл дээрх суурь хүүг нэмэгдүүлэх зэрэг нөлөө үзүүлснээр Засгийн газрын өрийн багц дахь валютын болон хүүгийн түвшний эрсдэлийг нэмэгдүүлэх, гадаад өрийн дахин санхүүжилтийн зардлыг өсгөх зэрэг сөрөг үр дагавруудтай тул Засгийн газраас цаашид дээрх эрсдэлүүдээс сэргийлэх арга хэмжээг авч хэрэгжүүлэх шаардлагатай байна.</w:t>
      </w:r>
    </w:p>
    <w:p w14:paraId="2AC43D54" w14:textId="77777777" w:rsidR="000B6A0A" w:rsidRPr="0046672D" w:rsidRDefault="000B6A0A" w:rsidP="000B6A0A">
      <w:pPr>
        <w:pStyle w:val="NoSpacing"/>
        <w:spacing w:after="0" w:line="240" w:lineRule="auto"/>
        <w:rPr>
          <w:rFonts w:ascii="Arial" w:hAnsi="Arial" w:cs="Arial"/>
          <w:b/>
          <w:sz w:val="24"/>
          <w:szCs w:val="24"/>
        </w:rPr>
      </w:pPr>
    </w:p>
    <w:p w14:paraId="457188DF" w14:textId="77777777" w:rsidR="000B6A0A" w:rsidRPr="0046672D" w:rsidRDefault="000B6A0A" w:rsidP="000B6A0A">
      <w:pPr>
        <w:pStyle w:val="NoSpacing"/>
        <w:spacing w:line="240" w:lineRule="auto"/>
        <w:ind w:firstLine="720"/>
        <w:rPr>
          <w:rFonts w:ascii="Arial" w:eastAsia="Times New Roman" w:hAnsi="Arial" w:cs="Arial"/>
          <w:sz w:val="24"/>
          <w:szCs w:val="24"/>
        </w:rPr>
      </w:pPr>
      <w:r w:rsidRPr="0046672D">
        <w:rPr>
          <w:rFonts w:ascii="Arial" w:hAnsi="Arial" w:cs="Arial"/>
          <w:b/>
          <w:sz w:val="24"/>
          <w:szCs w:val="24"/>
        </w:rPr>
        <w:t>Хэрэгжүүлэх арга зам:</w:t>
      </w:r>
    </w:p>
    <w:p w14:paraId="2F9CA62F" w14:textId="77777777" w:rsidR="000B6A0A" w:rsidRPr="0046672D" w:rsidRDefault="000B6A0A" w:rsidP="00FE3633">
      <w:pPr>
        <w:pStyle w:val="NoSpacing"/>
        <w:numPr>
          <w:ilvl w:val="0"/>
          <w:numId w:val="9"/>
        </w:numPr>
        <w:spacing w:after="0" w:line="240" w:lineRule="auto"/>
        <w:rPr>
          <w:rFonts w:ascii="Arial" w:hAnsi="Arial" w:cs="Arial"/>
          <w:sz w:val="28"/>
          <w:szCs w:val="28"/>
        </w:rPr>
      </w:pPr>
      <w:r w:rsidRPr="0046672D">
        <w:rPr>
          <w:rFonts w:ascii="Arial" w:hAnsi="Arial" w:cs="Arial"/>
          <w:sz w:val="24"/>
          <w:szCs w:val="24"/>
        </w:rPr>
        <w:t>Засгийн газрын хөрөнгө, өр төлбөрийн удирдлагыг хэрэгжүүлэх чиглэлээр Монголбанктай хамтран ажиллаж, гадаад өрийн үйлчилгээний хуваарийг валютын нөөцтэй уялдуулах, шаардлагатай тохиолдолд валют болон хүүгийн своп хэлэлцээрийг зээлдүүлэгч талтай хийх;</w:t>
      </w:r>
    </w:p>
    <w:p w14:paraId="27A02461" w14:textId="77777777" w:rsidR="000B6A0A" w:rsidRPr="0046672D" w:rsidRDefault="000B6A0A" w:rsidP="00FE3633">
      <w:pPr>
        <w:pStyle w:val="NoSpacing"/>
        <w:numPr>
          <w:ilvl w:val="0"/>
          <w:numId w:val="9"/>
        </w:numPr>
        <w:spacing w:after="0" w:line="240" w:lineRule="auto"/>
        <w:rPr>
          <w:rFonts w:ascii="Arial" w:hAnsi="Arial" w:cs="Arial"/>
          <w:sz w:val="24"/>
          <w:szCs w:val="24"/>
        </w:rPr>
      </w:pPr>
      <w:r w:rsidRPr="0046672D">
        <w:rPr>
          <w:rFonts w:ascii="Arial" w:hAnsi="Arial" w:cs="Arial"/>
          <w:sz w:val="24"/>
          <w:szCs w:val="24"/>
        </w:rPr>
        <w:t>Дэлхий нийтэд тулгараад байгаа нь инфляцын өсөлтөөс шалтгаалан гадаад зах зээлд бий болоод буй хүүгийн өсөлтөөс хамааран урт, дунд хугацаанд Засгийн газрын гадаад зээлийн хөвөгч хүү өсөх тохиолдолд тогтмол хүүтэй зээл авах нөхцөлийг зээлдүүлэгч талд тавьж ажиллах;</w:t>
      </w:r>
    </w:p>
    <w:p w14:paraId="45A065C5" w14:textId="77777777" w:rsidR="000B6A0A" w:rsidRPr="0046672D" w:rsidRDefault="000B6A0A" w:rsidP="00FE3633">
      <w:pPr>
        <w:pStyle w:val="NoSpacing"/>
        <w:numPr>
          <w:ilvl w:val="0"/>
          <w:numId w:val="9"/>
        </w:numPr>
        <w:spacing w:after="0" w:line="240" w:lineRule="auto"/>
        <w:rPr>
          <w:rFonts w:ascii="Arial" w:hAnsi="Arial" w:cs="Arial"/>
          <w:sz w:val="28"/>
          <w:szCs w:val="28"/>
        </w:rPr>
      </w:pPr>
      <w:r w:rsidRPr="0046672D">
        <w:rPr>
          <w:rFonts w:ascii="Arial" w:hAnsi="Arial" w:cs="Arial"/>
          <w:sz w:val="24"/>
          <w:szCs w:val="24"/>
        </w:rPr>
        <w:t>Тогтвортой хөгжлийн зорилтод нийцсэн төсөл, арга хэмжээг дэмжиж, тэдгээрийн санхүүжилтийг “Тогтвортой хөгжлийн зорилтод нийцсэн</w:t>
      </w:r>
      <w:r w:rsidRPr="0046672D" w:rsidDel="008D77AE">
        <w:rPr>
          <w:rFonts w:ascii="Arial" w:hAnsi="Arial" w:cs="Arial"/>
          <w:sz w:val="24"/>
          <w:szCs w:val="24"/>
        </w:rPr>
        <w:t xml:space="preserve"> </w:t>
      </w:r>
      <w:r w:rsidRPr="0046672D">
        <w:rPr>
          <w:rFonts w:ascii="Arial" w:hAnsi="Arial" w:cs="Arial"/>
          <w:sz w:val="24"/>
          <w:szCs w:val="24"/>
        </w:rPr>
        <w:t>өрийн хэрэгсэл”-тэй уялдуулж, Засгийн газрын өрийн зохицуулалтын арга хэмжээнд нэвтрүүлэх боломжийг судалж, бэлтгэл ажлыг хангуулахад яамдтай хамтран ажиллан, энэ талаарх ач холбогдлыг олон нийтэд таниулах;</w:t>
      </w:r>
    </w:p>
    <w:p w14:paraId="356D09D0" w14:textId="77777777" w:rsidR="000B6A0A" w:rsidRPr="0046672D" w:rsidRDefault="000B6A0A" w:rsidP="00FE3633">
      <w:pPr>
        <w:pStyle w:val="NoSpacing"/>
        <w:numPr>
          <w:ilvl w:val="0"/>
          <w:numId w:val="9"/>
        </w:numPr>
        <w:spacing w:after="0" w:line="240" w:lineRule="auto"/>
        <w:rPr>
          <w:rFonts w:ascii="Arial" w:hAnsi="Arial" w:cs="Arial"/>
          <w:sz w:val="28"/>
          <w:szCs w:val="28"/>
        </w:rPr>
      </w:pPr>
      <w:r w:rsidRPr="0046672D">
        <w:rPr>
          <w:rFonts w:ascii="Arial" w:hAnsi="Arial" w:cs="Arial"/>
          <w:sz w:val="24"/>
          <w:szCs w:val="24"/>
        </w:rPr>
        <w:t>Өрийн удирдлагын санхүүгийн шинжилгээний нэгдсэн системийг сайжруулж, мэдээллийн нэгдсэн санг шинэчлэх нөхцөлийг бүрдүүлэх;</w:t>
      </w:r>
    </w:p>
    <w:p w14:paraId="331E42D6" w14:textId="77777777" w:rsidR="000B6A0A" w:rsidRPr="0046672D" w:rsidRDefault="000B6A0A" w:rsidP="00FE3633">
      <w:pPr>
        <w:pStyle w:val="NoSpacing"/>
        <w:numPr>
          <w:ilvl w:val="0"/>
          <w:numId w:val="9"/>
        </w:numPr>
        <w:spacing w:after="0" w:line="240" w:lineRule="auto"/>
        <w:rPr>
          <w:rFonts w:ascii="Arial" w:hAnsi="Arial" w:cs="Arial"/>
          <w:sz w:val="28"/>
          <w:szCs w:val="28"/>
        </w:rPr>
      </w:pPr>
      <w:r w:rsidRPr="0046672D">
        <w:rPr>
          <w:rFonts w:ascii="Arial" w:hAnsi="Arial" w:cs="Arial"/>
          <w:sz w:val="24"/>
          <w:szCs w:val="24"/>
        </w:rPr>
        <w:t>Орон нутгийн засаг, захиргааны өрийн удирдлагын чадавхыг бэхжүүлж, болзошгүй өр төлбөрийн эрсдэлээс сэргийлэх, Засгийн газрын өрийн мэдээллийн нэгдсэн санг хөтлөх талаар хамтарч ажиллах;</w:t>
      </w:r>
    </w:p>
    <w:p w14:paraId="2AF6D027" w14:textId="77777777" w:rsidR="000B6A0A" w:rsidRPr="0046672D" w:rsidRDefault="000B6A0A" w:rsidP="000B6A0A">
      <w:pPr>
        <w:pStyle w:val="NoSpacing"/>
        <w:spacing w:after="0" w:line="240" w:lineRule="auto"/>
        <w:rPr>
          <w:rFonts w:ascii="Arial" w:hAnsi="Arial" w:cs="Arial"/>
          <w:b/>
          <w:sz w:val="24"/>
          <w:szCs w:val="24"/>
          <w:highlight w:val="yellow"/>
        </w:rPr>
      </w:pPr>
    </w:p>
    <w:p w14:paraId="599C3BC9" w14:textId="328BE28A" w:rsidR="000B6A0A" w:rsidRPr="0046672D" w:rsidRDefault="000B6A0A" w:rsidP="000B6A0A">
      <w:pPr>
        <w:pStyle w:val="NoSpacing"/>
        <w:spacing w:after="0" w:line="240" w:lineRule="auto"/>
        <w:rPr>
          <w:rFonts w:ascii="Arial" w:hAnsi="Arial" w:cs="Arial"/>
          <w:b/>
          <w:sz w:val="24"/>
          <w:szCs w:val="24"/>
        </w:rPr>
      </w:pPr>
      <w:r w:rsidRPr="0046672D">
        <w:rPr>
          <w:rFonts w:ascii="Arial" w:hAnsi="Arial" w:cs="Arial"/>
          <w:b/>
          <w:sz w:val="24"/>
          <w:szCs w:val="24"/>
        </w:rPr>
        <w:t>Зорилт 4: Засгийн газрын дотоод үнэт цаасны зах зээлийн хөгжлийг дэмжих, үнэт цаасны арилжааг тогтмолжуул</w:t>
      </w:r>
      <w:r w:rsidR="00A03EC1" w:rsidRPr="0046672D">
        <w:rPr>
          <w:rFonts w:ascii="Arial" w:hAnsi="Arial" w:cs="Arial"/>
          <w:b/>
          <w:sz w:val="24"/>
          <w:szCs w:val="24"/>
        </w:rPr>
        <w:t>на.</w:t>
      </w:r>
    </w:p>
    <w:p w14:paraId="59AE8322" w14:textId="77777777" w:rsidR="000B6A0A" w:rsidRPr="0046672D" w:rsidRDefault="000B6A0A" w:rsidP="000B6A0A">
      <w:pPr>
        <w:pStyle w:val="NoSpacing"/>
        <w:spacing w:after="0" w:line="240" w:lineRule="auto"/>
        <w:rPr>
          <w:rFonts w:ascii="Arial" w:hAnsi="Arial" w:cs="Arial"/>
          <w:b/>
          <w:sz w:val="24"/>
          <w:szCs w:val="24"/>
        </w:rPr>
      </w:pPr>
    </w:p>
    <w:p w14:paraId="16E98586"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b/>
          <w:sz w:val="24"/>
          <w:szCs w:val="24"/>
        </w:rPr>
        <w:tab/>
        <w:t xml:space="preserve">Үндэслэл: </w:t>
      </w:r>
      <w:r w:rsidRPr="0046672D">
        <w:rPr>
          <w:rFonts w:ascii="Arial" w:hAnsi="Arial" w:cs="Arial"/>
          <w:sz w:val="24"/>
          <w:szCs w:val="24"/>
        </w:rPr>
        <w:t xml:space="preserve">Засгийн газрын дотоод үнэт цаасны арилжаа нь хөрөнгийн зах зээл, үнэт цаасны зах зээлийн хөгжилд чухал нөлөөтэйн зэрэгцээ төсвийн алдагдлыг санхүүжүүлэх найдвартай эх үүсвэр болдог тул дотоод өрийн зах зээлийг хөгжүүлэх зорилт нь Өрийн удирдлагын тухай хуулийн дагуу стратегийн баримт бичгийн зорилго, хамрах хүрээний салшгүй хэсэг болж хуульчлагдсан. Иймд 2017 оны 10 дугаар сараас эхлэн зогсоод буй Засгийн газрын дотоод үнэт цаасны зах зээлийн арилжааг дахин нээж, тогтмолжуулах нэн шаардлагатай байна. Засгийн газрын дотоод үнэт цаасны өгөөжийн муруйг бий болгосноор хөрөнгийн зах зээлд эрсдэлгүй үнэт цаасны жишиг хүү тогтох өндөр ач холбогдолтой бөгөөд Засгийн газрын газрын үнэт цаасны арилжааг урьдаас зарласан хэмжээ, нөхцөл бүхий хуваарийн дагуу тогтсон хугацаанд зохион байгуулж хэвшсэнээр үнэт цаасны эрэлтийг дэмжиж, өгөөжийн муруйг бий болгох нөхцөлийг бүрдүүлж өгдөг. Энэ ч үүднээс зарим тохиолдолд Төрийн сан дахь мөнгөн хөрөнгийн дутагдал үүсээгүй байхад Өрийн удирдлагын тухай хуулийн 12.1.3-т заасан зориулалтаар буюу дотоод өрийн зах зээлийг хөгжүүлэх зориулалт бүхий үнэт цаасны арилжаа хэвийн явагдах шаардлагатай болно. </w:t>
      </w:r>
    </w:p>
    <w:p w14:paraId="17B414D0" w14:textId="77777777" w:rsidR="000B6A0A" w:rsidRPr="0046672D" w:rsidRDefault="000B6A0A" w:rsidP="000B6A0A">
      <w:pPr>
        <w:pStyle w:val="NoSpacing"/>
        <w:spacing w:after="0" w:line="240" w:lineRule="auto"/>
        <w:rPr>
          <w:rFonts w:ascii="Arial" w:hAnsi="Arial" w:cs="Arial"/>
          <w:sz w:val="24"/>
          <w:szCs w:val="24"/>
        </w:rPr>
      </w:pPr>
      <w:r w:rsidRPr="0046672D">
        <w:rPr>
          <w:rFonts w:ascii="Arial" w:hAnsi="Arial" w:cs="Arial"/>
          <w:b/>
          <w:sz w:val="24"/>
          <w:szCs w:val="24"/>
        </w:rPr>
        <w:tab/>
        <w:t>Хэрэгжүүлэх арга зам:</w:t>
      </w:r>
    </w:p>
    <w:p w14:paraId="728F2CB4" w14:textId="77777777" w:rsidR="000B6A0A" w:rsidRPr="0046672D" w:rsidRDefault="000B6A0A" w:rsidP="00FE3633">
      <w:pPr>
        <w:pStyle w:val="NoSpacing"/>
        <w:numPr>
          <w:ilvl w:val="0"/>
          <w:numId w:val="11"/>
        </w:numPr>
        <w:spacing w:before="240" w:after="0" w:line="240" w:lineRule="auto"/>
        <w:rPr>
          <w:rFonts w:ascii="Arial" w:hAnsi="Arial" w:cs="Arial"/>
          <w:sz w:val="24"/>
          <w:szCs w:val="24"/>
        </w:rPr>
      </w:pPr>
      <w:r w:rsidRPr="0046672D">
        <w:rPr>
          <w:rFonts w:ascii="Arial" w:hAnsi="Arial" w:cs="Arial"/>
          <w:sz w:val="24"/>
          <w:szCs w:val="24"/>
        </w:rPr>
        <w:lastRenderedPageBreak/>
        <w:t>Засгийн газрын дотоод үнэт цаасны арилжаанд орчин үеийн дэвшилтэт технологийг ашигласан систем нэвтрүүлэх;</w:t>
      </w:r>
    </w:p>
    <w:p w14:paraId="79B2D79E" w14:textId="77777777" w:rsidR="000B6A0A" w:rsidRPr="0046672D" w:rsidRDefault="000B6A0A" w:rsidP="00FE3633">
      <w:pPr>
        <w:pStyle w:val="NoSpacing"/>
        <w:numPr>
          <w:ilvl w:val="0"/>
          <w:numId w:val="11"/>
        </w:numPr>
        <w:spacing w:after="0" w:line="240" w:lineRule="auto"/>
        <w:rPr>
          <w:rFonts w:ascii="Arial" w:hAnsi="Arial" w:cs="Arial"/>
          <w:sz w:val="24"/>
          <w:szCs w:val="24"/>
        </w:rPr>
      </w:pPr>
      <w:r w:rsidRPr="0046672D">
        <w:rPr>
          <w:rFonts w:ascii="Arial" w:hAnsi="Arial" w:cs="Arial"/>
          <w:sz w:val="24"/>
          <w:szCs w:val="24"/>
        </w:rPr>
        <w:t>Засгийн газрын дотоод үнэт цаасны анхдагч болон хоёрдогч арилжаанд оролцсоноор бий болох үр ашиг, эрсдэлийн талаар иргэн, аж ахуйн нэгжийн мэдлэг, мэдээллийг дээшлүүлэх зэрэг арга хэмжээнүүдийг авч хэрэгжүүлэн, хөрөнгө оруулагчдын бааз суурийг нэмэгдүүлэх;</w:t>
      </w:r>
    </w:p>
    <w:p w14:paraId="5D06CDB2" w14:textId="77777777" w:rsidR="000B6A0A" w:rsidRPr="0046672D" w:rsidRDefault="000B6A0A" w:rsidP="00FE3633">
      <w:pPr>
        <w:pStyle w:val="NoSpacing"/>
        <w:numPr>
          <w:ilvl w:val="0"/>
          <w:numId w:val="11"/>
        </w:numPr>
        <w:spacing w:after="0" w:line="240" w:lineRule="auto"/>
        <w:rPr>
          <w:rFonts w:ascii="Arial" w:hAnsi="Arial" w:cs="Arial"/>
          <w:sz w:val="24"/>
          <w:szCs w:val="24"/>
        </w:rPr>
      </w:pPr>
      <w:r w:rsidRPr="0046672D">
        <w:rPr>
          <w:rFonts w:ascii="Arial" w:hAnsi="Arial" w:cs="Arial"/>
          <w:sz w:val="24"/>
          <w:szCs w:val="24"/>
        </w:rPr>
        <w:t>Засгийн газрын дотоод үнэт цаасны анхдагч зах зээл дэх арилжаанд оролцогчдын эрэлтийг нэмэгдүүлэх, хоёрдогч зах зээл дэх үнэт цаасны хөрвөх чадварыг сайжруулах чиглэлээр Засгийн газрын дотоод үнэт цаасыг хугацаанаас нь өмнө буцаан худалдан авах, зорилтот зах зээлд чиглэсэн Засгийн газрын дотоод үнэт цаасны арилжааг зохион байгуулах дэд бүтэц болон хууль</w:t>
      </w:r>
      <w:r w:rsidRPr="0046672D" w:rsidDel="002F0FF5">
        <w:rPr>
          <w:rFonts w:ascii="Arial" w:hAnsi="Arial" w:cs="Arial"/>
          <w:sz w:val="24"/>
          <w:szCs w:val="24"/>
        </w:rPr>
        <w:t xml:space="preserve"> </w:t>
      </w:r>
      <w:r w:rsidRPr="0046672D">
        <w:rPr>
          <w:rFonts w:ascii="Arial" w:hAnsi="Arial" w:cs="Arial"/>
          <w:sz w:val="24"/>
          <w:szCs w:val="24"/>
        </w:rPr>
        <w:t>эрх зүйн орчныг бүрдүүлнэ;</w:t>
      </w:r>
    </w:p>
    <w:p w14:paraId="690E04E5" w14:textId="77777777" w:rsidR="000B6A0A" w:rsidRPr="0046672D" w:rsidRDefault="000B6A0A" w:rsidP="00FE3633">
      <w:pPr>
        <w:pStyle w:val="NoSpacing"/>
        <w:numPr>
          <w:ilvl w:val="0"/>
          <w:numId w:val="11"/>
        </w:numPr>
        <w:spacing w:after="0" w:line="240" w:lineRule="auto"/>
        <w:rPr>
          <w:rFonts w:ascii="Arial" w:hAnsi="Arial" w:cs="Arial"/>
          <w:sz w:val="24"/>
          <w:szCs w:val="24"/>
        </w:rPr>
      </w:pPr>
      <w:r w:rsidRPr="0046672D">
        <w:rPr>
          <w:rFonts w:ascii="Arial" w:hAnsi="Arial" w:cs="Arial"/>
          <w:sz w:val="24"/>
          <w:szCs w:val="24"/>
        </w:rPr>
        <w:t>Засгийн газрын дотоод үнэт цаасны зах зээлийг хөгжүүлэх, хөрөнгийн зах зээл дэх жишиг хүүгийн түвшинг тогтоох зорилгоор жил бүр шинээр гаргах Засгийн газрын дотоод үнэт цаасны 10-20 хүртэлх хувийг урьдчилан зарласан хугацаа, нөхцөл бүхий хуваарийн дагуу арилжаа зохион байгуулагдахаас 3 сарын өмнө олон нийтэд нээлттэй зарлаж, хуваарийн дагуу үнэт цаасны арилжааг зохион байгуулах замаар арилжааг тогтмолжуулах</w:t>
      </w:r>
    </w:p>
    <w:p w14:paraId="59DEC039" w14:textId="77777777" w:rsidR="000B6A0A" w:rsidRPr="0046672D" w:rsidRDefault="000B6A0A" w:rsidP="000B6A0A">
      <w:pPr>
        <w:pStyle w:val="NoSpacing"/>
        <w:spacing w:after="0" w:line="240" w:lineRule="auto"/>
        <w:ind w:left="360"/>
        <w:rPr>
          <w:rFonts w:ascii="Arial" w:hAnsi="Arial" w:cs="Arial"/>
          <w:sz w:val="24"/>
          <w:szCs w:val="24"/>
        </w:rPr>
      </w:pPr>
    </w:p>
    <w:p w14:paraId="51812E49" w14:textId="73D70119" w:rsidR="000B6A0A" w:rsidRPr="0046672D" w:rsidRDefault="000B6A0A" w:rsidP="000B6A0A">
      <w:pPr>
        <w:pStyle w:val="NoSpacing"/>
        <w:spacing w:before="240" w:after="0" w:line="240" w:lineRule="auto"/>
        <w:rPr>
          <w:rFonts w:ascii="Arial" w:hAnsi="Arial" w:cs="Arial"/>
          <w:b/>
          <w:sz w:val="24"/>
          <w:szCs w:val="24"/>
        </w:rPr>
      </w:pPr>
      <w:r w:rsidRPr="0046672D">
        <w:rPr>
          <w:rFonts w:ascii="Arial" w:hAnsi="Arial" w:cs="Arial"/>
          <w:b/>
          <w:sz w:val="24"/>
          <w:szCs w:val="24"/>
        </w:rPr>
        <w:t>Зорилт 5: Улсын стратегийн томоохон төслүүдэд Засгийн газрын өрийн баталгаа гаргах, хувийн хэвшлийн компаниудад дэмжлэг үзүүлэх байдлаар Монгол Улсын эдийн засгийн урт хугацааны зорилтыг хангаж, болзошгүй өр төлбөрийн эрсдэлийг хязгаарла</w:t>
      </w:r>
      <w:r w:rsidR="00A03EC1" w:rsidRPr="0046672D">
        <w:rPr>
          <w:rFonts w:ascii="Arial" w:hAnsi="Arial" w:cs="Arial"/>
          <w:b/>
          <w:sz w:val="24"/>
          <w:szCs w:val="24"/>
        </w:rPr>
        <w:t>на.</w:t>
      </w:r>
    </w:p>
    <w:p w14:paraId="63D98FB8" w14:textId="77777777" w:rsidR="000B6A0A" w:rsidRPr="0046672D" w:rsidRDefault="000B6A0A" w:rsidP="000B6A0A">
      <w:pPr>
        <w:pStyle w:val="NoSpacing"/>
        <w:spacing w:before="240" w:line="240" w:lineRule="auto"/>
        <w:rPr>
          <w:rFonts w:ascii="Arial" w:hAnsi="Arial" w:cs="Arial"/>
          <w:b/>
          <w:sz w:val="28"/>
          <w:szCs w:val="28"/>
        </w:rPr>
      </w:pPr>
      <w:r w:rsidRPr="0046672D">
        <w:rPr>
          <w:rFonts w:ascii="Arial" w:hAnsi="Arial" w:cs="Arial"/>
          <w:b/>
          <w:sz w:val="24"/>
          <w:szCs w:val="24"/>
        </w:rPr>
        <w:tab/>
        <w:t xml:space="preserve">Үндэслэл: </w:t>
      </w:r>
      <w:r w:rsidRPr="0046672D">
        <w:rPr>
          <w:rStyle w:val="normaltextrun"/>
          <w:rFonts w:ascii="Arial" w:hAnsi="Arial" w:cs="Arial"/>
          <w:sz w:val="24"/>
          <w:szCs w:val="24"/>
        </w:rPr>
        <w:t xml:space="preserve">“Шинэ сэргэлтийн бодлого” батлах тухай Улсын Их Хурлын 2021 оны 106 дугаар тогтоол батлагдсан. Энэхүү бодлогын баримт бичиг нь Монгол Улсын эдийн засгийн өсөлтийг хязгаарлаж буй хүчин зүйлсийг арилгаж, урт хугацааны эдийн засгийн өсөлтийг хангах зорилтот төсөл хөтөлбөрүүд, хуулийн төслүүд, үйл ажиллагааны хөтөлбөрүүдээс бүрдсэн. Эдгээр төслүүдийг хэрэгжүүлэхэд тулгарч буй нийтлэг асуудлууд нь төслийг хэрэгжүүлэх бэлтгэл ажил хангалтгүй /Техник, эдийн засгийн үндэслэл, Байгаль орчны нөлөөллийн үнэлгээ, Зураг, төсөл боловсруулагдаагүй, шинэчлэх шаардлагатай гэх мэт/ байхын зэрэгцээ, төслийг санхүүжүүлэх улсын төсвийн боломж бололцоо хомс байдаг. Иймд төслийн бэлтгэл ажил хангагдсан төсөл, хөтөлбөрийн хувьд улсын төсөвт дарамт учруулалгүйгээр санхүүжилтийн эх үүсвэрийг бүрдүүлэхэд дэмжлэг үзүүлэх боломжит хувилбар бол хөрөнгө оруулалтын эх үүсвэрт Засгийн газрын баталгаа гаргах явдал юм. </w:t>
      </w:r>
    </w:p>
    <w:p w14:paraId="2C6B6095" w14:textId="77777777" w:rsidR="000B6A0A" w:rsidRPr="0046672D" w:rsidRDefault="000B6A0A" w:rsidP="000B6A0A">
      <w:pPr>
        <w:pStyle w:val="NoSpacing"/>
        <w:spacing w:line="240" w:lineRule="auto"/>
        <w:rPr>
          <w:rFonts w:ascii="Arial" w:hAnsi="Arial" w:cs="Arial"/>
          <w:sz w:val="24"/>
          <w:szCs w:val="24"/>
        </w:rPr>
      </w:pPr>
      <w:r w:rsidRPr="0046672D">
        <w:rPr>
          <w:rFonts w:ascii="Arial" w:hAnsi="Arial" w:cs="Arial"/>
          <w:b/>
          <w:sz w:val="24"/>
          <w:szCs w:val="24"/>
        </w:rPr>
        <w:tab/>
        <w:t>Хэрэгжүүлэх арга зам:</w:t>
      </w:r>
    </w:p>
    <w:p w14:paraId="2E650CB2" w14:textId="77777777" w:rsidR="000B6A0A" w:rsidRPr="0046672D" w:rsidRDefault="000B6A0A" w:rsidP="00FE3633">
      <w:pPr>
        <w:pStyle w:val="NoSpacing"/>
        <w:numPr>
          <w:ilvl w:val="0"/>
          <w:numId w:val="10"/>
        </w:numPr>
        <w:spacing w:after="0" w:line="240" w:lineRule="auto"/>
        <w:rPr>
          <w:rFonts w:ascii="Arial" w:hAnsi="Arial" w:cs="Arial"/>
          <w:sz w:val="24"/>
          <w:szCs w:val="24"/>
        </w:rPr>
      </w:pPr>
      <w:r w:rsidRPr="0046672D">
        <w:rPr>
          <w:rFonts w:ascii="Arial" w:hAnsi="Arial" w:cs="Arial"/>
          <w:sz w:val="24"/>
          <w:szCs w:val="24"/>
        </w:rPr>
        <w:t>Эдийн засаг болон нийгмийн үр өгөөж өндөртэй, төслийг хэрэгжүүлэх бэлтгэл ажил хангагдсан, “Шинэ сэргэлтийн бодлого”-д нийцсэн төслүүдийн санхүүжилтийн эх үүсвэрт Засгийн газрын өрийн баталгаа гаргах замаар дэмжлэг үзүүлэх;</w:t>
      </w:r>
    </w:p>
    <w:p w14:paraId="75A4D6F6" w14:textId="77777777" w:rsidR="000B6A0A" w:rsidRPr="0046672D" w:rsidRDefault="000B6A0A" w:rsidP="00FE3633">
      <w:pPr>
        <w:pStyle w:val="NoSpacing"/>
        <w:numPr>
          <w:ilvl w:val="0"/>
          <w:numId w:val="10"/>
        </w:numPr>
        <w:spacing w:after="0" w:line="240" w:lineRule="auto"/>
        <w:rPr>
          <w:rFonts w:ascii="Arial" w:hAnsi="Arial" w:cs="Arial"/>
          <w:sz w:val="24"/>
          <w:szCs w:val="24"/>
        </w:rPr>
      </w:pPr>
      <w:r w:rsidRPr="0046672D">
        <w:rPr>
          <w:rFonts w:ascii="Arial" w:hAnsi="Arial" w:cs="Arial"/>
          <w:sz w:val="24"/>
          <w:szCs w:val="24"/>
        </w:rPr>
        <w:t>Төр хувийн хэвшлийн түншлэлийн хүрээнд гаргах Засгийн газрын баталгаанаас төсөвт үүсэж болзошгүй эрсдэлийг үнэлэх, эрсдэлээс сэргийлэх чиглэлээр өрийн удирдлагын чадавхыг бэхжүүлж, бүртгэл хөтлөх, тайлагнах механизмыг бүрдүүлэх;</w:t>
      </w:r>
    </w:p>
    <w:p w14:paraId="4FD79473" w14:textId="77777777" w:rsidR="000B6A0A" w:rsidRPr="0046672D" w:rsidRDefault="000B6A0A" w:rsidP="00FE3633">
      <w:pPr>
        <w:pStyle w:val="NoSpacing"/>
        <w:numPr>
          <w:ilvl w:val="0"/>
          <w:numId w:val="10"/>
        </w:numPr>
        <w:spacing w:after="0" w:line="240" w:lineRule="auto"/>
        <w:rPr>
          <w:rFonts w:ascii="Arial" w:hAnsi="Arial" w:cs="Arial"/>
          <w:sz w:val="24"/>
          <w:szCs w:val="24"/>
        </w:rPr>
      </w:pPr>
      <w:r w:rsidRPr="0046672D">
        <w:rPr>
          <w:rFonts w:ascii="Arial" w:hAnsi="Arial" w:cs="Arial"/>
          <w:sz w:val="24"/>
          <w:szCs w:val="24"/>
        </w:rPr>
        <w:t>Засгийн газрын өрийн баталгаа гаргасан төслүүдийн эргэн төлөлт, байгууллагын санхүүгийн үйл ажиллагааны хяналтыг сайжруулж, болзошгүй өр төлбөрийн эрсдэлийг бууруулах;</w:t>
      </w:r>
    </w:p>
    <w:p w14:paraId="1C66EE00" w14:textId="77777777" w:rsidR="000B6A0A" w:rsidRPr="0046672D" w:rsidRDefault="000B6A0A" w:rsidP="00FE3633">
      <w:pPr>
        <w:pStyle w:val="NoSpacing"/>
        <w:numPr>
          <w:ilvl w:val="0"/>
          <w:numId w:val="10"/>
        </w:numPr>
        <w:spacing w:after="0" w:line="240" w:lineRule="auto"/>
        <w:rPr>
          <w:rFonts w:ascii="Arial" w:hAnsi="Arial" w:cs="Arial"/>
          <w:sz w:val="24"/>
          <w:szCs w:val="24"/>
        </w:rPr>
      </w:pPr>
      <w:r w:rsidRPr="0046672D">
        <w:rPr>
          <w:rFonts w:ascii="Arial" w:hAnsi="Arial" w:cs="Arial"/>
          <w:sz w:val="24"/>
          <w:szCs w:val="24"/>
        </w:rPr>
        <w:lastRenderedPageBreak/>
        <w:t>Төсвөөс шууд төлөгдөх нөхцөлтэй Барих-Шилжүүлэх төрлийн концессын гэрээ, өрийн бичиг /вексель/ шинээр гаргахгүй байх;</w:t>
      </w:r>
    </w:p>
    <w:p w14:paraId="33C530E5" w14:textId="77777777" w:rsidR="000B6A0A" w:rsidRPr="0046672D" w:rsidRDefault="000B6A0A" w:rsidP="00FE3633">
      <w:pPr>
        <w:pStyle w:val="NoSpacing"/>
        <w:numPr>
          <w:ilvl w:val="0"/>
          <w:numId w:val="10"/>
        </w:numPr>
        <w:spacing w:after="0" w:line="240" w:lineRule="auto"/>
        <w:rPr>
          <w:rFonts w:ascii="Arial" w:hAnsi="Arial" w:cs="Arial"/>
          <w:sz w:val="28"/>
          <w:szCs w:val="28"/>
        </w:rPr>
      </w:pPr>
      <w:r w:rsidRPr="0046672D">
        <w:rPr>
          <w:rFonts w:ascii="Arial" w:hAnsi="Arial" w:cs="Arial"/>
          <w:sz w:val="24"/>
          <w:szCs w:val="24"/>
        </w:rPr>
        <w:t>Олон улсын санхүүгийн байгууллагуудаас санал болгож байгаа болзошгүй эрсдэлээс сэргийлэх зээлийн шугамыг ашиглах механизмыг нэвтрүүлнэ.</w:t>
      </w:r>
    </w:p>
    <w:p w14:paraId="2EF19231" w14:textId="77777777" w:rsidR="000B6A0A" w:rsidRPr="0046672D" w:rsidRDefault="000B6A0A" w:rsidP="000B6A0A">
      <w:pPr>
        <w:pStyle w:val="NoSpacing"/>
        <w:spacing w:after="0" w:line="240" w:lineRule="auto"/>
        <w:ind w:left="630"/>
        <w:rPr>
          <w:rFonts w:ascii="Arial" w:hAnsi="Arial" w:cs="Arial"/>
          <w:sz w:val="24"/>
          <w:szCs w:val="24"/>
        </w:rPr>
      </w:pPr>
    </w:p>
    <w:p w14:paraId="048222D8" w14:textId="77777777" w:rsidR="000B6A0A" w:rsidRPr="0046672D" w:rsidRDefault="000B6A0A" w:rsidP="000B6A0A">
      <w:pPr>
        <w:pStyle w:val="NoSpacing"/>
        <w:spacing w:line="240" w:lineRule="auto"/>
        <w:rPr>
          <w:rFonts w:ascii="Arial" w:hAnsi="Arial" w:cs="Arial"/>
          <w:b/>
          <w:sz w:val="24"/>
          <w:szCs w:val="24"/>
        </w:rPr>
      </w:pPr>
      <w:r w:rsidRPr="0046672D">
        <w:rPr>
          <w:rFonts w:ascii="Arial" w:hAnsi="Arial" w:cs="Arial"/>
          <w:b/>
          <w:sz w:val="24"/>
          <w:szCs w:val="24"/>
        </w:rPr>
        <w:t>Зорилт 6: Засгийн газрын өрийн удирдлагын ил тод байдлыг сайжруулна.</w:t>
      </w:r>
    </w:p>
    <w:p w14:paraId="0F7F5F0F" w14:textId="77777777" w:rsidR="000B6A0A" w:rsidRPr="0046672D" w:rsidRDefault="000B6A0A" w:rsidP="000B6A0A">
      <w:pPr>
        <w:pStyle w:val="NoSpacing"/>
        <w:tabs>
          <w:tab w:val="left" w:pos="270"/>
        </w:tabs>
        <w:spacing w:line="240" w:lineRule="auto"/>
        <w:rPr>
          <w:rFonts w:ascii="Arial" w:hAnsi="Arial" w:cs="Arial"/>
          <w:b/>
          <w:sz w:val="24"/>
          <w:szCs w:val="24"/>
        </w:rPr>
      </w:pPr>
      <w:r w:rsidRPr="0046672D">
        <w:rPr>
          <w:rFonts w:ascii="Arial" w:hAnsi="Arial" w:cs="Arial"/>
          <w:sz w:val="24"/>
          <w:szCs w:val="24"/>
        </w:rPr>
        <w:tab/>
      </w:r>
      <w:r w:rsidRPr="0046672D">
        <w:rPr>
          <w:rFonts w:ascii="Arial" w:hAnsi="Arial" w:cs="Arial"/>
          <w:sz w:val="24"/>
          <w:szCs w:val="24"/>
        </w:rPr>
        <w:tab/>
      </w:r>
      <w:r w:rsidRPr="0046672D">
        <w:rPr>
          <w:rFonts w:ascii="Arial" w:hAnsi="Arial" w:cs="Arial"/>
          <w:b/>
          <w:sz w:val="24"/>
          <w:szCs w:val="24"/>
        </w:rPr>
        <w:t xml:space="preserve">Үндэслэл: </w:t>
      </w:r>
      <w:r w:rsidRPr="0046672D">
        <w:rPr>
          <w:rFonts w:ascii="Arial" w:hAnsi="Arial" w:cs="Arial"/>
          <w:sz w:val="24"/>
          <w:szCs w:val="24"/>
        </w:rPr>
        <w:t xml:space="preserve">Өрийн ил тод байдлыг хангуулах, олон нийтэд үнэн бодитой мэдээлэл хүргэх нь иргэн, аж ахуй нэгжид Засгийн газрын үйл ажиллагааг таниулах, төсөвт үүсч болзошгүй өр төлбөрийн талаар зөв ойлголтыг өгөх, цаашлаад хөрөнгө оруулагчдын итгэлийг сэргээж, олон улсын санаачилгын хүрээнд дэлхийн нийтэд хүлээн зөвшөөрөгдсөн стандартын дагуу өрийн статистик мэдээлэлд Монгол Улсын Засгийн газрын өрийн бүртгэлийг нэгтгүүлэх зэрэг чухал ач холбогдолтой байдаг. Энэ талаар олон улсын байгууллагууд, тэр дундаа Азийн хөгжлийн банк, Дэлхийн банкнаас Монгол Улсад хуваарилах дунд хугацааны зээлийн хэмжээ, нөхцөлийг тогтооход тавигдсан өрийн ил тод байдлыг хангуулах бодлогын нөхцөлүүдтэй энэхүү зорилт нийцэж байна. </w:t>
      </w:r>
    </w:p>
    <w:p w14:paraId="246E8AD5" w14:textId="77777777" w:rsidR="000B6A0A" w:rsidRPr="0046672D" w:rsidRDefault="000B6A0A" w:rsidP="000B6A0A">
      <w:pPr>
        <w:pStyle w:val="NoSpacing"/>
        <w:tabs>
          <w:tab w:val="left" w:pos="270"/>
        </w:tabs>
        <w:spacing w:line="240" w:lineRule="auto"/>
        <w:rPr>
          <w:rFonts w:ascii="Arial" w:hAnsi="Arial" w:cs="Arial"/>
          <w:b/>
          <w:sz w:val="24"/>
          <w:szCs w:val="24"/>
        </w:rPr>
      </w:pPr>
      <w:r w:rsidRPr="0046672D">
        <w:rPr>
          <w:rFonts w:ascii="Arial" w:hAnsi="Arial" w:cs="Arial"/>
          <w:sz w:val="24"/>
          <w:szCs w:val="24"/>
        </w:rPr>
        <w:tab/>
      </w:r>
      <w:r w:rsidRPr="0046672D">
        <w:rPr>
          <w:rFonts w:ascii="Arial" w:hAnsi="Arial" w:cs="Arial"/>
          <w:b/>
          <w:sz w:val="24"/>
          <w:szCs w:val="24"/>
        </w:rPr>
        <w:t xml:space="preserve">Хэрэгжүүлэх арга хэмжээ: </w:t>
      </w:r>
    </w:p>
    <w:p w14:paraId="3FD0D2B0" w14:textId="77777777" w:rsidR="000B6A0A" w:rsidRPr="0046672D" w:rsidRDefault="000B6A0A" w:rsidP="00FE3633">
      <w:pPr>
        <w:pStyle w:val="NoSpacing"/>
        <w:numPr>
          <w:ilvl w:val="0"/>
          <w:numId w:val="5"/>
        </w:numPr>
        <w:tabs>
          <w:tab w:val="left" w:pos="270"/>
        </w:tabs>
        <w:spacing w:after="0" w:line="240" w:lineRule="auto"/>
        <w:rPr>
          <w:rFonts w:ascii="Arial" w:hAnsi="Arial" w:cs="Arial"/>
          <w:sz w:val="24"/>
          <w:szCs w:val="24"/>
        </w:rPr>
      </w:pPr>
      <w:r w:rsidRPr="0046672D">
        <w:rPr>
          <w:rFonts w:ascii="Arial" w:hAnsi="Arial" w:cs="Arial"/>
          <w:sz w:val="24"/>
          <w:szCs w:val="24"/>
        </w:rPr>
        <w:t>Улирал бүр Засгийн газрын өрийн товхимлыг олон нийтэд ил тод мэдээлэх;</w:t>
      </w:r>
    </w:p>
    <w:p w14:paraId="492F8473" w14:textId="77777777" w:rsidR="000B6A0A" w:rsidRPr="0046672D" w:rsidRDefault="000B6A0A" w:rsidP="00FE3633">
      <w:pPr>
        <w:pStyle w:val="NoSpacing"/>
        <w:numPr>
          <w:ilvl w:val="0"/>
          <w:numId w:val="5"/>
        </w:numPr>
        <w:tabs>
          <w:tab w:val="left" w:pos="270"/>
        </w:tabs>
        <w:spacing w:after="0" w:line="240" w:lineRule="auto"/>
        <w:rPr>
          <w:rFonts w:ascii="Arial" w:hAnsi="Arial" w:cs="Arial"/>
          <w:sz w:val="24"/>
          <w:szCs w:val="24"/>
        </w:rPr>
      </w:pPr>
      <w:r w:rsidRPr="0046672D">
        <w:rPr>
          <w:rFonts w:ascii="Arial" w:hAnsi="Arial" w:cs="Arial"/>
          <w:sz w:val="24"/>
          <w:szCs w:val="24"/>
        </w:rPr>
        <w:t xml:space="preserve">Улсын секторын өрийн мэдээллийг олон улсын байгууллагаас тогтоосон нэгдсэн стандартын дагуу бэлтгэж, мэдээлэх. </w:t>
      </w:r>
    </w:p>
    <w:p w14:paraId="3EF919CD" w14:textId="77777777" w:rsidR="000B6A0A" w:rsidRPr="0046672D" w:rsidRDefault="000B6A0A" w:rsidP="000B6A0A">
      <w:pPr>
        <w:pStyle w:val="NormalWeb"/>
        <w:rPr>
          <w:rStyle w:val="Strong"/>
          <w:lang w:val="mn-MN"/>
        </w:rPr>
      </w:pPr>
      <w:r w:rsidRPr="0046672D">
        <w:rPr>
          <w:rStyle w:val="Strong"/>
          <w:rFonts w:ascii="Arial" w:hAnsi="Arial" w:cs="Arial"/>
          <w:lang w:val="mn-MN"/>
        </w:rPr>
        <w:t>7. ЗАСГИЙН ГАЗРЫН ӨРИЙН БАГЦЫН ДУНД ХУГАЦААНЫ ЗОРИЛТ</w:t>
      </w:r>
    </w:p>
    <w:p w14:paraId="755FA822" w14:textId="77777777" w:rsidR="000B6A0A" w:rsidRPr="0046672D" w:rsidRDefault="000B6A0A" w:rsidP="000B6A0A">
      <w:p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 </w:t>
      </w:r>
      <w:r w:rsidRPr="0046672D">
        <w:rPr>
          <w:rFonts w:ascii="Arial" w:eastAsia="Times New Roman" w:hAnsi="Arial" w:cs="Arial"/>
          <w:sz w:val="24"/>
          <w:szCs w:val="24"/>
          <w:lang w:val="mn-MN"/>
        </w:rPr>
        <w:tab/>
        <w:t>Засгийн газрын өрийн багцын зорилтот бүтцийг Олон улсын валютын сан, Дэлхийн банкны боловсруулсан MTDS</w:t>
      </w:r>
      <w:r w:rsidRPr="0046672D">
        <w:rPr>
          <w:rStyle w:val="EndnoteReference"/>
          <w:rFonts w:ascii="Arial" w:eastAsia="Times New Roman" w:hAnsi="Arial" w:cs="Arial"/>
          <w:sz w:val="24"/>
          <w:szCs w:val="24"/>
          <w:lang w:val="mn-MN"/>
        </w:rPr>
        <w:endnoteReference w:id="2"/>
      </w:r>
      <w:r w:rsidRPr="0046672D">
        <w:rPr>
          <w:rFonts w:ascii="Arial" w:eastAsia="Times New Roman" w:hAnsi="Arial" w:cs="Arial"/>
          <w:sz w:val="24"/>
          <w:szCs w:val="24"/>
          <w:lang w:val="mn-MN"/>
        </w:rPr>
        <w:t xml:space="preserve"> загварчлалыг ашиглан боловсруулсан болно.</w:t>
      </w:r>
    </w:p>
    <w:p w14:paraId="71C2184F" w14:textId="77777777" w:rsidR="000B6A0A" w:rsidRPr="0046672D" w:rsidRDefault="000B6A0A" w:rsidP="000B6A0A">
      <w:pPr>
        <w:spacing w:before="100" w:beforeAutospacing="1" w:after="100" w:afterAutospacing="1" w:line="240" w:lineRule="auto"/>
        <w:jc w:val="both"/>
        <w:rPr>
          <w:rFonts w:ascii="Arial" w:eastAsia="Times New Roman" w:hAnsi="Arial" w:cs="Arial"/>
          <w:sz w:val="24"/>
          <w:szCs w:val="24"/>
          <w:lang w:val="mn-MN"/>
        </w:rPr>
      </w:pPr>
      <w:r w:rsidRPr="0046672D">
        <w:rPr>
          <w:rFonts w:ascii="Arial" w:eastAsia="Times New Roman" w:hAnsi="Arial" w:cs="Arial"/>
          <w:sz w:val="24"/>
          <w:szCs w:val="24"/>
          <w:lang w:val="mn-MN"/>
        </w:rPr>
        <w:t>       Дэвшүүлсэн зорилтын хүрээнд шаардлагатай арга хэмжээнүүдийг авч хэрэгжүүлснээр дунд хугацаанд хүрэх Засгийн газрын өрийн багцын дараах төсөөлөл, зорилтот бүтцийг хангаж ажиллана.Үүнд:</w:t>
      </w:r>
    </w:p>
    <w:p w14:paraId="3E2B878F" w14:textId="77777777" w:rsidR="000B6A0A" w:rsidRPr="0046672D" w:rsidRDefault="000B6A0A" w:rsidP="000B6A0A">
      <w:pPr>
        <w:spacing w:before="100" w:beforeAutospacing="1" w:after="0" w:line="240" w:lineRule="auto"/>
        <w:jc w:val="both"/>
        <w:rPr>
          <w:rFonts w:ascii="Arial" w:hAnsi="Arial" w:cs="Arial"/>
          <w:i/>
          <w:sz w:val="20"/>
          <w:szCs w:val="20"/>
          <w:lang w:val="mn-MN"/>
        </w:rPr>
      </w:pPr>
      <w:r w:rsidRPr="0046672D">
        <w:rPr>
          <w:rFonts w:ascii="Arial" w:hAnsi="Arial" w:cs="Arial"/>
          <w:sz w:val="20"/>
          <w:szCs w:val="20"/>
          <w:lang w:val="mn-MN"/>
        </w:rPr>
        <w:t>Х</w:t>
      </w:r>
      <w:r w:rsidRPr="0046672D">
        <w:rPr>
          <w:rFonts w:ascii="Arial" w:hAnsi="Arial" w:cs="Arial"/>
          <w:i/>
          <w:sz w:val="20"/>
          <w:szCs w:val="20"/>
          <w:lang w:val="mn-MN"/>
        </w:rPr>
        <w:t>үснэгт № 11: Дунд хугацааны төсөөлөл, зорилтот бүтэц</w:t>
      </w:r>
    </w:p>
    <w:tbl>
      <w:tblPr>
        <w:tblW w:w="9826" w:type="dxa"/>
        <w:tblInd w:w="-142"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ook w:val="04A0" w:firstRow="1" w:lastRow="0" w:firstColumn="1" w:lastColumn="0" w:noHBand="0" w:noVBand="1"/>
      </w:tblPr>
      <w:tblGrid>
        <w:gridCol w:w="4085"/>
        <w:gridCol w:w="732"/>
        <w:gridCol w:w="1281"/>
        <w:gridCol w:w="1290"/>
        <w:gridCol w:w="1219"/>
        <w:gridCol w:w="1219"/>
      </w:tblGrid>
      <w:tr w:rsidR="000B6A0A" w:rsidRPr="0046672D" w14:paraId="1630BD0D" w14:textId="77777777" w:rsidTr="00901ED0">
        <w:trPr>
          <w:trHeight w:val="61"/>
        </w:trPr>
        <w:tc>
          <w:tcPr>
            <w:tcW w:w="4085" w:type="dxa"/>
            <w:shd w:val="clear" w:color="auto" w:fill="002060"/>
            <w:noWrap/>
            <w:vAlign w:val="center"/>
            <w:hideMark/>
          </w:tcPr>
          <w:p w14:paraId="26FC5257" w14:textId="77777777" w:rsidR="000B6A0A" w:rsidRPr="0046672D" w:rsidRDefault="000B6A0A" w:rsidP="00F51A8E">
            <w:pPr>
              <w:spacing w:after="0" w:line="240" w:lineRule="auto"/>
              <w:jc w:val="center"/>
              <w:rPr>
                <w:rFonts w:ascii="Arial" w:eastAsia="Times New Roman" w:hAnsi="Arial" w:cs="Arial"/>
                <w:b/>
                <w:color w:val="FFFFFF" w:themeColor="background1"/>
                <w:sz w:val="20"/>
                <w:szCs w:val="20"/>
                <w:lang w:val="mn-MN"/>
              </w:rPr>
            </w:pPr>
            <w:r w:rsidRPr="0046672D">
              <w:rPr>
                <w:rFonts w:ascii="Arial" w:eastAsia="Times New Roman" w:hAnsi="Arial" w:cs="Arial"/>
                <w:b/>
                <w:color w:val="FFFFFF" w:themeColor="background1"/>
                <w:sz w:val="20"/>
                <w:szCs w:val="20"/>
                <w:lang w:val="mn-MN"/>
              </w:rPr>
              <w:t>Засгийн газрын өрийн багцын үзүүлэлтүүд</w:t>
            </w:r>
          </w:p>
        </w:tc>
        <w:tc>
          <w:tcPr>
            <w:tcW w:w="732" w:type="dxa"/>
            <w:shd w:val="clear" w:color="auto" w:fill="002060"/>
            <w:noWrap/>
            <w:vAlign w:val="center"/>
            <w:hideMark/>
          </w:tcPr>
          <w:p w14:paraId="38EFA1D5" w14:textId="77777777" w:rsidR="000B6A0A" w:rsidRPr="0046672D" w:rsidRDefault="000B6A0A" w:rsidP="00F51A8E">
            <w:pPr>
              <w:spacing w:after="0" w:line="240" w:lineRule="auto"/>
              <w:jc w:val="center"/>
              <w:rPr>
                <w:rFonts w:ascii="Arial" w:eastAsia="Times New Roman" w:hAnsi="Arial" w:cs="Arial"/>
                <w:b/>
                <w:color w:val="FFFFFF" w:themeColor="background1"/>
                <w:sz w:val="20"/>
                <w:szCs w:val="20"/>
                <w:lang w:val="mn-MN"/>
              </w:rPr>
            </w:pPr>
            <w:r w:rsidRPr="0046672D">
              <w:rPr>
                <w:rFonts w:ascii="Arial" w:eastAsia="Times New Roman" w:hAnsi="Arial" w:cs="Arial"/>
                <w:b/>
                <w:color w:val="FFFFFF" w:themeColor="background1"/>
                <w:sz w:val="20"/>
                <w:szCs w:val="20"/>
                <w:lang w:val="mn-MN"/>
              </w:rPr>
              <w:t>2022</w:t>
            </w:r>
          </w:p>
        </w:tc>
        <w:tc>
          <w:tcPr>
            <w:tcW w:w="1281" w:type="dxa"/>
            <w:shd w:val="clear" w:color="auto" w:fill="002060"/>
            <w:noWrap/>
            <w:vAlign w:val="center"/>
            <w:hideMark/>
          </w:tcPr>
          <w:p w14:paraId="5C203421" w14:textId="77777777" w:rsidR="000B6A0A" w:rsidRPr="0046672D" w:rsidRDefault="000B6A0A" w:rsidP="00F51A8E">
            <w:pPr>
              <w:spacing w:after="0" w:line="240" w:lineRule="auto"/>
              <w:jc w:val="center"/>
              <w:rPr>
                <w:rFonts w:ascii="Arial" w:eastAsia="Times New Roman" w:hAnsi="Arial" w:cs="Arial"/>
                <w:b/>
                <w:color w:val="FFFFFF" w:themeColor="background1"/>
                <w:sz w:val="20"/>
                <w:szCs w:val="20"/>
                <w:lang w:val="mn-MN"/>
              </w:rPr>
            </w:pPr>
            <w:r w:rsidRPr="0046672D">
              <w:rPr>
                <w:rFonts w:ascii="Arial" w:eastAsia="Times New Roman" w:hAnsi="Arial" w:cs="Arial"/>
                <w:b/>
                <w:color w:val="FFFFFF" w:themeColor="background1"/>
                <w:sz w:val="20"/>
                <w:szCs w:val="20"/>
                <w:lang w:val="mn-MN"/>
              </w:rPr>
              <w:t>Түвшин</w:t>
            </w:r>
          </w:p>
        </w:tc>
        <w:tc>
          <w:tcPr>
            <w:tcW w:w="1290" w:type="dxa"/>
            <w:shd w:val="clear" w:color="auto" w:fill="002060"/>
            <w:noWrap/>
            <w:vAlign w:val="center"/>
            <w:hideMark/>
          </w:tcPr>
          <w:p w14:paraId="5A7CC854" w14:textId="77777777" w:rsidR="000B6A0A" w:rsidRPr="0046672D" w:rsidRDefault="000B6A0A" w:rsidP="00F51A8E">
            <w:pPr>
              <w:spacing w:after="0" w:line="240" w:lineRule="auto"/>
              <w:jc w:val="center"/>
              <w:rPr>
                <w:rFonts w:ascii="Arial" w:eastAsia="Times New Roman" w:hAnsi="Arial" w:cs="Arial"/>
                <w:b/>
                <w:color w:val="FFFFFF" w:themeColor="background1"/>
                <w:sz w:val="20"/>
                <w:szCs w:val="20"/>
                <w:lang w:val="mn-MN"/>
              </w:rPr>
            </w:pPr>
            <w:r w:rsidRPr="0046672D">
              <w:rPr>
                <w:rFonts w:ascii="Arial" w:eastAsia="Times New Roman" w:hAnsi="Arial" w:cs="Arial"/>
                <w:b/>
                <w:color w:val="FFFFFF" w:themeColor="background1"/>
                <w:sz w:val="20"/>
                <w:szCs w:val="20"/>
                <w:lang w:val="mn-MN"/>
              </w:rPr>
              <w:t>2023</w:t>
            </w:r>
          </w:p>
        </w:tc>
        <w:tc>
          <w:tcPr>
            <w:tcW w:w="1219" w:type="dxa"/>
            <w:shd w:val="clear" w:color="auto" w:fill="002060"/>
            <w:noWrap/>
            <w:vAlign w:val="center"/>
            <w:hideMark/>
          </w:tcPr>
          <w:p w14:paraId="001E1F67" w14:textId="77777777" w:rsidR="000B6A0A" w:rsidRPr="0046672D" w:rsidRDefault="000B6A0A" w:rsidP="00F51A8E">
            <w:pPr>
              <w:spacing w:after="0" w:line="240" w:lineRule="auto"/>
              <w:jc w:val="center"/>
              <w:rPr>
                <w:rFonts w:ascii="Arial" w:eastAsia="Times New Roman" w:hAnsi="Arial" w:cs="Arial"/>
                <w:b/>
                <w:color w:val="FFFFFF" w:themeColor="background1"/>
                <w:sz w:val="20"/>
                <w:szCs w:val="20"/>
                <w:lang w:val="mn-MN"/>
              </w:rPr>
            </w:pPr>
            <w:r w:rsidRPr="0046672D">
              <w:rPr>
                <w:rFonts w:ascii="Arial" w:eastAsia="Times New Roman" w:hAnsi="Arial" w:cs="Arial"/>
                <w:b/>
                <w:color w:val="FFFFFF" w:themeColor="background1"/>
                <w:sz w:val="20"/>
                <w:szCs w:val="20"/>
                <w:lang w:val="mn-MN"/>
              </w:rPr>
              <w:t>2024</w:t>
            </w:r>
          </w:p>
        </w:tc>
        <w:tc>
          <w:tcPr>
            <w:tcW w:w="1219" w:type="dxa"/>
            <w:shd w:val="clear" w:color="auto" w:fill="002060"/>
            <w:noWrap/>
            <w:vAlign w:val="center"/>
            <w:hideMark/>
          </w:tcPr>
          <w:p w14:paraId="1EA76093" w14:textId="77777777" w:rsidR="000B6A0A" w:rsidRPr="0046672D" w:rsidRDefault="000B6A0A" w:rsidP="00F51A8E">
            <w:pPr>
              <w:spacing w:after="0" w:line="240" w:lineRule="auto"/>
              <w:jc w:val="center"/>
              <w:rPr>
                <w:rFonts w:ascii="Arial" w:eastAsia="Times New Roman" w:hAnsi="Arial" w:cs="Arial"/>
                <w:b/>
                <w:color w:val="FFFFFF" w:themeColor="background1"/>
                <w:sz w:val="20"/>
                <w:szCs w:val="20"/>
                <w:lang w:val="mn-MN"/>
              </w:rPr>
            </w:pPr>
            <w:r w:rsidRPr="0046672D">
              <w:rPr>
                <w:rFonts w:ascii="Arial" w:eastAsia="Times New Roman" w:hAnsi="Arial" w:cs="Arial"/>
                <w:b/>
                <w:color w:val="FFFFFF" w:themeColor="background1"/>
                <w:sz w:val="20"/>
                <w:szCs w:val="20"/>
                <w:lang w:val="mn-MN"/>
              </w:rPr>
              <w:t>2025</w:t>
            </w:r>
          </w:p>
        </w:tc>
      </w:tr>
      <w:tr w:rsidR="000B6A0A" w:rsidRPr="0046672D" w14:paraId="28BA3346" w14:textId="77777777" w:rsidTr="00901ED0">
        <w:trPr>
          <w:trHeight w:val="71"/>
        </w:trPr>
        <w:tc>
          <w:tcPr>
            <w:tcW w:w="4085" w:type="dxa"/>
            <w:shd w:val="clear" w:color="auto" w:fill="auto"/>
            <w:noWrap/>
            <w:vAlign w:val="center"/>
            <w:hideMark/>
          </w:tcPr>
          <w:p w14:paraId="66D14ED2" w14:textId="77777777" w:rsidR="000B6A0A" w:rsidRPr="0046672D" w:rsidRDefault="000B6A0A" w:rsidP="00FE3633">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Өрийн зардал</w:t>
            </w:r>
          </w:p>
        </w:tc>
        <w:tc>
          <w:tcPr>
            <w:tcW w:w="732" w:type="dxa"/>
            <w:shd w:val="clear" w:color="auto" w:fill="auto"/>
            <w:noWrap/>
            <w:vAlign w:val="center"/>
            <w:hideMark/>
          </w:tcPr>
          <w:p w14:paraId="06C9C9DA"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1281" w:type="dxa"/>
            <w:shd w:val="clear" w:color="auto" w:fill="auto"/>
            <w:noWrap/>
            <w:vAlign w:val="center"/>
            <w:hideMark/>
          </w:tcPr>
          <w:p w14:paraId="06515178" w14:textId="77777777" w:rsidR="000B6A0A" w:rsidRPr="0046672D" w:rsidRDefault="000B6A0A" w:rsidP="00F51A8E">
            <w:pPr>
              <w:spacing w:after="0" w:line="240" w:lineRule="auto"/>
              <w:rPr>
                <w:rFonts w:ascii="Arial" w:eastAsia="Times New Roman" w:hAnsi="Arial" w:cs="Arial"/>
                <w:sz w:val="20"/>
                <w:szCs w:val="20"/>
                <w:lang w:val="mn-MN"/>
              </w:rPr>
            </w:pPr>
          </w:p>
        </w:tc>
        <w:tc>
          <w:tcPr>
            <w:tcW w:w="1290" w:type="dxa"/>
            <w:shd w:val="clear" w:color="auto" w:fill="auto"/>
            <w:noWrap/>
            <w:vAlign w:val="center"/>
            <w:hideMark/>
          </w:tcPr>
          <w:p w14:paraId="78AF0E94"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hideMark/>
          </w:tcPr>
          <w:p w14:paraId="6ECF477D"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hideMark/>
          </w:tcPr>
          <w:p w14:paraId="20F66CD7" w14:textId="77777777" w:rsidR="000B6A0A" w:rsidRPr="0046672D" w:rsidRDefault="000B6A0A" w:rsidP="00F51A8E">
            <w:pPr>
              <w:spacing w:after="0" w:line="240" w:lineRule="auto"/>
              <w:jc w:val="center"/>
              <w:rPr>
                <w:rFonts w:ascii="Arial" w:eastAsia="Times New Roman" w:hAnsi="Arial" w:cs="Arial"/>
                <w:sz w:val="20"/>
                <w:szCs w:val="20"/>
                <w:lang w:val="mn-MN"/>
              </w:rPr>
            </w:pPr>
          </w:p>
        </w:tc>
      </w:tr>
      <w:tr w:rsidR="000B6A0A" w:rsidRPr="0046672D" w14:paraId="0879C7A3" w14:textId="77777777" w:rsidTr="00901ED0">
        <w:trPr>
          <w:trHeight w:val="63"/>
        </w:trPr>
        <w:tc>
          <w:tcPr>
            <w:tcW w:w="4085" w:type="dxa"/>
            <w:shd w:val="clear" w:color="auto" w:fill="auto"/>
            <w:noWrap/>
            <w:vAlign w:val="center"/>
            <w:hideMark/>
          </w:tcPr>
          <w:p w14:paraId="0A4DBCA1" w14:textId="77777777" w:rsidR="000B6A0A" w:rsidRPr="0046672D" w:rsidRDefault="000B6A0A" w:rsidP="00F51A8E">
            <w:pPr>
              <w:spacing w:after="0" w:line="240" w:lineRule="auto"/>
              <w:ind w:firstLineChars="200" w:firstLine="400"/>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Жигнэсэн дундаж хүү (хувь)</w:t>
            </w:r>
          </w:p>
        </w:tc>
        <w:tc>
          <w:tcPr>
            <w:tcW w:w="732" w:type="dxa"/>
            <w:shd w:val="clear" w:color="auto" w:fill="auto"/>
            <w:noWrap/>
            <w:vAlign w:val="center"/>
            <w:hideMark/>
          </w:tcPr>
          <w:p w14:paraId="634A28CE" w14:textId="77777777" w:rsidR="000B6A0A" w:rsidRPr="0046672D" w:rsidRDefault="000B6A0A" w:rsidP="00F51A8E">
            <w:pPr>
              <w:spacing w:after="0" w:line="240" w:lineRule="auto"/>
              <w:jc w:val="center"/>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3.0</w:t>
            </w:r>
          </w:p>
        </w:tc>
        <w:tc>
          <w:tcPr>
            <w:tcW w:w="1281" w:type="dxa"/>
            <w:shd w:val="clear" w:color="auto" w:fill="auto"/>
            <w:noWrap/>
            <w:vAlign w:val="center"/>
            <w:hideMark/>
          </w:tcPr>
          <w:p w14:paraId="2F0C4925"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Дээд</w:t>
            </w:r>
          </w:p>
        </w:tc>
        <w:tc>
          <w:tcPr>
            <w:tcW w:w="1290" w:type="dxa"/>
            <w:shd w:val="clear" w:color="auto" w:fill="auto"/>
            <w:noWrap/>
            <w:vAlign w:val="center"/>
            <w:hideMark/>
          </w:tcPr>
          <w:p w14:paraId="055ECFE9"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3.8</w:t>
            </w:r>
          </w:p>
        </w:tc>
        <w:tc>
          <w:tcPr>
            <w:tcW w:w="1219" w:type="dxa"/>
            <w:shd w:val="clear" w:color="auto" w:fill="auto"/>
            <w:noWrap/>
            <w:vAlign w:val="center"/>
            <w:hideMark/>
          </w:tcPr>
          <w:p w14:paraId="215ACB5A"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4.3</w:t>
            </w:r>
          </w:p>
        </w:tc>
        <w:tc>
          <w:tcPr>
            <w:tcW w:w="1219" w:type="dxa"/>
            <w:shd w:val="clear" w:color="auto" w:fill="auto"/>
            <w:noWrap/>
            <w:vAlign w:val="center"/>
            <w:hideMark/>
          </w:tcPr>
          <w:p w14:paraId="33380DE5"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4.8</w:t>
            </w:r>
          </w:p>
        </w:tc>
      </w:tr>
      <w:tr w:rsidR="000B6A0A" w:rsidRPr="0046672D" w14:paraId="138A54A4" w14:textId="77777777" w:rsidTr="00901ED0">
        <w:trPr>
          <w:trHeight w:val="114"/>
        </w:trPr>
        <w:tc>
          <w:tcPr>
            <w:tcW w:w="4085" w:type="dxa"/>
            <w:shd w:val="clear" w:color="auto" w:fill="auto"/>
            <w:noWrap/>
            <w:vAlign w:val="center"/>
            <w:hideMark/>
          </w:tcPr>
          <w:p w14:paraId="42EC6998" w14:textId="77777777" w:rsidR="000B6A0A" w:rsidRPr="0046672D" w:rsidRDefault="000B6A0A" w:rsidP="00FE3633">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Дахин Санхүүжилтийн эрсдэл</w:t>
            </w:r>
          </w:p>
        </w:tc>
        <w:tc>
          <w:tcPr>
            <w:tcW w:w="732" w:type="dxa"/>
            <w:shd w:val="clear" w:color="auto" w:fill="auto"/>
            <w:noWrap/>
            <w:vAlign w:val="center"/>
            <w:hideMark/>
          </w:tcPr>
          <w:p w14:paraId="029BBA99"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1281" w:type="dxa"/>
            <w:shd w:val="clear" w:color="auto" w:fill="auto"/>
            <w:noWrap/>
            <w:vAlign w:val="center"/>
          </w:tcPr>
          <w:p w14:paraId="2B5232E9" w14:textId="77777777" w:rsidR="000B6A0A" w:rsidRPr="0046672D" w:rsidRDefault="000B6A0A" w:rsidP="00F51A8E">
            <w:pPr>
              <w:spacing w:after="0" w:line="240" w:lineRule="auto"/>
              <w:rPr>
                <w:rFonts w:ascii="Arial" w:eastAsia="Times New Roman" w:hAnsi="Arial" w:cs="Arial"/>
                <w:sz w:val="20"/>
                <w:szCs w:val="20"/>
                <w:lang w:val="mn-MN"/>
              </w:rPr>
            </w:pPr>
          </w:p>
        </w:tc>
        <w:tc>
          <w:tcPr>
            <w:tcW w:w="1290" w:type="dxa"/>
            <w:shd w:val="clear" w:color="auto" w:fill="auto"/>
            <w:noWrap/>
            <w:vAlign w:val="center"/>
          </w:tcPr>
          <w:p w14:paraId="0B77D863"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tcPr>
          <w:p w14:paraId="0FB4F9E0"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tcPr>
          <w:p w14:paraId="2CE2CAC9" w14:textId="77777777" w:rsidR="000B6A0A" w:rsidRPr="0046672D" w:rsidRDefault="000B6A0A" w:rsidP="00F51A8E">
            <w:pPr>
              <w:spacing w:after="0" w:line="240" w:lineRule="auto"/>
              <w:jc w:val="center"/>
              <w:rPr>
                <w:rFonts w:ascii="Arial" w:eastAsia="Times New Roman" w:hAnsi="Arial" w:cs="Arial"/>
                <w:sz w:val="20"/>
                <w:szCs w:val="20"/>
                <w:lang w:val="mn-MN"/>
              </w:rPr>
            </w:pPr>
          </w:p>
        </w:tc>
      </w:tr>
      <w:tr w:rsidR="000B6A0A" w:rsidRPr="0046672D" w14:paraId="4C877FDC" w14:textId="77777777" w:rsidTr="00901ED0">
        <w:trPr>
          <w:trHeight w:val="63"/>
        </w:trPr>
        <w:tc>
          <w:tcPr>
            <w:tcW w:w="4085" w:type="dxa"/>
            <w:shd w:val="clear" w:color="auto" w:fill="auto"/>
            <w:noWrap/>
            <w:vAlign w:val="center"/>
            <w:hideMark/>
          </w:tcPr>
          <w:p w14:paraId="3CDDE654" w14:textId="77777777" w:rsidR="000B6A0A" w:rsidRPr="0046672D" w:rsidRDefault="000B6A0A" w:rsidP="00F51A8E">
            <w:pPr>
              <w:spacing w:after="0" w:line="240" w:lineRule="auto"/>
              <w:ind w:firstLineChars="200" w:firstLine="400"/>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Засгийн газрын өрийн эргэн</w:t>
            </w:r>
          </w:p>
          <w:p w14:paraId="27D9FAAF" w14:textId="77777777" w:rsidR="000B6A0A" w:rsidRPr="0046672D" w:rsidRDefault="000B6A0A" w:rsidP="00F51A8E">
            <w:pPr>
              <w:spacing w:after="0" w:line="240" w:lineRule="auto"/>
              <w:ind w:firstLineChars="200" w:firstLine="400"/>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төлөгдөх дундаж хугацаа (жил)</w:t>
            </w:r>
          </w:p>
        </w:tc>
        <w:tc>
          <w:tcPr>
            <w:tcW w:w="732" w:type="dxa"/>
            <w:shd w:val="clear" w:color="auto" w:fill="auto"/>
            <w:noWrap/>
            <w:vAlign w:val="center"/>
            <w:hideMark/>
          </w:tcPr>
          <w:p w14:paraId="7072E111" w14:textId="77777777" w:rsidR="000B6A0A" w:rsidRPr="0046672D" w:rsidRDefault="000B6A0A" w:rsidP="00F51A8E">
            <w:pPr>
              <w:spacing w:after="0" w:line="240" w:lineRule="auto"/>
              <w:jc w:val="center"/>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8.4</w:t>
            </w:r>
          </w:p>
        </w:tc>
        <w:tc>
          <w:tcPr>
            <w:tcW w:w="1281" w:type="dxa"/>
            <w:shd w:val="clear" w:color="auto" w:fill="auto"/>
            <w:noWrap/>
            <w:vAlign w:val="center"/>
          </w:tcPr>
          <w:p w14:paraId="02312CAF"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Доод</w:t>
            </w:r>
          </w:p>
        </w:tc>
        <w:tc>
          <w:tcPr>
            <w:tcW w:w="1290" w:type="dxa"/>
            <w:shd w:val="clear" w:color="auto" w:fill="auto"/>
            <w:noWrap/>
            <w:vAlign w:val="center"/>
          </w:tcPr>
          <w:p w14:paraId="338BF171"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7.8</w:t>
            </w:r>
          </w:p>
        </w:tc>
        <w:tc>
          <w:tcPr>
            <w:tcW w:w="1219" w:type="dxa"/>
            <w:shd w:val="clear" w:color="auto" w:fill="auto"/>
            <w:noWrap/>
            <w:vAlign w:val="center"/>
          </w:tcPr>
          <w:p w14:paraId="1ABA5AEA"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7.3</w:t>
            </w:r>
          </w:p>
        </w:tc>
        <w:tc>
          <w:tcPr>
            <w:tcW w:w="1219" w:type="dxa"/>
            <w:shd w:val="clear" w:color="auto" w:fill="auto"/>
            <w:noWrap/>
            <w:vAlign w:val="center"/>
          </w:tcPr>
          <w:p w14:paraId="7A3E8BD6"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6.8</w:t>
            </w:r>
          </w:p>
        </w:tc>
      </w:tr>
      <w:tr w:rsidR="000B6A0A" w:rsidRPr="0046672D" w14:paraId="52E87CF2" w14:textId="77777777" w:rsidTr="00901ED0">
        <w:trPr>
          <w:trHeight w:val="237"/>
        </w:trPr>
        <w:tc>
          <w:tcPr>
            <w:tcW w:w="4085" w:type="dxa"/>
            <w:shd w:val="clear" w:color="auto" w:fill="auto"/>
            <w:noWrap/>
            <w:vAlign w:val="center"/>
            <w:hideMark/>
          </w:tcPr>
          <w:p w14:paraId="05410327" w14:textId="77777777" w:rsidR="000B6A0A" w:rsidRPr="0046672D" w:rsidRDefault="000B6A0A" w:rsidP="00FE3633">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Хүүгийн эрсдэл</w:t>
            </w:r>
          </w:p>
        </w:tc>
        <w:tc>
          <w:tcPr>
            <w:tcW w:w="732" w:type="dxa"/>
            <w:shd w:val="clear" w:color="auto" w:fill="auto"/>
            <w:noWrap/>
            <w:vAlign w:val="center"/>
            <w:hideMark/>
          </w:tcPr>
          <w:p w14:paraId="2A2295AF"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1281" w:type="dxa"/>
            <w:shd w:val="clear" w:color="auto" w:fill="auto"/>
            <w:noWrap/>
            <w:vAlign w:val="center"/>
            <w:hideMark/>
          </w:tcPr>
          <w:p w14:paraId="0BD51BFD" w14:textId="77777777" w:rsidR="000B6A0A" w:rsidRPr="0046672D" w:rsidRDefault="000B6A0A" w:rsidP="00F51A8E">
            <w:pPr>
              <w:spacing w:after="0" w:line="240" w:lineRule="auto"/>
              <w:rPr>
                <w:rFonts w:ascii="Arial" w:eastAsia="Times New Roman" w:hAnsi="Arial" w:cs="Arial"/>
                <w:sz w:val="20"/>
                <w:szCs w:val="20"/>
                <w:lang w:val="mn-MN"/>
              </w:rPr>
            </w:pPr>
          </w:p>
        </w:tc>
        <w:tc>
          <w:tcPr>
            <w:tcW w:w="1290" w:type="dxa"/>
            <w:shd w:val="clear" w:color="auto" w:fill="auto"/>
            <w:noWrap/>
            <w:vAlign w:val="center"/>
            <w:hideMark/>
          </w:tcPr>
          <w:p w14:paraId="099F8258"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hideMark/>
          </w:tcPr>
          <w:p w14:paraId="47581DBE"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hideMark/>
          </w:tcPr>
          <w:p w14:paraId="1A79EF92" w14:textId="77777777" w:rsidR="000B6A0A" w:rsidRPr="0046672D" w:rsidRDefault="000B6A0A" w:rsidP="00F51A8E">
            <w:pPr>
              <w:spacing w:after="0" w:line="240" w:lineRule="auto"/>
              <w:jc w:val="center"/>
              <w:rPr>
                <w:rFonts w:ascii="Arial" w:eastAsia="Times New Roman" w:hAnsi="Arial" w:cs="Arial"/>
                <w:sz w:val="20"/>
                <w:szCs w:val="20"/>
                <w:lang w:val="mn-MN"/>
              </w:rPr>
            </w:pPr>
          </w:p>
        </w:tc>
      </w:tr>
      <w:tr w:rsidR="000B6A0A" w:rsidRPr="0046672D" w14:paraId="2075973E" w14:textId="77777777" w:rsidTr="00901ED0">
        <w:trPr>
          <w:trHeight w:val="63"/>
        </w:trPr>
        <w:tc>
          <w:tcPr>
            <w:tcW w:w="4085" w:type="dxa"/>
            <w:shd w:val="clear" w:color="auto" w:fill="auto"/>
            <w:noWrap/>
            <w:vAlign w:val="center"/>
            <w:hideMark/>
          </w:tcPr>
          <w:p w14:paraId="3C0E1FA3" w14:textId="77777777" w:rsidR="000B6A0A" w:rsidRPr="0046672D" w:rsidRDefault="000B6A0A" w:rsidP="00F51A8E">
            <w:pPr>
              <w:spacing w:after="0" w:line="240" w:lineRule="auto"/>
              <w:ind w:firstLineChars="200" w:firstLine="400"/>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Засгийн газрын өрийн ATR (жил)</w:t>
            </w:r>
          </w:p>
        </w:tc>
        <w:tc>
          <w:tcPr>
            <w:tcW w:w="732" w:type="dxa"/>
            <w:shd w:val="clear" w:color="auto" w:fill="auto"/>
            <w:noWrap/>
            <w:vAlign w:val="center"/>
            <w:hideMark/>
          </w:tcPr>
          <w:p w14:paraId="04E0943F" w14:textId="77777777" w:rsidR="000B6A0A" w:rsidRPr="0046672D" w:rsidRDefault="000B6A0A" w:rsidP="00F51A8E">
            <w:pPr>
              <w:spacing w:after="0" w:line="240" w:lineRule="auto"/>
              <w:jc w:val="center"/>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7.5</w:t>
            </w:r>
          </w:p>
        </w:tc>
        <w:tc>
          <w:tcPr>
            <w:tcW w:w="1281" w:type="dxa"/>
            <w:shd w:val="clear" w:color="auto" w:fill="auto"/>
            <w:noWrap/>
            <w:vAlign w:val="center"/>
          </w:tcPr>
          <w:p w14:paraId="36A3FB2C"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Доод</w:t>
            </w:r>
          </w:p>
        </w:tc>
        <w:tc>
          <w:tcPr>
            <w:tcW w:w="1290" w:type="dxa"/>
            <w:shd w:val="clear" w:color="auto" w:fill="auto"/>
            <w:noWrap/>
            <w:vAlign w:val="center"/>
          </w:tcPr>
          <w:p w14:paraId="4BE788FF"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7.0</w:t>
            </w:r>
          </w:p>
        </w:tc>
        <w:tc>
          <w:tcPr>
            <w:tcW w:w="1219" w:type="dxa"/>
            <w:shd w:val="clear" w:color="auto" w:fill="auto"/>
            <w:noWrap/>
            <w:vAlign w:val="center"/>
          </w:tcPr>
          <w:p w14:paraId="0C7F7974"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6.5</w:t>
            </w:r>
          </w:p>
        </w:tc>
        <w:tc>
          <w:tcPr>
            <w:tcW w:w="1219" w:type="dxa"/>
            <w:shd w:val="clear" w:color="auto" w:fill="auto"/>
            <w:noWrap/>
            <w:vAlign w:val="center"/>
          </w:tcPr>
          <w:p w14:paraId="11631050"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6.3</w:t>
            </w:r>
          </w:p>
        </w:tc>
      </w:tr>
      <w:tr w:rsidR="000B6A0A" w:rsidRPr="0046672D" w14:paraId="7CCBFA6C" w14:textId="77777777" w:rsidTr="00901ED0">
        <w:trPr>
          <w:trHeight w:val="164"/>
        </w:trPr>
        <w:tc>
          <w:tcPr>
            <w:tcW w:w="4085" w:type="dxa"/>
            <w:shd w:val="clear" w:color="auto" w:fill="auto"/>
            <w:noWrap/>
            <w:vAlign w:val="center"/>
            <w:hideMark/>
          </w:tcPr>
          <w:p w14:paraId="5A37F89E" w14:textId="77777777" w:rsidR="000B6A0A" w:rsidRPr="0046672D" w:rsidRDefault="000B6A0A" w:rsidP="00FE3633">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Ханшийн эрсдэл</w:t>
            </w:r>
          </w:p>
        </w:tc>
        <w:tc>
          <w:tcPr>
            <w:tcW w:w="732" w:type="dxa"/>
            <w:shd w:val="clear" w:color="auto" w:fill="auto"/>
            <w:noWrap/>
            <w:vAlign w:val="center"/>
            <w:hideMark/>
          </w:tcPr>
          <w:p w14:paraId="3049B019" w14:textId="77777777" w:rsidR="000B6A0A" w:rsidRPr="0046672D" w:rsidRDefault="000B6A0A" w:rsidP="00F51A8E">
            <w:pPr>
              <w:spacing w:after="0" w:line="240" w:lineRule="auto"/>
              <w:rPr>
                <w:rFonts w:ascii="Arial" w:eastAsia="Times New Roman" w:hAnsi="Arial" w:cs="Arial"/>
                <w:b/>
                <w:color w:val="000000"/>
                <w:sz w:val="20"/>
                <w:szCs w:val="20"/>
                <w:lang w:val="mn-MN"/>
              </w:rPr>
            </w:pPr>
          </w:p>
        </w:tc>
        <w:tc>
          <w:tcPr>
            <w:tcW w:w="1281" w:type="dxa"/>
            <w:shd w:val="clear" w:color="auto" w:fill="auto"/>
            <w:noWrap/>
            <w:vAlign w:val="center"/>
            <w:hideMark/>
          </w:tcPr>
          <w:p w14:paraId="15F57BBD" w14:textId="77777777" w:rsidR="000B6A0A" w:rsidRPr="0046672D" w:rsidRDefault="000B6A0A" w:rsidP="00F51A8E">
            <w:pPr>
              <w:spacing w:after="0" w:line="240" w:lineRule="auto"/>
              <w:rPr>
                <w:rFonts w:ascii="Arial" w:eastAsia="Times New Roman" w:hAnsi="Arial" w:cs="Arial"/>
                <w:sz w:val="20"/>
                <w:szCs w:val="20"/>
                <w:lang w:val="mn-MN"/>
              </w:rPr>
            </w:pPr>
          </w:p>
        </w:tc>
        <w:tc>
          <w:tcPr>
            <w:tcW w:w="1290" w:type="dxa"/>
            <w:shd w:val="clear" w:color="auto" w:fill="auto"/>
            <w:noWrap/>
            <w:vAlign w:val="center"/>
            <w:hideMark/>
          </w:tcPr>
          <w:p w14:paraId="0598AE2C"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hideMark/>
          </w:tcPr>
          <w:p w14:paraId="4D5E7D6A" w14:textId="77777777" w:rsidR="000B6A0A" w:rsidRPr="0046672D" w:rsidRDefault="000B6A0A" w:rsidP="00F51A8E">
            <w:pPr>
              <w:spacing w:after="0" w:line="240" w:lineRule="auto"/>
              <w:jc w:val="center"/>
              <w:rPr>
                <w:rFonts w:ascii="Arial" w:eastAsia="Times New Roman" w:hAnsi="Arial" w:cs="Arial"/>
                <w:sz w:val="20"/>
                <w:szCs w:val="20"/>
                <w:lang w:val="mn-MN"/>
              </w:rPr>
            </w:pPr>
          </w:p>
        </w:tc>
        <w:tc>
          <w:tcPr>
            <w:tcW w:w="1219" w:type="dxa"/>
            <w:shd w:val="clear" w:color="auto" w:fill="auto"/>
            <w:noWrap/>
            <w:vAlign w:val="center"/>
            <w:hideMark/>
          </w:tcPr>
          <w:p w14:paraId="3CFE2486" w14:textId="77777777" w:rsidR="000B6A0A" w:rsidRPr="0046672D" w:rsidRDefault="000B6A0A" w:rsidP="00F51A8E">
            <w:pPr>
              <w:spacing w:after="0" w:line="240" w:lineRule="auto"/>
              <w:jc w:val="center"/>
              <w:rPr>
                <w:rFonts w:ascii="Arial" w:eastAsia="Times New Roman" w:hAnsi="Arial" w:cs="Arial"/>
                <w:sz w:val="20"/>
                <w:szCs w:val="20"/>
                <w:lang w:val="mn-MN"/>
              </w:rPr>
            </w:pPr>
          </w:p>
        </w:tc>
      </w:tr>
      <w:tr w:rsidR="000B6A0A" w:rsidRPr="0046672D" w14:paraId="36AE2037" w14:textId="77777777" w:rsidTr="00901ED0">
        <w:trPr>
          <w:trHeight w:val="470"/>
        </w:trPr>
        <w:tc>
          <w:tcPr>
            <w:tcW w:w="4085" w:type="dxa"/>
            <w:shd w:val="clear" w:color="auto" w:fill="auto"/>
            <w:noWrap/>
            <w:vAlign w:val="center"/>
            <w:hideMark/>
          </w:tcPr>
          <w:p w14:paraId="385307F5" w14:textId="77777777" w:rsidR="000B6A0A" w:rsidRPr="0046672D" w:rsidRDefault="000B6A0A" w:rsidP="00F51A8E">
            <w:pPr>
              <w:spacing w:after="0" w:line="240" w:lineRule="auto"/>
              <w:ind w:firstLineChars="200" w:firstLine="400"/>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 xml:space="preserve">Гадаад валютаар өр* </w:t>
            </w:r>
          </w:p>
          <w:p w14:paraId="64650C42" w14:textId="77777777" w:rsidR="000B6A0A" w:rsidRPr="0046672D" w:rsidRDefault="000B6A0A" w:rsidP="00F51A8E">
            <w:pPr>
              <w:spacing w:after="0" w:line="240" w:lineRule="auto"/>
              <w:ind w:firstLineChars="200" w:firstLine="400"/>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(нийт өрд эзлэх хувь)</w:t>
            </w:r>
          </w:p>
        </w:tc>
        <w:tc>
          <w:tcPr>
            <w:tcW w:w="732" w:type="dxa"/>
            <w:shd w:val="clear" w:color="auto" w:fill="auto"/>
            <w:noWrap/>
            <w:vAlign w:val="center"/>
            <w:hideMark/>
          </w:tcPr>
          <w:p w14:paraId="13941A0B" w14:textId="77777777" w:rsidR="000B6A0A" w:rsidRPr="0046672D" w:rsidRDefault="000B6A0A" w:rsidP="00F51A8E">
            <w:pPr>
              <w:spacing w:after="0" w:line="240" w:lineRule="auto"/>
              <w:jc w:val="center"/>
              <w:rPr>
                <w:rFonts w:ascii="Arial" w:eastAsia="Times New Roman" w:hAnsi="Arial" w:cs="Arial"/>
                <w:b/>
                <w:color w:val="000000"/>
                <w:sz w:val="20"/>
                <w:szCs w:val="20"/>
                <w:lang w:val="mn-MN"/>
              </w:rPr>
            </w:pPr>
            <w:r w:rsidRPr="0046672D">
              <w:rPr>
                <w:rFonts w:ascii="Arial" w:eastAsia="Times New Roman" w:hAnsi="Arial" w:cs="Arial"/>
                <w:b/>
                <w:color w:val="000000"/>
                <w:sz w:val="20"/>
                <w:szCs w:val="20"/>
                <w:lang w:val="mn-MN"/>
              </w:rPr>
              <w:t>78.8</w:t>
            </w:r>
          </w:p>
        </w:tc>
        <w:tc>
          <w:tcPr>
            <w:tcW w:w="1281" w:type="dxa"/>
            <w:shd w:val="clear" w:color="auto" w:fill="auto"/>
            <w:noWrap/>
            <w:vAlign w:val="center"/>
          </w:tcPr>
          <w:p w14:paraId="33B7D836"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Дээд</w:t>
            </w:r>
          </w:p>
        </w:tc>
        <w:tc>
          <w:tcPr>
            <w:tcW w:w="1290" w:type="dxa"/>
            <w:shd w:val="clear" w:color="auto" w:fill="auto"/>
            <w:noWrap/>
            <w:vAlign w:val="center"/>
          </w:tcPr>
          <w:p w14:paraId="2EEE5CA5"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80.0</w:t>
            </w:r>
          </w:p>
        </w:tc>
        <w:tc>
          <w:tcPr>
            <w:tcW w:w="1219" w:type="dxa"/>
            <w:shd w:val="clear" w:color="auto" w:fill="auto"/>
            <w:noWrap/>
            <w:vAlign w:val="center"/>
          </w:tcPr>
          <w:p w14:paraId="0964F54B"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80.0</w:t>
            </w:r>
          </w:p>
        </w:tc>
        <w:tc>
          <w:tcPr>
            <w:tcW w:w="1219" w:type="dxa"/>
            <w:shd w:val="clear" w:color="auto" w:fill="auto"/>
            <w:noWrap/>
            <w:vAlign w:val="center"/>
          </w:tcPr>
          <w:p w14:paraId="0122FF70" w14:textId="77777777" w:rsidR="000B6A0A" w:rsidRPr="0046672D" w:rsidRDefault="000B6A0A" w:rsidP="00F51A8E">
            <w:pPr>
              <w:spacing w:after="0" w:line="240" w:lineRule="auto"/>
              <w:jc w:val="center"/>
              <w:rPr>
                <w:rFonts w:ascii="Arial" w:eastAsia="Times New Roman" w:hAnsi="Arial" w:cs="Arial"/>
                <w:color w:val="000000"/>
                <w:sz w:val="20"/>
                <w:szCs w:val="20"/>
                <w:lang w:val="mn-MN"/>
              </w:rPr>
            </w:pPr>
            <w:r w:rsidRPr="0046672D">
              <w:rPr>
                <w:rFonts w:ascii="Arial" w:eastAsia="Times New Roman" w:hAnsi="Arial" w:cs="Arial"/>
                <w:color w:val="000000"/>
                <w:sz w:val="20"/>
                <w:szCs w:val="20"/>
                <w:lang w:val="mn-MN"/>
              </w:rPr>
              <w:t>80.0</w:t>
            </w:r>
          </w:p>
        </w:tc>
      </w:tr>
    </w:tbl>
    <w:p w14:paraId="51169E1F" w14:textId="77777777" w:rsidR="000B6A0A" w:rsidRPr="0046672D" w:rsidRDefault="000B6A0A" w:rsidP="000B6A0A">
      <w:pPr>
        <w:pStyle w:val="NoSpacing"/>
        <w:spacing w:line="240" w:lineRule="auto"/>
        <w:rPr>
          <w:rFonts w:ascii="Arial" w:hAnsi="Arial" w:cs="Arial"/>
          <w:i/>
          <w:sz w:val="20"/>
          <w:szCs w:val="20"/>
        </w:rPr>
      </w:pPr>
      <w:r w:rsidRPr="0046672D">
        <w:rPr>
          <w:rFonts w:ascii="Arial" w:hAnsi="Arial" w:cs="Arial"/>
          <w:i/>
          <w:sz w:val="20"/>
          <w:szCs w:val="20"/>
        </w:rPr>
        <w:t>*Гадаад валютаар илэрхийлэгдсэн өрийн эзлэх хувийг тооцохдоо Засгийн газрын өрийн баталгааны үлдэгдлийг оруулж тооцоогүй болно.</w:t>
      </w:r>
    </w:p>
    <w:p w14:paraId="6BBCDCC8" w14:textId="77777777" w:rsidR="000B6A0A" w:rsidRPr="0046672D" w:rsidRDefault="000B6A0A" w:rsidP="000B6A0A">
      <w:pPr>
        <w:pStyle w:val="NoSpacing"/>
        <w:tabs>
          <w:tab w:val="left" w:pos="270"/>
        </w:tabs>
        <w:spacing w:after="0" w:line="240" w:lineRule="auto"/>
        <w:rPr>
          <w:rFonts w:ascii="Arial" w:hAnsi="Arial" w:cs="Arial"/>
          <w:sz w:val="24"/>
          <w:szCs w:val="24"/>
        </w:rPr>
      </w:pPr>
    </w:p>
    <w:p w14:paraId="1DD1E4A1" w14:textId="723092C9" w:rsidR="00FC5EEF" w:rsidRPr="0046672D" w:rsidRDefault="000B6A0A" w:rsidP="008B6F00">
      <w:pPr>
        <w:pStyle w:val="NoSpacing"/>
        <w:spacing w:line="240" w:lineRule="auto"/>
        <w:jc w:val="center"/>
        <w:rPr>
          <w:rFonts w:ascii="Arial" w:hAnsi="Arial" w:cs="Arial"/>
          <w:sz w:val="24"/>
          <w:szCs w:val="24"/>
        </w:rPr>
      </w:pPr>
      <w:r w:rsidRPr="0046672D">
        <w:rPr>
          <w:rFonts w:ascii="Arial" w:hAnsi="Arial" w:cs="Arial"/>
          <w:sz w:val="24"/>
          <w:szCs w:val="24"/>
        </w:rPr>
        <w:t>~oOo~</w:t>
      </w:r>
    </w:p>
    <w:sectPr w:rsidR="00FC5EEF" w:rsidRPr="0046672D" w:rsidSect="002A2F8C">
      <w:footerReference w:type="default" r:id="rId31"/>
      <w:type w:val="continuous"/>
      <w:pgSz w:w="11906" w:h="16838" w:code="9"/>
      <w:pgMar w:top="1134" w:right="851" w:bottom="851" w:left="124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F87AC" w14:textId="77777777" w:rsidR="00BA587A" w:rsidRDefault="00BA587A" w:rsidP="00B50136">
      <w:pPr>
        <w:spacing w:after="0" w:line="240" w:lineRule="auto"/>
      </w:pPr>
      <w:r>
        <w:separator/>
      </w:r>
    </w:p>
  </w:endnote>
  <w:endnote w:type="continuationSeparator" w:id="0">
    <w:p w14:paraId="106E5996" w14:textId="77777777" w:rsidR="00BA587A" w:rsidRDefault="00BA587A" w:rsidP="00B50136">
      <w:pPr>
        <w:spacing w:after="0" w:line="240" w:lineRule="auto"/>
      </w:pPr>
      <w:r>
        <w:continuationSeparator/>
      </w:r>
    </w:p>
  </w:endnote>
  <w:endnote w:type="continuationNotice" w:id="1">
    <w:p w14:paraId="74DDB751" w14:textId="77777777" w:rsidR="00BA587A" w:rsidRDefault="00BA587A">
      <w:pPr>
        <w:spacing w:after="0" w:line="240" w:lineRule="auto"/>
      </w:pPr>
    </w:p>
  </w:endnote>
  <w:endnote w:id="2">
    <w:p w14:paraId="750B6F62" w14:textId="77777777" w:rsidR="000B6A0A" w:rsidRDefault="000B6A0A" w:rsidP="000B6A0A">
      <w:pPr>
        <w:pStyle w:val="EndnoteText"/>
      </w:pPr>
      <w:r>
        <w:rPr>
          <w:rStyle w:val="EndnoteReference"/>
        </w:rPr>
        <w:endnoteRef/>
      </w:r>
      <w:r>
        <w:t xml:space="preserve"> Medium-term debt management strategy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1AB0" w14:textId="77777777" w:rsidR="00B052FA" w:rsidRDefault="00B052FA">
    <w:pPr>
      <w:pStyle w:val="Footer"/>
      <w:jc w:val="right"/>
    </w:pPr>
  </w:p>
  <w:p w14:paraId="3148A350" w14:textId="77777777" w:rsidR="00B052FA" w:rsidRDefault="00B052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997A" w14:textId="77777777" w:rsidR="00B052FA" w:rsidRDefault="00B052FA">
    <w:pPr>
      <w:pStyle w:val="Footer"/>
      <w:jc w:val="right"/>
    </w:pPr>
  </w:p>
  <w:p w14:paraId="0721A794" w14:textId="77777777" w:rsidR="00B052FA" w:rsidRDefault="00B052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D0773" w14:textId="77777777" w:rsidR="000B6A0A" w:rsidRPr="009614F4" w:rsidRDefault="000B6A0A">
    <w:pPr>
      <w:pStyle w:val="Footer"/>
      <w:jc w:val="center"/>
      <w:rPr>
        <w:rFonts w:ascii="Times New Roman" w:hAnsi="Times New Roman" w:cs="Times New Roman"/>
      </w:rPr>
    </w:pPr>
  </w:p>
  <w:p w14:paraId="38D3A291" w14:textId="77777777" w:rsidR="000B6A0A" w:rsidRDefault="000B6A0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B90E" w14:textId="49B9647A" w:rsidR="00801485" w:rsidRPr="009614F4" w:rsidRDefault="00801485">
    <w:pPr>
      <w:pStyle w:val="Footer"/>
      <w:jc w:val="center"/>
      <w:rPr>
        <w:rFonts w:ascii="Times New Roman" w:hAnsi="Times New Roman" w:cs="Times New Roman"/>
      </w:rPr>
    </w:pPr>
  </w:p>
  <w:p w14:paraId="256C3590" w14:textId="77777777" w:rsidR="00801485" w:rsidRDefault="00801485">
    <w:pPr>
      <w:pStyle w:val="Footer"/>
    </w:pPr>
  </w:p>
  <w:p w14:paraId="1AF4A642" w14:textId="77777777" w:rsidR="005B3D06" w:rsidRDefault="005B3D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D753A" w14:textId="77777777" w:rsidR="00BA587A" w:rsidRDefault="00BA587A" w:rsidP="00B50136">
      <w:pPr>
        <w:spacing w:after="0" w:line="240" w:lineRule="auto"/>
      </w:pPr>
      <w:r>
        <w:separator/>
      </w:r>
    </w:p>
  </w:footnote>
  <w:footnote w:type="continuationSeparator" w:id="0">
    <w:p w14:paraId="3B51C061" w14:textId="77777777" w:rsidR="00BA587A" w:rsidRDefault="00BA587A" w:rsidP="00B50136">
      <w:pPr>
        <w:spacing w:after="0" w:line="240" w:lineRule="auto"/>
      </w:pPr>
      <w:r>
        <w:continuationSeparator/>
      </w:r>
    </w:p>
  </w:footnote>
  <w:footnote w:type="continuationNotice" w:id="1">
    <w:p w14:paraId="2EEA32E0" w14:textId="77777777" w:rsidR="00BA587A" w:rsidRDefault="00BA587A">
      <w:pPr>
        <w:spacing w:after="0" w:line="240" w:lineRule="auto"/>
      </w:pPr>
    </w:p>
  </w:footnote>
  <w:footnote w:id="2">
    <w:p w14:paraId="522BCFA3" w14:textId="77777777" w:rsidR="000B6A0A" w:rsidRPr="00BD3AA6" w:rsidRDefault="000B6A0A" w:rsidP="000B6A0A">
      <w:pPr>
        <w:pStyle w:val="FootnoteText"/>
        <w:jc w:val="both"/>
        <w:rPr>
          <w:rFonts w:ascii="Arial" w:hAnsi="Arial" w:cs="Arial"/>
          <w:lang w:val="mn-MN"/>
        </w:rPr>
      </w:pPr>
      <w:r w:rsidRPr="00BD3AA6">
        <w:rPr>
          <w:rStyle w:val="FootnoteReference"/>
          <w:rFonts w:ascii="Arial" w:hAnsi="Arial" w:cs="Arial"/>
        </w:rPr>
        <w:footnoteRef/>
      </w:r>
      <w:r w:rsidRPr="00BD3AA6">
        <w:rPr>
          <w:rFonts w:ascii="Arial" w:hAnsi="Arial" w:cs="Arial"/>
          <w:sz w:val="18"/>
          <w:lang w:val="mn-MN"/>
        </w:rPr>
        <w:t>Өрийн удирдлагын тухай хуулийн 4.1.4-т “улсын нийт гадаад өр”-ийг Засгийн газар, орон нутаг, Монголбанк болон Монгол Улсад бүртгэлтэй аж ахуй нэгжийн харьяат бус аливаа этгээдэд төлөх төлбөрийн үүрэг гэж тодорхойлж өгсөн. Тус статистикийг О</w:t>
      </w:r>
      <w:r>
        <w:rPr>
          <w:rFonts w:ascii="Arial" w:hAnsi="Arial" w:cs="Arial"/>
          <w:sz w:val="18"/>
          <w:lang w:val="mn-MN"/>
        </w:rPr>
        <w:t xml:space="preserve">лон улсын валютын сан </w:t>
      </w:r>
      <w:r w:rsidRPr="00436E42">
        <w:rPr>
          <w:rFonts w:ascii="Arial" w:hAnsi="Arial" w:cs="Arial"/>
          <w:sz w:val="18"/>
          <w:lang w:val="mn-MN"/>
        </w:rPr>
        <w:t>/</w:t>
      </w:r>
      <w:r w:rsidRPr="00BD3AA6">
        <w:rPr>
          <w:rFonts w:ascii="Arial" w:hAnsi="Arial" w:cs="Arial"/>
          <w:sz w:val="18"/>
          <w:lang w:val="mn-MN"/>
        </w:rPr>
        <w:t>ОУВС</w:t>
      </w:r>
      <w:r w:rsidRPr="00436E42">
        <w:rPr>
          <w:rFonts w:ascii="Arial" w:hAnsi="Arial" w:cs="Arial"/>
          <w:sz w:val="18"/>
          <w:lang w:val="mn-MN"/>
        </w:rPr>
        <w:t>/</w:t>
      </w:r>
      <w:r w:rsidRPr="00BD3AA6">
        <w:rPr>
          <w:rFonts w:ascii="Arial" w:hAnsi="Arial" w:cs="Arial"/>
          <w:sz w:val="18"/>
          <w:lang w:val="mn-MN"/>
        </w:rPr>
        <w:t xml:space="preserve">-ийн "Гадаад секторын статистик боловсруулах 6 дугаар </w:t>
      </w:r>
      <w:r>
        <w:rPr>
          <w:rFonts w:ascii="Arial" w:hAnsi="Arial" w:cs="Arial"/>
          <w:sz w:val="18"/>
          <w:lang w:val="mn-MN"/>
        </w:rPr>
        <w:t>гарын авлага</w:t>
      </w:r>
      <w:r w:rsidRPr="00BD3AA6">
        <w:rPr>
          <w:rFonts w:ascii="Arial" w:hAnsi="Arial" w:cs="Arial"/>
          <w:sz w:val="18"/>
          <w:lang w:val="mn-MN"/>
        </w:rPr>
        <w:t>"-ын хүрээнд Монголбанк нь Сангийн яамтай хамтран Мэдээлэл тархаах ерөнхий системийн шаардлагын дагуу боловсруулж, олон нийтэд мэдээлж байна</w:t>
      </w:r>
    </w:p>
  </w:footnote>
  <w:footnote w:id="3">
    <w:p w14:paraId="75C980F2" w14:textId="77777777" w:rsidR="000B6A0A" w:rsidRPr="00436E42" w:rsidRDefault="000B6A0A" w:rsidP="000B6A0A">
      <w:pPr>
        <w:jc w:val="both"/>
        <w:rPr>
          <w:rFonts w:ascii="Arial" w:hAnsi="Arial" w:cs="Arial"/>
          <w:sz w:val="16"/>
          <w:szCs w:val="16"/>
          <w:lang w:val="mn-MN"/>
        </w:rPr>
      </w:pPr>
      <w:r w:rsidRPr="00BD3AA6">
        <w:rPr>
          <w:rStyle w:val="FootnoteReference"/>
          <w:rFonts w:ascii="Arial" w:hAnsi="Arial" w:cs="Arial"/>
          <w:sz w:val="16"/>
          <w:szCs w:val="16"/>
        </w:rPr>
        <w:footnoteRef/>
      </w:r>
      <w:r w:rsidRPr="00BD3AA6">
        <w:rPr>
          <w:rFonts w:ascii="Arial" w:hAnsi="Arial" w:cs="Arial"/>
          <w:sz w:val="16"/>
          <w:szCs w:val="16"/>
          <w:lang w:val="mn-MN"/>
        </w:rPr>
        <w:t xml:space="preserve">Төсвийн тогтвортой байдлын тухай хуулийн 4.1.8-д “Засгийн газрын өр гэж өрийн хэрэгслээр үүсгэж, Монгол Улсын Засгийн газар, аймаг нийслэлээс бусдын өмнө хүлээсэн төлбөрийн үүргийг, хууль болон гэрээнд заасны дагуу гаргасан Засгийн газрын өрийн баталгааны дүн” гэж заасан. Төсвийн тогтвортой байдлын тухай хуулийн 19.3-т </w:t>
      </w:r>
      <w:r w:rsidRPr="00D3032B">
        <w:rPr>
          <w:rFonts w:ascii="Arial" w:hAnsi="Arial" w:cs="Arial"/>
          <w:sz w:val="16"/>
          <w:szCs w:val="16"/>
          <w:lang w:val="mn-MN"/>
        </w:rPr>
        <w:t>2015 оны төсвийн жилд 58.3 хувиас, 2016 оны төсвийн жилд 88 хувиас, 2017 оны төсвийн жилд 85 хувиас, 2018 оны төсвийн жилд 80 хувиас, 2019 оны төсвийн жилд 75 хувиас, 2020 оны төсвийн жилд 70 хувиас, 2021 болон 2022 оны төсвийн жилд 70 хувиас, 2023 оны төсвийн жилд 65 хувиас, 2024 оны төсвийн жилээс эхлэн 60 хувиас тус тус хэтрүүлэхгүй байна.</w:t>
      </w:r>
    </w:p>
  </w:footnote>
  <w:footnote w:id="4">
    <w:p w14:paraId="4E64B0DC" w14:textId="77777777" w:rsidR="000B6A0A" w:rsidRPr="003A71EE" w:rsidRDefault="000B6A0A" w:rsidP="000B6A0A">
      <w:pPr>
        <w:pStyle w:val="FootnoteText"/>
        <w:rPr>
          <w:lang w:val="mn-MN"/>
        </w:rPr>
      </w:pPr>
      <w:r>
        <w:rPr>
          <w:rStyle w:val="FootnoteReference"/>
        </w:rPr>
        <w:footnoteRef/>
      </w:r>
      <w:r>
        <w:t xml:space="preserve"> </w:t>
      </w:r>
      <w:r w:rsidRPr="003A71EE">
        <w:rPr>
          <w:rFonts w:ascii="Arial" w:hAnsi="Arial" w:cs="Arial"/>
          <w:lang w:val="mn-MN"/>
        </w:rPr>
        <w:t>Америкийн Нэгдсэн Улс</w:t>
      </w:r>
    </w:p>
  </w:footnote>
  <w:footnote w:id="5">
    <w:p w14:paraId="07E1C5F6" w14:textId="77777777" w:rsidR="000B6A0A" w:rsidRPr="003A71EE" w:rsidRDefault="000B6A0A" w:rsidP="000B6A0A">
      <w:pPr>
        <w:pStyle w:val="FootnoteText"/>
        <w:rPr>
          <w:rFonts w:ascii="Arial" w:hAnsi="Arial" w:cs="Arial"/>
        </w:rPr>
      </w:pPr>
      <w:r w:rsidRPr="003A71EE">
        <w:rPr>
          <w:rStyle w:val="FootnoteReference"/>
          <w:rFonts w:ascii="Arial" w:hAnsi="Arial" w:cs="Arial"/>
        </w:rPr>
        <w:footnoteRef/>
      </w:r>
      <w:r w:rsidRPr="003A71EE">
        <w:rPr>
          <w:rFonts w:ascii="Arial" w:hAnsi="Arial" w:cs="Arial"/>
        </w:rPr>
        <w:t xml:space="preserve"> Japan Bank for International Cooperation</w:t>
      </w:r>
    </w:p>
  </w:footnote>
  <w:footnote w:id="6">
    <w:p w14:paraId="7B742044" w14:textId="77777777" w:rsidR="000B6A0A" w:rsidRPr="003A71EE" w:rsidRDefault="000B6A0A" w:rsidP="000B6A0A">
      <w:pPr>
        <w:pStyle w:val="FootnoteText"/>
        <w:rPr>
          <w:rFonts w:ascii="Arial" w:hAnsi="Arial" w:cs="Arial"/>
          <w:lang w:val="mn-MN"/>
        </w:rPr>
      </w:pPr>
      <w:r w:rsidRPr="003A71EE">
        <w:rPr>
          <w:rStyle w:val="FootnoteReference"/>
          <w:rFonts w:ascii="Arial" w:hAnsi="Arial" w:cs="Arial"/>
        </w:rPr>
        <w:footnoteRef/>
      </w:r>
      <w:r w:rsidRPr="003A71EE">
        <w:rPr>
          <w:rFonts w:ascii="Arial" w:hAnsi="Arial" w:cs="Arial"/>
        </w:rPr>
        <w:t xml:space="preserve"> Өрийн жигнэсэн дундаж хүү нь тайлант үеийн эцсийн өрийн үлдэгдэл болон тухайн зээлийн хүүгийн үржвэрийн нийлбэрийн нийт өрийн үлдэгдэлд харьцуулсан харьцаа юм.</w:t>
      </w:r>
    </w:p>
  </w:footnote>
  <w:footnote w:id="7">
    <w:p w14:paraId="3106CFDC" w14:textId="77777777" w:rsidR="000B6A0A" w:rsidRPr="008969CE" w:rsidRDefault="000B6A0A" w:rsidP="000B6A0A">
      <w:pPr>
        <w:pStyle w:val="FootnoteText"/>
        <w:rPr>
          <w:lang w:val="mn-MN"/>
        </w:rPr>
      </w:pPr>
      <w:r w:rsidRPr="003A71EE">
        <w:rPr>
          <w:rStyle w:val="FootnoteReference"/>
          <w:rFonts w:ascii="Arial" w:hAnsi="Arial" w:cs="Arial"/>
        </w:rPr>
        <w:footnoteRef/>
      </w:r>
      <w:r w:rsidRPr="00436E42">
        <w:rPr>
          <w:rFonts w:ascii="Arial" w:hAnsi="Arial" w:cs="Arial"/>
          <w:lang w:val="mn-MN"/>
        </w:rPr>
        <w:t xml:space="preserve"> Эргэн төлөгдөх дундаж хугацаа нь тухайн өрийн үлдэгдэл дунджаар хэдэн жилийн дотор төлөгдөж дуусахыг тооцоолдог үзүүлэлт ба үүнийг зээллэгийн үлдсэн хугацааг тухайн зээллэгийн үлдэгдлээр үржин нийт өрийн үлдэгдэлд харьцуулж олно</w:t>
      </w:r>
    </w:p>
  </w:footnote>
  <w:footnote w:id="8">
    <w:p w14:paraId="6D60E7D6" w14:textId="77777777" w:rsidR="000B6A0A" w:rsidRPr="003A71EE" w:rsidRDefault="000B6A0A" w:rsidP="000B6A0A">
      <w:pPr>
        <w:pStyle w:val="FootnoteText"/>
        <w:rPr>
          <w:rFonts w:ascii="Arial" w:hAnsi="Arial" w:cs="Arial"/>
          <w:lang w:val="mn-MN"/>
        </w:rPr>
      </w:pPr>
      <w:r w:rsidRPr="003A71EE">
        <w:rPr>
          <w:rStyle w:val="FootnoteReference"/>
          <w:rFonts w:ascii="Arial" w:hAnsi="Arial" w:cs="Arial"/>
        </w:rPr>
        <w:footnoteRef/>
      </w:r>
      <w:r w:rsidRPr="00436E42">
        <w:rPr>
          <w:rFonts w:ascii="Arial" w:hAnsi="Arial" w:cs="Arial"/>
          <w:lang w:val="mn-MN"/>
        </w:rPr>
        <w:t xml:space="preserve"> Хүү шинэчлэгдэх дундаж хугацаа нь тухай өрийн хэрэгслийн хүү дунджаар хэдэн жилийн дотор бүрэн шинэчлэгдэхийг тооцоолдог үзүүлэлт ба үүнд хувьсах хүүтэй өрийн хүү жилийн дотор бүрэн шинэчлэгддэг бол өр төлөгдөж дуусахаар түүнийг дахин санхүүжүүлэх эх үүсвэрийн хувьд шинэ хүү тогтдог.</w:t>
      </w:r>
    </w:p>
  </w:footnote>
  <w:footnote w:id="9">
    <w:p w14:paraId="39AAF06F" w14:textId="77777777" w:rsidR="000B6A0A" w:rsidRPr="003A71EE" w:rsidRDefault="000B6A0A" w:rsidP="000B6A0A">
      <w:pPr>
        <w:pStyle w:val="FootnoteText"/>
        <w:rPr>
          <w:rFonts w:ascii="Arial" w:hAnsi="Arial" w:cs="Arial"/>
          <w:lang w:val="mn-MN"/>
        </w:rPr>
      </w:pPr>
      <w:r>
        <w:rPr>
          <w:rStyle w:val="FootnoteReference"/>
        </w:rPr>
        <w:footnoteRef/>
      </w:r>
      <w:r w:rsidRPr="00436E42">
        <w:rPr>
          <w:lang w:val="mn-MN"/>
        </w:rPr>
        <w:t xml:space="preserve"> </w:t>
      </w:r>
      <w:r w:rsidRPr="00436E42">
        <w:rPr>
          <w:rFonts w:ascii="Arial" w:hAnsi="Arial" w:cs="Arial"/>
          <w:lang w:val="mn-MN"/>
        </w:rPr>
        <w:t xml:space="preserve">Fixed </w:t>
      </w:r>
      <w:r w:rsidRPr="003A71EE">
        <w:rPr>
          <w:rFonts w:ascii="Arial" w:hAnsi="Arial" w:cs="Arial"/>
          <w:lang w:val="mn-MN"/>
        </w:rPr>
        <w:t>буюу тогтмол</w:t>
      </w:r>
    </w:p>
  </w:footnote>
  <w:footnote w:id="10">
    <w:p w14:paraId="6DD6972E" w14:textId="77777777" w:rsidR="000B6A0A" w:rsidRPr="003A71EE" w:rsidRDefault="000B6A0A" w:rsidP="000B6A0A">
      <w:pPr>
        <w:pStyle w:val="FootnoteText"/>
        <w:rPr>
          <w:rFonts w:ascii="Arial" w:hAnsi="Arial" w:cs="Arial"/>
          <w:lang w:val="mn-MN"/>
        </w:rPr>
      </w:pPr>
      <w:r w:rsidRPr="003A71EE">
        <w:rPr>
          <w:rStyle w:val="FootnoteReference"/>
          <w:rFonts w:ascii="Arial" w:hAnsi="Arial" w:cs="Arial"/>
        </w:rPr>
        <w:footnoteRef/>
      </w:r>
      <w:r w:rsidRPr="00436E42">
        <w:rPr>
          <w:rFonts w:ascii="Arial" w:hAnsi="Arial" w:cs="Arial"/>
          <w:lang w:val="mn-MN"/>
        </w:rPr>
        <w:t xml:space="preserve"> Variable </w:t>
      </w:r>
      <w:r w:rsidRPr="003A71EE">
        <w:rPr>
          <w:rFonts w:ascii="Arial" w:hAnsi="Arial" w:cs="Arial"/>
          <w:lang w:val="mn-MN"/>
        </w:rPr>
        <w:t>буюу хувьсах</w:t>
      </w:r>
    </w:p>
  </w:footnote>
  <w:footnote w:id="11">
    <w:p w14:paraId="5C72BD24" w14:textId="77777777" w:rsidR="000B6A0A" w:rsidRPr="00436E42" w:rsidRDefault="000B6A0A" w:rsidP="000B6A0A">
      <w:pPr>
        <w:pStyle w:val="FootnoteText"/>
        <w:rPr>
          <w:lang w:val="mn-MN"/>
        </w:rPr>
      </w:pPr>
      <w:r w:rsidRPr="003A71EE">
        <w:rPr>
          <w:rStyle w:val="FootnoteReference"/>
          <w:rFonts w:ascii="Arial" w:hAnsi="Arial" w:cs="Arial"/>
        </w:rPr>
        <w:footnoteRef/>
      </w:r>
      <w:r w:rsidRPr="00436E42">
        <w:rPr>
          <w:rFonts w:ascii="Arial" w:hAnsi="Arial" w:cs="Arial"/>
          <w:lang w:val="mn-MN"/>
        </w:rPr>
        <w:t xml:space="preserve"> Хөдөө аж ахуйг хөгжүүлэх олон улсын сан /IFAD/</w:t>
      </w:r>
    </w:p>
  </w:footnote>
  <w:footnote w:id="12">
    <w:p w14:paraId="7A968B53" w14:textId="77777777" w:rsidR="00C774CF" w:rsidRPr="008969CE" w:rsidRDefault="00C774CF" w:rsidP="00C774CF">
      <w:pPr>
        <w:pStyle w:val="FootnoteText"/>
        <w:jc w:val="both"/>
        <w:rPr>
          <w:rFonts w:ascii="Arial" w:hAnsi="Arial" w:cs="Arial"/>
          <w:sz w:val="18"/>
          <w:szCs w:val="18"/>
          <w:lang w:val="mn-MN"/>
        </w:rPr>
      </w:pPr>
      <w:r w:rsidRPr="008969CE">
        <w:rPr>
          <w:rStyle w:val="FootnoteReference"/>
          <w:rFonts w:ascii="Arial" w:hAnsi="Arial" w:cs="Arial"/>
          <w:sz w:val="18"/>
          <w:szCs w:val="18"/>
        </w:rPr>
        <w:footnoteRef/>
      </w:r>
      <w:r w:rsidRPr="00436E42">
        <w:rPr>
          <w:rFonts w:ascii="Arial" w:hAnsi="Arial" w:cs="Arial"/>
          <w:sz w:val="18"/>
          <w:szCs w:val="18"/>
          <w:lang w:val="mn-MN"/>
        </w:rPr>
        <w:t xml:space="preserve"> </w:t>
      </w:r>
      <w:r w:rsidRPr="008969CE">
        <w:rPr>
          <w:rFonts w:ascii="Arial" w:hAnsi="Arial" w:cs="Arial"/>
          <w:sz w:val="18"/>
          <w:szCs w:val="18"/>
          <w:lang w:val="mn-MN"/>
        </w:rPr>
        <w:t>Өрийн удирдлагын тухай хуулийн 7.1.6-д “</w:t>
      </w:r>
      <w:r w:rsidRPr="00436E42">
        <w:rPr>
          <w:rFonts w:ascii="Arial" w:hAnsi="Arial" w:cs="Arial"/>
          <w:sz w:val="18"/>
          <w:szCs w:val="18"/>
          <w:lang w:val="mn-MN"/>
        </w:rPr>
        <w:t>нийгмийн үр өгөөжтэй, улсын төсөвт эргэн төлөгдөх чадваргүй төсөл, арга хэмжээг зээллэгийн хөрөнгөөр эргэн төлөгдөх нөхцөлгүйгээр санхүүжүүлэх эсэхийг тухайн жилийн төсвийн хуулиар, шаардлагатай тохиолдолд тухай бүр шийдвэрлэх;</w:t>
      </w:r>
      <w:r w:rsidRPr="008969CE">
        <w:rPr>
          <w:rFonts w:ascii="Arial" w:hAnsi="Arial" w:cs="Arial"/>
          <w:sz w:val="18"/>
          <w:szCs w:val="18"/>
          <w:lang w:val="mn-MN"/>
        </w:rPr>
        <w:t>” гэж заасан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BA0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345CB"/>
    <w:multiLevelType w:val="hybridMultilevel"/>
    <w:tmpl w:val="696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4099E"/>
    <w:multiLevelType w:val="multilevel"/>
    <w:tmpl w:val="38A6B3B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F627EC"/>
    <w:multiLevelType w:val="hybridMultilevel"/>
    <w:tmpl w:val="D2CC807C"/>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4" w15:restartNumberingAfterBreak="0">
    <w:nsid w:val="1F204E99"/>
    <w:multiLevelType w:val="hybridMultilevel"/>
    <w:tmpl w:val="DEEC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97660"/>
    <w:multiLevelType w:val="hybridMultilevel"/>
    <w:tmpl w:val="5A02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D1EBD"/>
    <w:multiLevelType w:val="multilevel"/>
    <w:tmpl w:val="BDF2A5C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E8A1D53"/>
    <w:multiLevelType w:val="hybridMultilevel"/>
    <w:tmpl w:val="553C40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684F76"/>
    <w:multiLevelType w:val="hybridMultilevel"/>
    <w:tmpl w:val="2F3C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F438F"/>
    <w:multiLevelType w:val="hybridMultilevel"/>
    <w:tmpl w:val="64F0DE04"/>
    <w:lvl w:ilvl="0" w:tplc="A2B69D1A">
      <w:start w:val="1"/>
      <w:numFmt w:val="decimal"/>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206E"/>
    <w:multiLevelType w:val="hybridMultilevel"/>
    <w:tmpl w:val="DA964FA2"/>
    <w:lvl w:ilvl="0" w:tplc="B842573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17A0F"/>
    <w:multiLevelType w:val="multilevel"/>
    <w:tmpl w:val="26E813D4"/>
    <w:styleLink w:val="Style2"/>
    <w:lvl w:ilvl="0">
      <w:start w:val="1"/>
      <w:numFmt w:val="decimal"/>
      <w:lvlText w:val="%1."/>
      <w:lvlJc w:val="left"/>
      <w:pPr>
        <w:ind w:left="1170" w:hanging="360"/>
      </w:pPr>
      <w:rPr>
        <w:rFonts w:hint="default"/>
        <w:sz w:val="36"/>
        <w:szCs w:val="36"/>
      </w:rPr>
    </w:lvl>
    <w:lvl w:ilvl="1">
      <w:start w:val="1"/>
      <w:numFmt w:val="decimal"/>
      <w:lvlText w:val="%1.%2."/>
      <w:lvlJc w:val="left"/>
      <w:pPr>
        <w:ind w:left="1530" w:hanging="720"/>
      </w:pPr>
      <w:rPr>
        <w:sz w:val="24"/>
        <w:szCs w:val="24"/>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10" w:hanging="1800"/>
      </w:pPr>
      <w:rPr>
        <w:rFonts w:hint="default"/>
      </w:rPr>
    </w:lvl>
  </w:abstractNum>
  <w:abstractNum w:abstractNumId="12" w15:restartNumberingAfterBreak="0">
    <w:nsid w:val="62EF2C5F"/>
    <w:multiLevelType w:val="multilevel"/>
    <w:tmpl w:val="C42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D2AD6"/>
    <w:multiLevelType w:val="hybridMultilevel"/>
    <w:tmpl w:val="2678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F0963"/>
    <w:multiLevelType w:val="multilevel"/>
    <w:tmpl w:val="77C8AF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11"/>
  </w:num>
  <w:num w:numId="4">
    <w:abstractNumId w:val="0"/>
  </w:num>
  <w:num w:numId="5">
    <w:abstractNumId w:val="8"/>
  </w:num>
  <w:num w:numId="6">
    <w:abstractNumId w:val="9"/>
    <w:lvlOverride w:ilvl="0">
      <w:startOverride w:val="1"/>
    </w:lvlOverride>
  </w:num>
  <w:num w:numId="7">
    <w:abstractNumId w:val="1"/>
  </w:num>
  <w:num w:numId="8">
    <w:abstractNumId w:val="12"/>
  </w:num>
  <w:num w:numId="9">
    <w:abstractNumId w:val="5"/>
  </w:num>
  <w:num w:numId="10">
    <w:abstractNumId w:val="13"/>
  </w:num>
  <w:num w:numId="11">
    <w:abstractNumId w:val="7"/>
  </w:num>
  <w:num w:numId="12">
    <w:abstractNumId w:val="10"/>
  </w:num>
  <w:num w:numId="13">
    <w:abstractNumId w:val="2"/>
  </w:num>
  <w:num w:numId="14">
    <w:abstractNumId w:val="6"/>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58"/>
    <w:rsid w:val="00000156"/>
    <w:rsid w:val="0000018F"/>
    <w:rsid w:val="0000061E"/>
    <w:rsid w:val="0000064C"/>
    <w:rsid w:val="0000077B"/>
    <w:rsid w:val="00000AA5"/>
    <w:rsid w:val="00000AB1"/>
    <w:rsid w:val="00000AB2"/>
    <w:rsid w:val="00000B1E"/>
    <w:rsid w:val="00000C0C"/>
    <w:rsid w:val="00000D70"/>
    <w:rsid w:val="00000F39"/>
    <w:rsid w:val="000015E6"/>
    <w:rsid w:val="0000179D"/>
    <w:rsid w:val="000017CB"/>
    <w:rsid w:val="00001AE5"/>
    <w:rsid w:val="00001E6B"/>
    <w:rsid w:val="00001EFA"/>
    <w:rsid w:val="000021B9"/>
    <w:rsid w:val="000021CA"/>
    <w:rsid w:val="000028D1"/>
    <w:rsid w:val="00002AB6"/>
    <w:rsid w:val="00002B1B"/>
    <w:rsid w:val="00002B7E"/>
    <w:rsid w:val="00002C2E"/>
    <w:rsid w:val="00002CE7"/>
    <w:rsid w:val="00002ECC"/>
    <w:rsid w:val="00002FFB"/>
    <w:rsid w:val="00003127"/>
    <w:rsid w:val="00003187"/>
    <w:rsid w:val="000034BA"/>
    <w:rsid w:val="00003733"/>
    <w:rsid w:val="00003800"/>
    <w:rsid w:val="00003830"/>
    <w:rsid w:val="000038AB"/>
    <w:rsid w:val="00003A04"/>
    <w:rsid w:val="00003A92"/>
    <w:rsid w:val="00003AAC"/>
    <w:rsid w:val="00003B31"/>
    <w:rsid w:val="00003BB8"/>
    <w:rsid w:val="00003D15"/>
    <w:rsid w:val="0000426D"/>
    <w:rsid w:val="00004768"/>
    <w:rsid w:val="0000476B"/>
    <w:rsid w:val="00004BA6"/>
    <w:rsid w:val="00004D59"/>
    <w:rsid w:val="0000508B"/>
    <w:rsid w:val="0000509F"/>
    <w:rsid w:val="000052DE"/>
    <w:rsid w:val="00005438"/>
    <w:rsid w:val="0000553E"/>
    <w:rsid w:val="00005563"/>
    <w:rsid w:val="00005705"/>
    <w:rsid w:val="00005B66"/>
    <w:rsid w:val="00005D0B"/>
    <w:rsid w:val="00005ECC"/>
    <w:rsid w:val="00005F39"/>
    <w:rsid w:val="0000614F"/>
    <w:rsid w:val="00006393"/>
    <w:rsid w:val="00006447"/>
    <w:rsid w:val="00006894"/>
    <w:rsid w:val="000070E4"/>
    <w:rsid w:val="000073B2"/>
    <w:rsid w:val="00007459"/>
    <w:rsid w:val="00007894"/>
    <w:rsid w:val="0000793E"/>
    <w:rsid w:val="00007CCE"/>
    <w:rsid w:val="0001041D"/>
    <w:rsid w:val="0001065C"/>
    <w:rsid w:val="000106AE"/>
    <w:rsid w:val="00010760"/>
    <w:rsid w:val="00010840"/>
    <w:rsid w:val="0001088B"/>
    <w:rsid w:val="00010A67"/>
    <w:rsid w:val="00010E3F"/>
    <w:rsid w:val="00010F24"/>
    <w:rsid w:val="00011150"/>
    <w:rsid w:val="000113AA"/>
    <w:rsid w:val="00011455"/>
    <w:rsid w:val="00011523"/>
    <w:rsid w:val="000116F2"/>
    <w:rsid w:val="0001176A"/>
    <w:rsid w:val="00011D79"/>
    <w:rsid w:val="00011F2A"/>
    <w:rsid w:val="00012079"/>
    <w:rsid w:val="000120E5"/>
    <w:rsid w:val="000120FF"/>
    <w:rsid w:val="0001216E"/>
    <w:rsid w:val="0001241C"/>
    <w:rsid w:val="00012B52"/>
    <w:rsid w:val="00012D0F"/>
    <w:rsid w:val="00013149"/>
    <w:rsid w:val="000134C8"/>
    <w:rsid w:val="0001374A"/>
    <w:rsid w:val="000137EB"/>
    <w:rsid w:val="0001389A"/>
    <w:rsid w:val="00013910"/>
    <w:rsid w:val="00013DCE"/>
    <w:rsid w:val="00013E8A"/>
    <w:rsid w:val="00013FF5"/>
    <w:rsid w:val="00014011"/>
    <w:rsid w:val="000142EB"/>
    <w:rsid w:val="000144DF"/>
    <w:rsid w:val="0001462C"/>
    <w:rsid w:val="0001488E"/>
    <w:rsid w:val="00014914"/>
    <w:rsid w:val="0001492F"/>
    <w:rsid w:val="00014DC9"/>
    <w:rsid w:val="00014F4D"/>
    <w:rsid w:val="0001543B"/>
    <w:rsid w:val="0001552F"/>
    <w:rsid w:val="00015584"/>
    <w:rsid w:val="000156BC"/>
    <w:rsid w:val="0001597A"/>
    <w:rsid w:val="00015C3D"/>
    <w:rsid w:val="00015DE4"/>
    <w:rsid w:val="00015E2A"/>
    <w:rsid w:val="0001600A"/>
    <w:rsid w:val="0001600B"/>
    <w:rsid w:val="0001603B"/>
    <w:rsid w:val="0001607C"/>
    <w:rsid w:val="0001611C"/>
    <w:rsid w:val="0001623C"/>
    <w:rsid w:val="00016454"/>
    <w:rsid w:val="00016584"/>
    <w:rsid w:val="000167E2"/>
    <w:rsid w:val="00016B65"/>
    <w:rsid w:val="000171E2"/>
    <w:rsid w:val="00017409"/>
    <w:rsid w:val="0001766A"/>
    <w:rsid w:val="000176A1"/>
    <w:rsid w:val="00017C74"/>
    <w:rsid w:val="00017EC9"/>
    <w:rsid w:val="00020146"/>
    <w:rsid w:val="00020397"/>
    <w:rsid w:val="0002065F"/>
    <w:rsid w:val="0002087B"/>
    <w:rsid w:val="0002089D"/>
    <w:rsid w:val="00020BB7"/>
    <w:rsid w:val="00020BBC"/>
    <w:rsid w:val="00020C4C"/>
    <w:rsid w:val="00020C75"/>
    <w:rsid w:val="00020E0C"/>
    <w:rsid w:val="000210E4"/>
    <w:rsid w:val="000214B6"/>
    <w:rsid w:val="00021690"/>
    <w:rsid w:val="000216C6"/>
    <w:rsid w:val="000216FB"/>
    <w:rsid w:val="0002181D"/>
    <w:rsid w:val="00021AD6"/>
    <w:rsid w:val="00021D5B"/>
    <w:rsid w:val="00022326"/>
    <w:rsid w:val="000223AA"/>
    <w:rsid w:val="00022409"/>
    <w:rsid w:val="0002242B"/>
    <w:rsid w:val="0002254A"/>
    <w:rsid w:val="0002271A"/>
    <w:rsid w:val="00022B0C"/>
    <w:rsid w:val="00022D87"/>
    <w:rsid w:val="00023090"/>
    <w:rsid w:val="000233D5"/>
    <w:rsid w:val="0002349E"/>
    <w:rsid w:val="000234C9"/>
    <w:rsid w:val="0002368D"/>
    <w:rsid w:val="00023729"/>
    <w:rsid w:val="00023899"/>
    <w:rsid w:val="00023B43"/>
    <w:rsid w:val="00023F6C"/>
    <w:rsid w:val="00023FE2"/>
    <w:rsid w:val="000240A3"/>
    <w:rsid w:val="000244D9"/>
    <w:rsid w:val="000245C5"/>
    <w:rsid w:val="0002462C"/>
    <w:rsid w:val="00024639"/>
    <w:rsid w:val="0002467B"/>
    <w:rsid w:val="000246B1"/>
    <w:rsid w:val="00024896"/>
    <w:rsid w:val="00024A2F"/>
    <w:rsid w:val="00024DA1"/>
    <w:rsid w:val="00024E08"/>
    <w:rsid w:val="0002544F"/>
    <w:rsid w:val="00025C85"/>
    <w:rsid w:val="00025CD9"/>
    <w:rsid w:val="00025CFA"/>
    <w:rsid w:val="000261C1"/>
    <w:rsid w:val="00026941"/>
    <w:rsid w:val="00027253"/>
    <w:rsid w:val="000272CE"/>
    <w:rsid w:val="00027414"/>
    <w:rsid w:val="000278C6"/>
    <w:rsid w:val="00027C23"/>
    <w:rsid w:val="00027C37"/>
    <w:rsid w:val="00027ECC"/>
    <w:rsid w:val="00027F69"/>
    <w:rsid w:val="000306CD"/>
    <w:rsid w:val="000308F5"/>
    <w:rsid w:val="00030C19"/>
    <w:rsid w:val="00030E40"/>
    <w:rsid w:val="00030FE3"/>
    <w:rsid w:val="000310F8"/>
    <w:rsid w:val="00031527"/>
    <w:rsid w:val="000315E7"/>
    <w:rsid w:val="00031688"/>
    <w:rsid w:val="0003180D"/>
    <w:rsid w:val="00031C53"/>
    <w:rsid w:val="00031DD6"/>
    <w:rsid w:val="00031E17"/>
    <w:rsid w:val="00031E93"/>
    <w:rsid w:val="00032173"/>
    <w:rsid w:val="00032349"/>
    <w:rsid w:val="000323AC"/>
    <w:rsid w:val="000323F9"/>
    <w:rsid w:val="00032669"/>
    <w:rsid w:val="0003275D"/>
    <w:rsid w:val="00032C66"/>
    <w:rsid w:val="00032E85"/>
    <w:rsid w:val="00032F26"/>
    <w:rsid w:val="0003304B"/>
    <w:rsid w:val="000332AA"/>
    <w:rsid w:val="0003341C"/>
    <w:rsid w:val="00033471"/>
    <w:rsid w:val="0003388B"/>
    <w:rsid w:val="00033AFB"/>
    <w:rsid w:val="00033DED"/>
    <w:rsid w:val="00033F71"/>
    <w:rsid w:val="000340CB"/>
    <w:rsid w:val="00034118"/>
    <w:rsid w:val="00034418"/>
    <w:rsid w:val="00034650"/>
    <w:rsid w:val="00034759"/>
    <w:rsid w:val="00034AED"/>
    <w:rsid w:val="00034E6F"/>
    <w:rsid w:val="00035029"/>
    <w:rsid w:val="00035677"/>
    <w:rsid w:val="00035825"/>
    <w:rsid w:val="0003590C"/>
    <w:rsid w:val="00035F49"/>
    <w:rsid w:val="00035FE2"/>
    <w:rsid w:val="000361EF"/>
    <w:rsid w:val="0003622D"/>
    <w:rsid w:val="0003624F"/>
    <w:rsid w:val="00036254"/>
    <w:rsid w:val="0003628E"/>
    <w:rsid w:val="00036851"/>
    <w:rsid w:val="00036D24"/>
    <w:rsid w:val="00036EDD"/>
    <w:rsid w:val="00037143"/>
    <w:rsid w:val="0003737B"/>
    <w:rsid w:val="00037505"/>
    <w:rsid w:val="00037554"/>
    <w:rsid w:val="00037698"/>
    <w:rsid w:val="0003769D"/>
    <w:rsid w:val="00037702"/>
    <w:rsid w:val="0003786A"/>
    <w:rsid w:val="0003791C"/>
    <w:rsid w:val="00037A05"/>
    <w:rsid w:val="00037A75"/>
    <w:rsid w:val="00037B6C"/>
    <w:rsid w:val="00037BA0"/>
    <w:rsid w:val="00037DBF"/>
    <w:rsid w:val="00037EF9"/>
    <w:rsid w:val="00040370"/>
    <w:rsid w:val="000404F9"/>
    <w:rsid w:val="000406BE"/>
    <w:rsid w:val="00040872"/>
    <w:rsid w:val="00040A7D"/>
    <w:rsid w:val="00040BBB"/>
    <w:rsid w:val="00040E43"/>
    <w:rsid w:val="000410C0"/>
    <w:rsid w:val="00041354"/>
    <w:rsid w:val="000416BB"/>
    <w:rsid w:val="0004188C"/>
    <w:rsid w:val="000418B0"/>
    <w:rsid w:val="00041D01"/>
    <w:rsid w:val="00041D04"/>
    <w:rsid w:val="00042067"/>
    <w:rsid w:val="000420C8"/>
    <w:rsid w:val="000425B8"/>
    <w:rsid w:val="00042A80"/>
    <w:rsid w:val="00042CC8"/>
    <w:rsid w:val="00042F9F"/>
    <w:rsid w:val="00042FFA"/>
    <w:rsid w:val="000432D0"/>
    <w:rsid w:val="000434E8"/>
    <w:rsid w:val="00043B9B"/>
    <w:rsid w:val="00043DD7"/>
    <w:rsid w:val="00043E0B"/>
    <w:rsid w:val="00043E38"/>
    <w:rsid w:val="00043EBC"/>
    <w:rsid w:val="00043F15"/>
    <w:rsid w:val="000442C4"/>
    <w:rsid w:val="000443F1"/>
    <w:rsid w:val="0004476A"/>
    <w:rsid w:val="00044AAB"/>
    <w:rsid w:val="00044F09"/>
    <w:rsid w:val="00044FA7"/>
    <w:rsid w:val="000450AE"/>
    <w:rsid w:val="00045337"/>
    <w:rsid w:val="000454CF"/>
    <w:rsid w:val="000454F7"/>
    <w:rsid w:val="00045673"/>
    <w:rsid w:val="00045791"/>
    <w:rsid w:val="00045865"/>
    <w:rsid w:val="00045895"/>
    <w:rsid w:val="00045A95"/>
    <w:rsid w:val="00045BB7"/>
    <w:rsid w:val="00045C3B"/>
    <w:rsid w:val="00045CAC"/>
    <w:rsid w:val="00045FAC"/>
    <w:rsid w:val="000466DE"/>
    <w:rsid w:val="00046A72"/>
    <w:rsid w:val="00046BBD"/>
    <w:rsid w:val="00047165"/>
    <w:rsid w:val="000471C8"/>
    <w:rsid w:val="000473E3"/>
    <w:rsid w:val="000476D3"/>
    <w:rsid w:val="00047901"/>
    <w:rsid w:val="00047FC6"/>
    <w:rsid w:val="00050283"/>
    <w:rsid w:val="000505AF"/>
    <w:rsid w:val="00050650"/>
    <w:rsid w:val="000506A6"/>
    <w:rsid w:val="00050B61"/>
    <w:rsid w:val="00050CDD"/>
    <w:rsid w:val="00050DBF"/>
    <w:rsid w:val="00050F8D"/>
    <w:rsid w:val="00051120"/>
    <w:rsid w:val="00051281"/>
    <w:rsid w:val="00051331"/>
    <w:rsid w:val="000519EA"/>
    <w:rsid w:val="00051B5D"/>
    <w:rsid w:val="00051F4B"/>
    <w:rsid w:val="00052104"/>
    <w:rsid w:val="00052667"/>
    <w:rsid w:val="000529F6"/>
    <w:rsid w:val="000532CE"/>
    <w:rsid w:val="00053377"/>
    <w:rsid w:val="000535D4"/>
    <w:rsid w:val="000537D3"/>
    <w:rsid w:val="00053CF0"/>
    <w:rsid w:val="00053E72"/>
    <w:rsid w:val="00053E8B"/>
    <w:rsid w:val="00053F28"/>
    <w:rsid w:val="0005452B"/>
    <w:rsid w:val="0005461C"/>
    <w:rsid w:val="00054866"/>
    <w:rsid w:val="00054FA9"/>
    <w:rsid w:val="0005502F"/>
    <w:rsid w:val="0005533D"/>
    <w:rsid w:val="0005546C"/>
    <w:rsid w:val="00055503"/>
    <w:rsid w:val="000559DB"/>
    <w:rsid w:val="00055AC1"/>
    <w:rsid w:val="00055D49"/>
    <w:rsid w:val="00055E9F"/>
    <w:rsid w:val="00055ED2"/>
    <w:rsid w:val="000561EA"/>
    <w:rsid w:val="0005651C"/>
    <w:rsid w:val="000565D2"/>
    <w:rsid w:val="0005680A"/>
    <w:rsid w:val="00056FE6"/>
    <w:rsid w:val="0005720E"/>
    <w:rsid w:val="00057499"/>
    <w:rsid w:val="00057B0B"/>
    <w:rsid w:val="00057B0C"/>
    <w:rsid w:val="00057B9A"/>
    <w:rsid w:val="000607AE"/>
    <w:rsid w:val="00060A56"/>
    <w:rsid w:val="00060C3D"/>
    <w:rsid w:val="00060D4F"/>
    <w:rsid w:val="00060FAA"/>
    <w:rsid w:val="00060FB2"/>
    <w:rsid w:val="00060FBB"/>
    <w:rsid w:val="00060FF8"/>
    <w:rsid w:val="0006185D"/>
    <w:rsid w:val="000618DC"/>
    <w:rsid w:val="00061BA0"/>
    <w:rsid w:val="00061C7C"/>
    <w:rsid w:val="00061ECE"/>
    <w:rsid w:val="00062421"/>
    <w:rsid w:val="0006248E"/>
    <w:rsid w:val="000625B2"/>
    <w:rsid w:val="000627DD"/>
    <w:rsid w:val="00062909"/>
    <w:rsid w:val="0006295E"/>
    <w:rsid w:val="00062A67"/>
    <w:rsid w:val="00062A80"/>
    <w:rsid w:val="00062B97"/>
    <w:rsid w:val="00062CF3"/>
    <w:rsid w:val="00062E47"/>
    <w:rsid w:val="00063120"/>
    <w:rsid w:val="0006386A"/>
    <w:rsid w:val="00063904"/>
    <w:rsid w:val="00063D6F"/>
    <w:rsid w:val="00063E34"/>
    <w:rsid w:val="00063E59"/>
    <w:rsid w:val="000641E8"/>
    <w:rsid w:val="00064202"/>
    <w:rsid w:val="00064440"/>
    <w:rsid w:val="00064A2B"/>
    <w:rsid w:val="00064AB2"/>
    <w:rsid w:val="00064B41"/>
    <w:rsid w:val="00064FB9"/>
    <w:rsid w:val="000650AA"/>
    <w:rsid w:val="0006531B"/>
    <w:rsid w:val="00065342"/>
    <w:rsid w:val="00065886"/>
    <w:rsid w:val="00065D6B"/>
    <w:rsid w:val="0006607A"/>
    <w:rsid w:val="0006619D"/>
    <w:rsid w:val="00066503"/>
    <w:rsid w:val="00066564"/>
    <w:rsid w:val="0006661D"/>
    <w:rsid w:val="00066873"/>
    <w:rsid w:val="00066958"/>
    <w:rsid w:val="00066B43"/>
    <w:rsid w:val="00066B8F"/>
    <w:rsid w:val="00066C65"/>
    <w:rsid w:val="00066E05"/>
    <w:rsid w:val="00066FAA"/>
    <w:rsid w:val="00067354"/>
    <w:rsid w:val="000675ED"/>
    <w:rsid w:val="000678B2"/>
    <w:rsid w:val="000678B7"/>
    <w:rsid w:val="00067903"/>
    <w:rsid w:val="0006791B"/>
    <w:rsid w:val="00067938"/>
    <w:rsid w:val="00067B4D"/>
    <w:rsid w:val="00067F2E"/>
    <w:rsid w:val="000700E2"/>
    <w:rsid w:val="000702BA"/>
    <w:rsid w:val="00070398"/>
    <w:rsid w:val="000705B8"/>
    <w:rsid w:val="0007085A"/>
    <w:rsid w:val="000708FE"/>
    <w:rsid w:val="00070E2E"/>
    <w:rsid w:val="000712F8"/>
    <w:rsid w:val="00071548"/>
    <w:rsid w:val="00071709"/>
    <w:rsid w:val="00071BB3"/>
    <w:rsid w:val="00071D3A"/>
    <w:rsid w:val="00071DDB"/>
    <w:rsid w:val="00071F2E"/>
    <w:rsid w:val="000722D5"/>
    <w:rsid w:val="000726A1"/>
    <w:rsid w:val="00072714"/>
    <w:rsid w:val="000727B7"/>
    <w:rsid w:val="000728A1"/>
    <w:rsid w:val="00072BBC"/>
    <w:rsid w:val="00072F22"/>
    <w:rsid w:val="000730B9"/>
    <w:rsid w:val="0007318A"/>
    <w:rsid w:val="0007355C"/>
    <w:rsid w:val="000735B8"/>
    <w:rsid w:val="0007382A"/>
    <w:rsid w:val="000738BB"/>
    <w:rsid w:val="00073B1D"/>
    <w:rsid w:val="00073EEC"/>
    <w:rsid w:val="000745C4"/>
    <w:rsid w:val="00074804"/>
    <w:rsid w:val="00074889"/>
    <w:rsid w:val="00074A31"/>
    <w:rsid w:val="00074A3C"/>
    <w:rsid w:val="00074B80"/>
    <w:rsid w:val="00074CF2"/>
    <w:rsid w:val="00074EA8"/>
    <w:rsid w:val="00074FFA"/>
    <w:rsid w:val="000751FC"/>
    <w:rsid w:val="0007529E"/>
    <w:rsid w:val="000752C4"/>
    <w:rsid w:val="000752E5"/>
    <w:rsid w:val="0007574A"/>
    <w:rsid w:val="00075B73"/>
    <w:rsid w:val="00075C23"/>
    <w:rsid w:val="00075CB9"/>
    <w:rsid w:val="00075E6F"/>
    <w:rsid w:val="0007609B"/>
    <w:rsid w:val="00076577"/>
    <w:rsid w:val="000767E2"/>
    <w:rsid w:val="00077034"/>
    <w:rsid w:val="000770B2"/>
    <w:rsid w:val="000770D5"/>
    <w:rsid w:val="000771B9"/>
    <w:rsid w:val="0007726B"/>
    <w:rsid w:val="000774DD"/>
    <w:rsid w:val="00077707"/>
    <w:rsid w:val="00077989"/>
    <w:rsid w:val="00077B00"/>
    <w:rsid w:val="00077D63"/>
    <w:rsid w:val="00077F63"/>
    <w:rsid w:val="000800E9"/>
    <w:rsid w:val="0008064D"/>
    <w:rsid w:val="0008092C"/>
    <w:rsid w:val="00080ED9"/>
    <w:rsid w:val="00081013"/>
    <w:rsid w:val="0008103B"/>
    <w:rsid w:val="0008123B"/>
    <w:rsid w:val="0008134C"/>
    <w:rsid w:val="000814A2"/>
    <w:rsid w:val="00081653"/>
    <w:rsid w:val="00081837"/>
    <w:rsid w:val="00081A14"/>
    <w:rsid w:val="00081A3E"/>
    <w:rsid w:val="00081B1C"/>
    <w:rsid w:val="00081D58"/>
    <w:rsid w:val="00081EDC"/>
    <w:rsid w:val="00081F04"/>
    <w:rsid w:val="0008233E"/>
    <w:rsid w:val="00082348"/>
    <w:rsid w:val="00082416"/>
    <w:rsid w:val="000828BF"/>
    <w:rsid w:val="00082969"/>
    <w:rsid w:val="000829B0"/>
    <w:rsid w:val="00082A7B"/>
    <w:rsid w:val="00082C8A"/>
    <w:rsid w:val="00082E09"/>
    <w:rsid w:val="00083188"/>
    <w:rsid w:val="000832F3"/>
    <w:rsid w:val="00083391"/>
    <w:rsid w:val="00083479"/>
    <w:rsid w:val="00083542"/>
    <w:rsid w:val="0008360E"/>
    <w:rsid w:val="00083851"/>
    <w:rsid w:val="000845E0"/>
    <w:rsid w:val="00084AC6"/>
    <w:rsid w:val="00084BB9"/>
    <w:rsid w:val="00084EBF"/>
    <w:rsid w:val="00085142"/>
    <w:rsid w:val="000853CE"/>
    <w:rsid w:val="000853F8"/>
    <w:rsid w:val="0008554C"/>
    <w:rsid w:val="000855EA"/>
    <w:rsid w:val="00085E66"/>
    <w:rsid w:val="00085EA9"/>
    <w:rsid w:val="00086205"/>
    <w:rsid w:val="00086585"/>
    <w:rsid w:val="00086661"/>
    <w:rsid w:val="0008676E"/>
    <w:rsid w:val="0008697B"/>
    <w:rsid w:val="00086AA3"/>
    <w:rsid w:val="00086F98"/>
    <w:rsid w:val="0008704B"/>
    <w:rsid w:val="000871F1"/>
    <w:rsid w:val="0008729C"/>
    <w:rsid w:val="00087314"/>
    <w:rsid w:val="000874B4"/>
    <w:rsid w:val="000876A0"/>
    <w:rsid w:val="0008792F"/>
    <w:rsid w:val="00087A51"/>
    <w:rsid w:val="00087A54"/>
    <w:rsid w:val="00087CF2"/>
    <w:rsid w:val="00087E93"/>
    <w:rsid w:val="000903D1"/>
    <w:rsid w:val="000903EC"/>
    <w:rsid w:val="000904C2"/>
    <w:rsid w:val="00090CCF"/>
    <w:rsid w:val="00090E6E"/>
    <w:rsid w:val="00091F45"/>
    <w:rsid w:val="00092198"/>
    <w:rsid w:val="000925E4"/>
    <w:rsid w:val="000926A2"/>
    <w:rsid w:val="00092BFF"/>
    <w:rsid w:val="00092CB6"/>
    <w:rsid w:val="000930DB"/>
    <w:rsid w:val="0009343D"/>
    <w:rsid w:val="00093772"/>
    <w:rsid w:val="00093A15"/>
    <w:rsid w:val="00093A9F"/>
    <w:rsid w:val="00093D9E"/>
    <w:rsid w:val="00093E86"/>
    <w:rsid w:val="00093FBA"/>
    <w:rsid w:val="00094304"/>
    <w:rsid w:val="0009441F"/>
    <w:rsid w:val="0009481B"/>
    <w:rsid w:val="00094937"/>
    <w:rsid w:val="00094CD6"/>
    <w:rsid w:val="00094DB3"/>
    <w:rsid w:val="00094E0C"/>
    <w:rsid w:val="00095490"/>
    <w:rsid w:val="000954BA"/>
    <w:rsid w:val="00095654"/>
    <w:rsid w:val="000957BF"/>
    <w:rsid w:val="00095B92"/>
    <w:rsid w:val="00095C22"/>
    <w:rsid w:val="00095E92"/>
    <w:rsid w:val="00096074"/>
    <w:rsid w:val="00096222"/>
    <w:rsid w:val="00096B2D"/>
    <w:rsid w:val="00096CAF"/>
    <w:rsid w:val="00096D41"/>
    <w:rsid w:val="00096DF2"/>
    <w:rsid w:val="00096FEA"/>
    <w:rsid w:val="00097462"/>
    <w:rsid w:val="0009772A"/>
    <w:rsid w:val="000977D3"/>
    <w:rsid w:val="0009785B"/>
    <w:rsid w:val="000979E7"/>
    <w:rsid w:val="00097AA3"/>
    <w:rsid w:val="00097BFE"/>
    <w:rsid w:val="00097C58"/>
    <w:rsid w:val="00097D84"/>
    <w:rsid w:val="000A0027"/>
    <w:rsid w:val="000A091D"/>
    <w:rsid w:val="000A0AAD"/>
    <w:rsid w:val="000A0B77"/>
    <w:rsid w:val="000A0C19"/>
    <w:rsid w:val="000A1141"/>
    <w:rsid w:val="000A1386"/>
    <w:rsid w:val="000A15CD"/>
    <w:rsid w:val="000A163A"/>
    <w:rsid w:val="000A1829"/>
    <w:rsid w:val="000A1B6E"/>
    <w:rsid w:val="000A1B8C"/>
    <w:rsid w:val="000A1DD4"/>
    <w:rsid w:val="000A1E85"/>
    <w:rsid w:val="000A1ED2"/>
    <w:rsid w:val="000A2031"/>
    <w:rsid w:val="000A21F0"/>
    <w:rsid w:val="000A230A"/>
    <w:rsid w:val="000A23BC"/>
    <w:rsid w:val="000A29A8"/>
    <w:rsid w:val="000A29C0"/>
    <w:rsid w:val="000A2D9A"/>
    <w:rsid w:val="000A2F81"/>
    <w:rsid w:val="000A30BB"/>
    <w:rsid w:val="000A31B9"/>
    <w:rsid w:val="000A32FB"/>
    <w:rsid w:val="000A34C1"/>
    <w:rsid w:val="000A36EA"/>
    <w:rsid w:val="000A3712"/>
    <w:rsid w:val="000A3B12"/>
    <w:rsid w:val="000A3F70"/>
    <w:rsid w:val="000A3FEE"/>
    <w:rsid w:val="000A46D3"/>
    <w:rsid w:val="000A478F"/>
    <w:rsid w:val="000A4815"/>
    <w:rsid w:val="000A4C99"/>
    <w:rsid w:val="000A4D1E"/>
    <w:rsid w:val="000A4D29"/>
    <w:rsid w:val="000A4D97"/>
    <w:rsid w:val="000A4E54"/>
    <w:rsid w:val="000A4F31"/>
    <w:rsid w:val="000A5488"/>
    <w:rsid w:val="000A55FE"/>
    <w:rsid w:val="000A5765"/>
    <w:rsid w:val="000A59E2"/>
    <w:rsid w:val="000A5A9E"/>
    <w:rsid w:val="000A5DE0"/>
    <w:rsid w:val="000A5E4D"/>
    <w:rsid w:val="000A6208"/>
    <w:rsid w:val="000A6300"/>
    <w:rsid w:val="000A6451"/>
    <w:rsid w:val="000A67DF"/>
    <w:rsid w:val="000A6ADF"/>
    <w:rsid w:val="000A6B76"/>
    <w:rsid w:val="000A6EF9"/>
    <w:rsid w:val="000A7025"/>
    <w:rsid w:val="000A71E9"/>
    <w:rsid w:val="000A72A3"/>
    <w:rsid w:val="000A7D40"/>
    <w:rsid w:val="000A7DC2"/>
    <w:rsid w:val="000B0400"/>
    <w:rsid w:val="000B050C"/>
    <w:rsid w:val="000B071A"/>
    <w:rsid w:val="000B0955"/>
    <w:rsid w:val="000B0C06"/>
    <w:rsid w:val="000B0E9D"/>
    <w:rsid w:val="000B0FD2"/>
    <w:rsid w:val="000B12BD"/>
    <w:rsid w:val="000B1341"/>
    <w:rsid w:val="000B13D1"/>
    <w:rsid w:val="000B14AC"/>
    <w:rsid w:val="000B14F3"/>
    <w:rsid w:val="000B1842"/>
    <w:rsid w:val="000B1F75"/>
    <w:rsid w:val="000B2024"/>
    <w:rsid w:val="000B2129"/>
    <w:rsid w:val="000B2A31"/>
    <w:rsid w:val="000B2CC2"/>
    <w:rsid w:val="000B3122"/>
    <w:rsid w:val="000B3284"/>
    <w:rsid w:val="000B3679"/>
    <w:rsid w:val="000B3B5B"/>
    <w:rsid w:val="000B3BE5"/>
    <w:rsid w:val="000B3C81"/>
    <w:rsid w:val="000B3F11"/>
    <w:rsid w:val="000B4186"/>
    <w:rsid w:val="000B41AA"/>
    <w:rsid w:val="000B41C9"/>
    <w:rsid w:val="000B4222"/>
    <w:rsid w:val="000B44AE"/>
    <w:rsid w:val="000B44F7"/>
    <w:rsid w:val="000B4529"/>
    <w:rsid w:val="000B4833"/>
    <w:rsid w:val="000B4B8D"/>
    <w:rsid w:val="000B4BCB"/>
    <w:rsid w:val="000B4CAB"/>
    <w:rsid w:val="000B4FEA"/>
    <w:rsid w:val="000B53B9"/>
    <w:rsid w:val="000B54B4"/>
    <w:rsid w:val="000B5647"/>
    <w:rsid w:val="000B57F6"/>
    <w:rsid w:val="000B5877"/>
    <w:rsid w:val="000B5963"/>
    <w:rsid w:val="000B5A57"/>
    <w:rsid w:val="000B5C83"/>
    <w:rsid w:val="000B62E6"/>
    <w:rsid w:val="000B6313"/>
    <w:rsid w:val="000B6329"/>
    <w:rsid w:val="000B6510"/>
    <w:rsid w:val="000B678D"/>
    <w:rsid w:val="000B6A0A"/>
    <w:rsid w:val="000B6E74"/>
    <w:rsid w:val="000B701B"/>
    <w:rsid w:val="000B71E4"/>
    <w:rsid w:val="000B7568"/>
    <w:rsid w:val="000B7C52"/>
    <w:rsid w:val="000B7D55"/>
    <w:rsid w:val="000BCE34"/>
    <w:rsid w:val="000C0369"/>
    <w:rsid w:val="000C047E"/>
    <w:rsid w:val="000C0587"/>
    <w:rsid w:val="000C0815"/>
    <w:rsid w:val="000C0AFE"/>
    <w:rsid w:val="000C0C84"/>
    <w:rsid w:val="000C1199"/>
    <w:rsid w:val="000C12B3"/>
    <w:rsid w:val="000C13A4"/>
    <w:rsid w:val="000C1914"/>
    <w:rsid w:val="000C2362"/>
    <w:rsid w:val="000C25A7"/>
    <w:rsid w:val="000C27D8"/>
    <w:rsid w:val="000C2F1F"/>
    <w:rsid w:val="000C308C"/>
    <w:rsid w:val="000C332F"/>
    <w:rsid w:val="000C3359"/>
    <w:rsid w:val="000C3447"/>
    <w:rsid w:val="000C3577"/>
    <w:rsid w:val="000C35E7"/>
    <w:rsid w:val="000C375F"/>
    <w:rsid w:val="000C3B3E"/>
    <w:rsid w:val="000C4380"/>
    <w:rsid w:val="000C4581"/>
    <w:rsid w:val="000C472C"/>
    <w:rsid w:val="000C4755"/>
    <w:rsid w:val="000C48FC"/>
    <w:rsid w:val="000C4D3D"/>
    <w:rsid w:val="000C5031"/>
    <w:rsid w:val="000C5210"/>
    <w:rsid w:val="000C5450"/>
    <w:rsid w:val="000C58ED"/>
    <w:rsid w:val="000C58F3"/>
    <w:rsid w:val="000C5A21"/>
    <w:rsid w:val="000C5ABD"/>
    <w:rsid w:val="000C5BA3"/>
    <w:rsid w:val="000C5C45"/>
    <w:rsid w:val="000C5FED"/>
    <w:rsid w:val="000C636E"/>
    <w:rsid w:val="000C6387"/>
    <w:rsid w:val="000C6814"/>
    <w:rsid w:val="000C6AE3"/>
    <w:rsid w:val="000C6BA4"/>
    <w:rsid w:val="000C6DC6"/>
    <w:rsid w:val="000C702A"/>
    <w:rsid w:val="000C7237"/>
    <w:rsid w:val="000C72E5"/>
    <w:rsid w:val="000C7754"/>
    <w:rsid w:val="000C77BF"/>
    <w:rsid w:val="000C794B"/>
    <w:rsid w:val="000C7B3C"/>
    <w:rsid w:val="000C7BA4"/>
    <w:rsid w:val="000C7E04"/>
    <w:rsid w:val="000C7FD2"/>
    <w:rsid w:val="000D00AF"/>
    <w:rsid w:val="000D05C2"/>
    <w:rsid w:val="000D0D6B"/>
    <w:rsid w:val="000D109C"/>
    <w:rsid w:val="000D15F9"/>
    <w:rsid w:val="000D1748"/>
    <w:rsid w:val="000D1755"/>
    <w:rsid w:val="000D1824"/>
    <w:rsid w:val="000D194C"/>
    <w:rsid w:val="000D1983"/>
    <w:rsid w:val="000D1AED"/>
    <w:rsid w:val="000D1BFA"/>
    <w:rsid w:val="000D1E73"/>
    <w:rsid w:val="000D2129"/>
    <w:rsid w:val="000D2130"/>
    <w:rsid w:val="000D2140"/>
    <w:rsid w:val="000D21EA"/>
    <w:rsid w:val="000D24AD"/>
    <w:rsid w:val="000D2561"/>
    <w:rsid w:val="000D28C0"/>
    <w:rsid w:val="000D29EB"/>
    <w:rsid w:val="000D3095"/>
    <w:rsid w:val="000D35B1"/>
    <w:rsid w:val="000D382D"/>
    <w:rsid w:val="000D3847"/>
    <w:rsid w:val="000D3D3D"/>
    <w:rsid w:val="000D3E48"/>
    <w:rsid w:val="000D3E6F"/>
    <w:rsid w:val="000D4830"/>
    <w:rsid w:val="000D498B"/>
    <w:rsid w:val="000D4AA0"/>
    <w:rsid w:val="000D4AB5"/>
    <w:rsid w:val="000D4DB9"/>
    <w:rsid w:val="000D4EAB"/>
    <w:rsid w:val="000D5028"/>
    <w:rsid w:val="000D527F"/>
    <w:rsid w:val="000D547E"/>
    <w:rsid w:val="000D54B0"/>
    <w:rsid w:val="000D5621"/>
    <w:rsid w:val="000D5B6F"/>
    <w:rsid w:val="000D5BC5"/>
    <w:rsid w:val="000D5C4E"/>
    <w:rsid w:val="000D5D8E"/>
    <w:rsid w:val="000D5FBB"/>
    <w:rsid w:val="000D5FE7"/>
    <w:rsid w:val="000D61AB"/>
    <w:rsid w:val="000D62C2"/>
    <w:rsid w:val="000D6466"/>
    <w:rsid w:val="000D6467"/>
    <w:rsid w:val="000D67B5"/>
    <w:rsid w:val="000D684B"/>
    <w:rsid w:val="000D69E0"/>
    <w:rsid w:val="000D6A7B"/>
    <w:rsid w:val="000D6D22"/>
    <w:rsid w:val="000D6F69"/>
    <w:rsid w:val="000D7063"/>
    <w:rsid w:val="000D734C"/>
    <w:rsid w:val="000D7386"/>
    <w:rsid w:val="000D7641"/>
    <w:rsid w:val="000D7991"/>
    <w:rsid w:val="000D7B33"/>
    <w:rsid w:val="000D7EA9"/>
    <w:rsid w:val="000D7EE7"/>
    <w:rsid w:val="000D7F5C"/>
    <w:rsid w:val="000E06CD"/>
    <w:rsid w:val="000E07A0"/>
    <w:rsid w:val="000E082C"/>
    <w:rsid w:val="000E093D"/>
    <w:rsid w:val="000E09F9"/>
    <w:rsid w:val="000E0A60"/>
    <w:rsid w:val="000E0C1A"/>
    <w:rsid w:val="000E0C31"/>
    <w:rsid w:val="000E0CD3"/>
    <w:rsid w:val="000E0E99"/>
    <w:rsid w:val="000E10A7"/>
    <w:rsid w:val="000E1132"/>
    <w:rsid w:val="000E114B"/>
    <w:rsid w:val="000E11E1"/>
    <w:rsid w:val="000E1404"/>
    <w:rsid w:val="000E15D3"/>
    <w:rsid w:val="000E15FB"/>
    <w:rsid w:val="000E1648"/>
    <w:rsid w:val="000E1689"/>
    <w:rsid w:val="000E16B4"/>
    <w:rsid w:val="000E1FDB"/>
    <w:rsid w:val="000E1FE4"/>
    <w:rsid w:val="000E215D"/>
    <w:rsid w:val="000E2482"/>
    <w:rsid w:val="000E27C8"/>
    <w:rsid w:val="000E2C0A"/>
    <w:rsid w:val="000E2DEC"/>
    <w:rsid w:val="000E2EE6"/>
    <w:rsid w:val="000E32AA"/>
    <w:rsid w:val="000E35CC"/>
    <w:rsid w:val="000E35E4"/>
    <w:rsid w:val="000E3710"/>
    <w:rsid w:val="000E379F"/>
    <w:rsid w:val="000E38BF"/>
    <w:rsid w:val="000E41FA"/>
    <w:rsid w:val="000E424A"/>
    <w:rsid w:val="000E459C"/>
    <w:rsid w:val="000E45F9"/>
    <w:rsid w:val="000E46B9"/>
    <w:rsid w:val="000E46FB"/>
    <w:rsid w:val="000E4A79"/>
    <w:rsid w:val="000E4AB1"/>
    <w:rsid w:val="000E4C38"/>
    <w:rsid w:val="000E4E35"/>
    <w:rsid w:val="000E5199"/>
    <w:rsid w:val="000E53F4"/>
    <w:rsid w:val="000E5654"/>
    <w:rsid w:val="000E56A3"/>
    <w:rsid w:val="000E57D4"/>
    <w:rsid w:val="000E5B1C"/>
    <w:rsid w:val="000E5D4D"/>
    <w:rsid w:val="000E5E7E"/>
    <w:rsid w:val="000E5FAE"/>
    <w:rsid w:val="000E6399"/>
    <w:rsid w:val="000E65CE"/>
    <w:rsid w:val="000E65E4"/>
    <w:rsid w:val="000E672C"/>
    <w:rsid w:val="000E6902"/>
    <w:rsid w:val="000E699A"/>
    <w:rsid w:val="000E6CA7"/>
    <w:rsid w:val="000E720D"/>
    <w:rsid w:val="000E74CD"/>
    <w:rsid w:val="000E75CC"/>
    <w:rsid w:val="000E7830"/>
    <w:rsid w:val="000E7AC2"/>
    <w:rsid w:val="000F01DE"/>
    <w:rsid w:val="000F0360"/>
    <w:rsid w:val="000F0368"/>
    <w:rsid w:val="000F03B5"/>
    <w:rsid w:val="000F0E98"/>
    <w:rsid w:val="000F1054"/>
    <w:rsid w:val="000F1156"/>
    <w:rsid w:val="000F11CA"/>
    <w:rsid w:val="000F1449"/>
    <w:rsid w:val="000F14F1"/>
    <w:rsid w:val="000F175C"/>
    <w:rsid w:val="000F1C18"/>
    <w:rsid w:val="000F1C6B"/>
    <w:rsid w:val="000F1CA2"/>
    <w:rsid w:val="000F1D6A"/>
    <w:rsid w:val="000F24B7"/>
    <w:rsid w:val="000F2767"/>
    <w:rsid w:val="000F2878"/>
    <w:rsid w:val="000F2A65"/>
    <w:rsid w:val="000F2BB0"/>
    <w:rsid w:val="000F2C37"/>
    <w:rsid w:val="000F2CA9"/>
    <w:rsid w:val="000F2DBD"/>
    <w:rsid w:val="000F3322"/>
    <w:rsid w:val="000F3AEB"/>
    <w:rsid w:val="000F3BF8"/>
    <w:rsid w:val="000F3D81"/>
    <w:rsid w:val="000F404B"/>
    <w:rsid w:val="000F45AB"/>
    <w:rsid w:val="000F4603"/>
    <w:rsid w:val="000F4618"/>
    <w:rsid w:val="000F4692"/>
    <w:rsid w:val="000F4708"/>
    <w:rsid w:val="000F47CB"/>
    <w:rsid w:val="000F4D1C"/>
    <w:rsid w:val="000F4F5A"/>
    <w:rsid w:val="000F4F83"/>
    <w:rsid w:val="000F53EF"/>
    <w:rsid w:val="000F54FF"/>
    <w:rsid w:val="000F5550"/>
    <w:rsid w:val="000F5581"/>
    <w:rsid w:val="000F5643"/>
    <w:rsid w:val="000F5804"/>
    <w:rsid w:val="000F5ADC"/>
    <w:rsid w:val="000F5D62"/>
    <w:rsid w:val="000F60B5"/>
    <w:rsid w:val="000F61D0"/>
    <w:rsid w:val="000F64CE"/>
    <w:rsid w:val="000F6795"/>
    <w:rsid w:val="000F6BE9"/>
    <w:rsid w:val="000F6F71"/>
    <w:rsid w:val="000F75D3"/>
    <w:rsid w:val="000F78CD"/>
    <w:rsid w:val="000F791B"/>
    <w:rsid w:val="000F796F"/>
    <w:rsid w:val="000F7998"/>
    <w:rsid w:val="000F799C"/>
    <w:rsid w:val="000F7A05"/>
    <w:rsid w:val="000F7B06"/>
    <w:rsid w:val="000F7D77"/>
    <w:rsid w:val="000F7DD3"/>
    <w:rsid w:val="00100203"/>
    <w:rsid w:val="0010026A"/>
    <w:rsid w:val="00100387"/>
    <w:rsid w:val="001004D9"/>
    <w:rsid w:val="00100657"/>
    <w:rsid w:val="00100704"/>
    <w:rsid w:val="00100E17"/>
    <w:rsid w:val="00100E32"/>
    <w:rsid w:val="00100EB4"/>
    <w:rsid w:val="001014CE"/>
    <w:rsid w:val="001015C0"/>
    <w:rsid w:val="00101A4B"/>
    <w:rsid w:val="00101B28"/>
    <w:rsid w:val="00102258"/>
    <w:rsid w:val="00102414"/>
    <w:rsid w:val="001025EA"/>
    <w:rsid w:val="00102915"/>
    <w:rsid w:val="00102926"/>
    <w:rsid w:val="0010306F"/>
    <w:rsid w:val="00103079"/>
    <w:rsid w:val="00103204"/>
    <w:rsid w:val="0010348D"/>
    <w:rsid w:val="00103929"/>
    <w:rsid w:val="00103B69"/>
    <w:rsid w:val="0010400B"/>
    <w:rsid w:val="001040CF"/>
    <w:rsid w:val="0010461C"/>
    <w:rsid w:val="00104647"/>
    <w:rsid w:val="001049F7"/>
    <w:rsid w:val="00104D75"/>
    <w:rsid w:val="00104E17"/>
    <w:rsid w:val="00104FE6"/>
    <w:rsid w:val="001050D0"/>
    <w:rsid w:val="001053E9"/>
    <w:rsid w:val="001056EA"/>
    <w:rsid w:val="001058CB"/>
    <w:rsid w:val="001058D6"/>
    <w:rsid w:val="00105FF5"/>
    <w:rsid w:val="001060BD"/>
    <w:rsid w:val="001068AB"/>
    <w:rsid w:val="00106910"/>
    <w:rsid w:val="001069A3"/>
    <w:rsid w:val="00106AF4"/>
    <w:rsid w:val="00106C9A"/>
    <w:rsid w:val="00106F9D"/>
    <w:rsid w:val="0010732B"/>
    <w:rsid w:val="00107679"/>
    <w:rsid w:val="00107771"/>
    <w:rsid w:val="0010777D"/>
    <w:rsid w:val="001079A9"/>
    <w:rsid w:val="00107A27"/>
    <w:rsid w:val="00107C3D"/>
    <w:rsid w:val="00107D25"/>
    <w:rsid w:val="0011010E"/>
    <w:rsid w:val="001104B6"/>
    <w:rsid w:val="001104B9"/>
    <w:rsid w:val="00110769"/>
    <w:rsid w:val="00110924"/>
    <w:rsid w:val="00110CD5"/>
    <w:rsid w:val="001112D0"/>
    <w:rsid w:val="00111326"/>
    <w:rsid w:val="0011145E"/>
    <w:rsid w:val="001115EB"/>
    <w:rsid w:val="00111707"/>
    <w:rsid w:val="00111714"/>
    <w:rsid w:val="0011193E"/>
    <w:rsid w:val="00111E1B"/>
    <w:rsid w:val="00111E2F"/>
    <w:rsid w:val="00111F0E"/>
    <w:rsid w:val="00112062"/>
    <w:rsid w:val="001122FB"/>
    <w:rsid w:val="00112303"/>
    <w:rsid w:val="001124C4"/>
    <w:rsid w:val="001125C0"/>
    <w:rsid w:val="00112D23"/>
    <w:rsid w:val="00112EF9"/>
    <w:rsid w:val="001135B7"/>
    <w:rsid w:val="00113645"/>
    <w:rsid w:val="001138BD"/>
    <w:rsid w:val="00113934"/>
    <w:rsid w:val="00113A86"/>
    <w:rsid w:val="00113D1F"/>
    <w:rsid w:val="00113DFE"/>
    <w:rsid w:val="00113F03"/>
    <w:rsid w:val="001144F1"/>
    <w:rsid w:val="00114C10"/>
    <w:rsid w:val="00114CBD"/>
    <w:rsid w:val="001152F6"/>
    <w:rsid w:val="00115792"/>
    <w:rsid w:val="001157DC"/>
    <w:rsid w:val="001159EB"/>
    <w:rsid w:val="00115D58"/>
    <w:rsid w:val="00115E6D"/>
    <w:rsid w:val="00115F03"/>
    <w:rsid w:val="00116188"/>
    <w:rsid w:val="00116196"/>
    <w:rsid w:val="001161D2"/>
    <w:rsid w:val="001165A9"/>
    <w:rsid w:val="00116907"/>
    <w:rsid w:val="00116996"/>
    <w:rsid w:val="001172A3"/>
    <w:rsid w:val="001174A7"/>
    <w:rsid w:val="00117763"/>
    <w:rsid w:val="001179B2"/>
    <w:rsid w:val="00117B93"/>
    <w:rsid w:val="00117CE0"/>
    <w:rsid w:val="00117D1F"/>
    <w:rsid w:val="00117DC3"/>
    <w:rsid w:val="00117F5A"/>
    <w:rsid w:val="00117FB1"/>
    <w:rsid w:val="0012017B"/>
    <w:rsid w:val="001202CE"/>
    <w:rsid w:val="00120307"/>
    <w:rsid w:val="00120BCC"/>
    <w:rsid w:val="00120DB6"/>
    <w:rsid w:val="00120DBF"/>
    <w:rsid w:val="00120EAD"/>
    <w:rsid w:val="001210B6"/>
    <w:rsid w:val="00121192"/>
    <w:rsid w:val="001212EF"/>
    <w:rsid w:val="00121344"/>
    <w:rsid w:val="001219AE"/>
    <w:rsid w:val="00121A30"/>
    <w:rsid w:val="00121FE1"/>
    <w:rsid w:val="0012208B"/>
    <w:rsid w:val="00122614"/>
    <w:rsid w:val="0012261D"/>
    <w:rsid w:val="00122676"/>
    <w:rsid w:val="0012274A"/>
    <w:rsid w:val="0012285B"/>
    <w:rsid w:val="001228FF"/>
    <w:rsid w:val="0012290F"/>
    <w:rsid w:val="00122DA3"/>
    <w:rsid w:val="00122EBE"/>
    <w:rsid w:val="001230AC"/>
    <w:rsid w:val="00123153"/>
    <w:rsid w:val="001235B9"/>
    <w:rsid w:val="001236A0"/>
    <w:rsid w:val="001237EC"/>
    <w:rsid w:val="00123899"/>
    <w:rsid w:val="00123954"/>
    <w:rsid w:val="00123AAE"/>
    <w:rsid w:val="00123C91"/>
    <w:rsid w:val="00123F04"/>
    <w:rsid w:val="00123FC2"/>
    <w:rsid w:val="001240E6"/>
    <w:rsid w:val="001241D1"/>
    <w:rsid w:val="00124370"/>
    <w:rsid w:val="001244AC"/>
    <w:rsid w:val="001245FA"/>
    <w:rsid w:val="00124718"/>
    <w:rsid w:val="001248BD"/>
    <w:rsid w:val="00124B06"/>
    <w:rsid w:val="00124B7F"/>
    <w:rsid w:val="00124B96"/>
    <w:rsid w:val="00124C7D"/>
    <w:rsid w:val="00124C87"/>
    <w:rsid w:val="00124E5A"/>
    <w:rsid w:val="00125016"/>
    <w:rsid w:val="00125024"/>
    <w:rsid w:val="00125067"/>
    <w:rsid w:val="001251B1"/>
    <w:rsid w:val="001252BE"/>
    <w:rsid w:val="0012555C"/>
    <w:rsid w:val="0012593A"/>
    <w:rsid w:val="00125AB1"/>
    <w:rsid w:val="00125ABF"/>
    <w:rsid w:val="00125D03"/>
    <w:rsid w:val="00125D0F"/>
    <w:rsid w:val="00125E92"/>
    <w:rsid w:val="0012613B"/>
    <w:rsid w:val="00126408"/>
    <w:rsid w:val="00127239"/>
    <w:rsid w:val="00127320"/>
    <w:rsid w:val="00127562"/>
    <w:rsid w:val="00127622"/>
    <w:rsid w:val="00130168"/>
    <w:rsid w:val="001304F9"/>
    <w:rsid w:val="001306B0"/>
    <w:rsid w:val="00130702"/>
    <w:rsid w:val="00130AC1"/>
    <w:rsid w:val="00130F9D"/>
    <w:rsid w:val="001311DC"/>
    <w:rsid w:val="001312A9"/>
    <w:rsid w:val="0013134D"/>
    <w:rsid w:val="001313F7"/>
    <w:rsid w:val="0013145C"/>
    <w:rsid w:val="00131596"/>
    <w:rsid w:val="0013161F"/>
    <w:rsid w:val="0013175A"/>
    <w:rsid w:val="0013183E"/>
    <w:rsid w:val="00131902"/>
    <w:rsid w:val="00131992"/>
    <w:rsid w:val="001319A8"/>
    <w:rsid w:val="00131A03"/>
    <w:rsid w:val="00131C95"/>
    <w:rsid w:val="00131E4B"/>
    <w:rsid w:val="0013242C"/>
    <w:rsid w:val="001326B6"/>
    <w:rsid w:val="001327EE"/>
    <w:rsid w:val="00132961"/>
    <w:rsid w:val="001329D2"/>
    <w:rsid w:val="00132A55"/>
    <w:rsid w:val="00132DC9"/>
    <w:rsid w:val="00132F6A"/>
    <w:rsid w:val="00132FDD"/>
    <w:rsid w:val="00133081"/>
    <w:rsid w:val="0013315F"/>
    <w:rsid w:val="00133227"/>
    <w:rsid w:val="001332C2"/>
    <w:rsid w:val="001332D3"/>
    <w:rsid w:val="00133AF8"/>
    <w:rsid w:val="00133C4B"/>
    <w:rsid w:val="0013441B"/>
    <w:rsid w:val="001344BF"/>
    <w:rsid w:val="00134794"/>
    <w:rsid w:val="00134D05"/>
    <w:rsid w:val="00134E59"/>
    <w:rsid w:val="00134E5B"/>
    <w:rsid w:val="00135029"/>
    <w:rsid w:val="001350C8"/>
    <w:rsid w:val="0013511C"/>
    <w:rsid w:val="00135138"/>
    <w:rsid w:val="001352CD"/>
    <w:rsid w:val="00135842"/>
    <w:rsid w:val="00135851"/>
    <w:rsid w:val="00136028"/>
    <w:rsid w:val="001361EF"/>
    <w:rsid w:val="001362EC"/>
    <w:rsid w:val="00136483"/>
    <w:rsid w:val="00136650"/>
    <w:rsid w:val="0013671B"/>
    <w:rsid w:val="00136A13"/>
    <w:rsid w:val="00136CF7"/>
    <w:rsid w:val="00136DE1"/>
    <w:rsid w:val="00136E39"/>
    <w:rsid w:val="00136E7E"/>
    <w:rsid w:val="00136FAF"/>
    <w:rsid w:val="00137223"/>
    <w:rsid w:val="00137230"/>
    <w:rsid w:val="00137266"/>
    <w:rsid w:val="0013756A"/>
    <w:rsid w:val="001376E8"/>
    <w:rsid w:val="00137A29"/>
    <w:rsid w:val="00137A32"/>
    <w:rsid w:val="00137CFD"/>
    <w:rsid w:val="00137EA6"/>
    <w:rsid w:val="00137F7A"/>
    <w:rsid w:val="001406F2"/>
    <w:rsid w:val="001409DC"/>
    <w:rsid w:val="00140A7F"/>
    <w:rsid w:val="00140E29"/>
    <w:rsid w:val="00140F63"/>
    <w:rsid w:val="0014120C"/>
    <w:rsid w:val="0014142A"/>
    <w:rsid w:val="001414F9"/>
    <w:rsid w:val="001415FD"/>
    <w:rsid w:val="001419EC"/>
    <w:rsid w:val="00141AA8"/>
    <w:rsid w:val="00141C7A"/>
    <w:rsid w:val="00141D80"/>
    <w:rsid w:val="00141D87"/>
    <w:rsid w:val="00141EB5"/>
    <w:rsid w:val="00141F8E"/>
    <w:rsid w:val="001420BC"/>
    <w:rsid w:val="001424F9"/>
    <w:rsid w:val="001425A4"/>
    <w:rsid w:val="00142814"/>
    <w:rsid w:val="001429C2"/>
    <w:rsid w:val="001429DC"/>
    <w:rsid w:val="001429E3"/>
    <w:rsid w:val="00142DA8"/>
    <w:rsid w:val="00143246"/>
    <w:rsid w:val="00143369"/>
    <w:rsid w:val="00143396"/>
    <w:rsid w:val="00143726"/>
    <w:rsid w:val="00144245"/>
    <w:rsid w:val="0014490C"/>
    <w:rsid w:val="00144BB8"/>
    <w:rsid w:val="00144D6B"/>
    <w:rsid w:val="00144FD0"/>
    <w:rsid w:val="0014509C"/>
    <w:rsid w:val="00145129"/>
    <w:rsid w:val="00145352"/>
    <w:rsid w:val="0014594B"/>
    <w:rsid w:val="00145BB1"/>
    <w:rsid w:val="00145C8E"/>
    <w:rsid w:val="00145D46"/>
    <w:rsid w:val="00145DAF"/>
    <w:rsid w:val="00145ECD"/>
    <w:rsid w:val="00145FEA"/>
    <w:rsid w:val="00146516"/>
    <w:rsid w:val="0014657E"/>
    <w:rsid w:val="00146745"/>
    <w:rsid w:val="00146B02"/>
    <w:rsid w:val="00146CCF"/>
    <w:rsid w:val="00146E8A"/>
    <w:rsid w:val="001472BE"/>
    <w:rsid w:val="001472F1"/>
    <w:rsid w:val="0014754A"/>
    <w:rsid w:val="001475F3"/>
    <w:rsid w:val="00147C19"/>
    <w:rsid w:val="00150419"/>
    <w:rsid w:val="001505DE"/>
    <w:rsid w:val="001509E1"/>
    <w:rsid w:val="00150DE3"/>
    <w:rsid w:val="00151257"/>
    <w:rsid w:val="00151375"/>
    <w:rsid w:val="001517BE"/>
    <w:rsid w:val="00151904"/>
    <w:rsid w:val="00151920"/>
    <w:rsid w:val="00151C87"/>
    <w:rsid w:val="00152407"/>
    <w:rsid w:val="0015255C"/>
    <w:rsid w:val="00152B0C"/>
    <w:rsid w:val="00152C15"/>
    <w:rsid w:val="00152E30"/>
    <w:rsid w:val="0015320C"/>
    <w:rsid w:val="00153839"/>
    <w:rsid w:val="00153925"/>
    <w:rsid w:val="00153980"/>
    <w:rsid w:val="00153F1F"/>
    <w:rsid w:val="001541C1"/>
    <w:rsid w:val="0015431C"/>
    <w:rsid w:val="001543B3"/>
    <w:rsid w:val="001543F2"/>
    <w:rsid w:val="00154500"/>
    <w:rsid w:val="00154968"/>
    <w:rsid w:val="00154D5D"/>
    <w:rsid w:val="00154D7C"/>
    <w:rsid w:val="00154DBA"/>
    <w:rsid w:val="00155189"/>
    <w:rsid w:val="001552F0"/>
    <w:rsid w:val="0015548F"/>
    <w:rsid w:val="0015579D"/>
    <w:rsid w:val="00155B0A"/>
    <w:rsid w:val="00155B8F"/>
    <w:rsid w:val="00155BFF"/>
    <w:rsid w:val="00155D7B"/>
    <w:rsid w:val="00155E12"/>
    <w:rsid w:val="00155E90"/>
    <w:rsid w:val="001561B6"/>
    <w:rsid w:val="0015634F"/>
    <w:rsid w:val="00156403"/>
    <w:rsid w:val="00156640"/>
    <w:rsid w:val="00156641"/>
    <w:rsid w:val="00156874"/>
    <w:rsid w:val="00156BC6"/>
    <w:rsid w:val="00157321"/>
    <w:rsid w:val="0015767E"/>
    <w:rsid w:val="00157742"/>
    <w:rsid w:val="00157762"/>
    <w:rsid w:val="00157F97"/>
    <w:rsid w:val="00160631"/>
    <w:rsid w:val="001606FD"/>
    <w:rsid w:val="00160A59"/>
    <w:rsid w:val="00160A7A"/>
    <w:rsid w:val="00160C0E"/>
    <w:rsid w:val="00160FE8"/>
    <w:rsid w:val="00161021"/>
    <w:rsid w:val="00161125"/>
    <w:rsid w:val="00161300"/>
    <w:rsid w:val="00161418"/>
    <w:rsid w:val="00161558"/>
    <w:rsid w:val="0016189E"/>
    <w:rsid w:val="00161AB1"/>
    <w:rsid w:val="00161DA5"/>
    <w:rsid w:val="00161FB3"/>
    <w:rsid w:val="00162497"/>
    <w:rsid w:val="001624AB"/>
    <w:rsid w:val="00162750"/>
    <w:rsid w:val="00162B08"/>
    <w:rsid w:val="00162B45"/>
    <w:rsid w:val="00162FA4"/>
    <w:rsid w:val="00163187"/>
    <w:rsid w:val="001631D7"/>
    <w:rsid w:val="001636C4"/>
    <w:rsid w:val="00163966"/>
    <w:rsid w:val="00163D60"/>
    <w:rsid w:val="00164459"/>
    <w:rsid w:val="001644FA"/>
    <w:rsid w:val="0016470F"/>
    <w:rsid w:val="00164917"/>
    <w:rsid w:val="0016499B"/>
    <w:rsid w:val="00164BA9"/>
    <w:rsid w:val="00164CD2"/>
    <w:rsid w:val="00164E88"/>
    <w:rsid w:val="00164F51"/>
    <w:rsid w:val="001650AD"/>
    <w:rsid w:val="001650CA"/>
    <w:rsid w:val="0016511D"/>
    <w:rsid w:val="0016523D"/>
    <w:rsid w:val="00165306"/>
    <w:rsid w:val="001654A6"/>
    <w:rsid w:val="001659B5"/>
    <w:rsid w:val="00165E88"/>
    <w:rsid w:val="00165F94"/>
    <w:rsid w:val="00165FEB"/>
    <w:rsid w:val="00166136"/>
    <w:rsid w:val="00166525"/>
    <w:rsid w:val="00166689"/>
    <w:rsid w:val="0016675C"/>
    <w:rsid w:val="00166A76"/>
    <w:rsid w:val="00166AAC"/>
    <w:rsid w:val="00166FDB"/>
    <w:rsid w:val="001670F5"/>
    <w:rsid w:val="0016712C"/>
    <w:rsid w:val="001675AD"/>
    <w:rsid w:val="001678A7"/>
    <w:rsid w:val="00167BA3"/>
    <w:rsid w:val="00167BBE"/>
    <w:rsid w:val="0017020E"/>
    <w:rsid w:val="001704F1"/>
    <w:rsid w:val="001708F5"/>
    <w:rsid w:val="0017096B"/>
    <w:rsid w:val="00170976"/>
    <w:rsid w:val="00170A35"/>
    <w:rsid w:val="00170D9D"/>
    <w:rsid w:val="001710DA"/>
    <w:rsid w:val="0017156C"/>
    <w:rsid w:val="001716BA"/>
    <w:rsid w:val="0017178E"/>
    <w:rsid w:val="00171867"/>
    <w:rsid w:val="00171A0B"/>
    <w:rsid w:val="00171A89"/>
    <w:rsid w:val="00171D9F"/>
    <w:rsid w:val="0017206E"/>
    <w:rsid w:val="00172149"/>
    <w:rsid w:val="0017222A"/>
    <w:rsid w:val="00172397"/>
    <w:rsid w:val="0017266B"/>
    <w:rsid w:val="00172B1E"/>
    <w:rsid w:val="00172C9F"/>
    <w:rsid w:val="00172D2C"/>
    <w:rsid w:val="00172D50"/>
    <w:rsid w:val="00172DBD"/>
    <w:rsid w:val="00173340"/>
    <w:rsid w:val="00173407"/>
    <w:rsid w:val="00173417"/>
    <w:rsid w:val="001734C3"/>
    <w:rsid w:val="00173601"/>
    <w:rsid w:val="00173713"/>
    <w:rsid w:val="001737BD"/>
    <w:rsid w:val="00173A3D"/>
    <w:rsid w:val="00173F2C"/>
    <w:rsid w:val="00173F4B"/>
    <w:rsid w:val="001740D5"/>
    <w:rsid w:val="001742CA"/>
    <w:rsid w:val="00174A50"/>
    <w:rsid w:val="00174CB1"/>
    <w:rsid w:val="00174FF3"/>
    <w:rsid w:val="00175182"/>
    <w:rsid w:val="00175225"/>
    <w:rsid w:val="00175373"/>
    <w:rsid w:val="0017540C"/>
    <w:rsid w:val="00175478"/>
    <w:rsid w:val="001755CB"/>
    <w:rsid w:val="0017577E"/>
    <w:rsid w:val="00175A34"/>
    <w:rsid w:val="00175CFB"/>
    <w:rsid w:val="00176029"/>
    <w:rsid w:val="00176342"/>
    <w:rsid w:val="00176360"/>
    <w:rsid w:val="0017652E"/>
    <w:rsid w:val="00176648"/>
    <w:rsid w:val="00176AA7"/>
    <w:rsid w:val="00176E09"/>
    <w:rsid w:val="00176FB2"/>
    <w:rsid w:val="00177014"/>
    <w:rsid w:val="001770B4"/>
    <w:rsid w:val="0017716B"/>
    <w:rsid w:val="0017722E"/>
    <w:rsid w:val="001772F5"/>
    <w:rsid w:val="001773A1"/>
    <w:rsid w:val="00177480"/>
    <w:rsid w:val="001775AA"/>
    <w:rsid w:val="00177A36"/>
    <w:rsid w:val="00177A5A"/>
    <w:rsid w:val="00177F85"/>
    <w:rsid w:val="00180126"/>
    <w:rsid w:val="0018013B"/>
    <w:rsid w:val="001802E7"/>
    <w:rsid w:val="001804CB"/>
    <w:rsid w:val="00180508"/>
    <w:rsid w:val="00180630"/>
    <w:rsid w:val="00180D2D"/>
    <w:rsid w:val="00180DB4"/>
    <w:rsid w:val="00180EBF"/>
    <w:rsid w:val="00180EE8"/>
    <w:rsid w:val="001810D1"/>
    <w:rsid w:val="00181147"/>
    <w:rsid w:val="00181639"/>
    <w:rsid w:val="001819AB"/>
    <w:rsid w:val="00181BCD"/>
    <w:rsid w:val="00181F0E"/>
    <w:rsid w:val="00181F74"/>
    <w:rsid w:val="00182483"/>
    <w:rsid w:val="0018249E"/>
    <w:rsid w:val="00182A57"/>
    <w:rsid w:val="00182F26"/>
    <w:rsid w:val="001832AF"/>
    <w:rsid w:val="00183512"/>
    <w:rsid w:val="001835EF"/>
    <w:rsid w:val="0018366F"/>
    <w:rsid w:val="00183774"/>
    <w:rsid w:val="0018382D"/>
    <w:rsid w:val="001838BB"/>
    <w:rsid w:val="001838F0"/>
    <w:rsid w:val="00183970"/>
    <w:rsid w:val="00183AA4"/>
    <w:rsid w:val="00183BCA"/>
    <w:rsid w:val="0018412C"/>
    <w:rsid w:val="00184145"/>
    <w:rsid w:val="001843AA"/>
    <w:rsid w:val="00184B06"/>
    <w:rsid w:val="00184D18"/>
    <w:rsid w:val="00184E7F"/>
    <w:rsid w:val="00185376"/>
    <w:rsid w:val="001853A4"/>
    <w:rsid w:val="001853CF"/>
    <w:rsid w:val="001855E2"/>
    <w:rsid w:val="001856A3"/>
    <w:rsid w:val="00185AB9"/>
    <w:rsid w:val="00185B33"/>
    <w:rsid w:val="00185F25"/>
    <w:rsid w:val="00186477"/>
    <w:rsid w:val="00186709"/>
    <w:rsid w:val="00186829"/>
    <w:rsid w:val="001869AD"/>
    <w:rsid w:val="00186B50"/>
    <w:rsid w:val="00186F0A"/>
    <w:rsid w:val="0018739D"/>
    <w:rsid w:val="00187679"/>
    <w:rsid w:val="00187684"/>
    <w:rsid w:val="001878C1"/>
    <w:rsid w:val="00187DD4"/>
    <w:rsid w:val="00187F30"/>
    <w:rsid w:val="00187FA8"/>
    <w:rsid w:val="00190BC7"/>
    <w:rsid w:val="00190CA4"/>
    <w:rsid w:val="00190E03"/>
    <w:rsid w:val="00191846"/>
    <w:rsid w:val="00191B9C"/>
    <w:rsid w:val="00192109"/>
    <w:rsid w:val="001921B9"/>
    <w:rsid w:val="001922A5"/>
    <w:rsid w:val="001926A8"/>
    <w:rsid w:val="00192A08"/>
    <w:rsid w:val="00192CB7"/>
    <w:rsid w:val="00192EA4"/>
    <w:rsid w:val="00192FDB"/>
    <w:rsid w:val="001935DB"/>
    <w:rsid w:val="00193870"/>
    <w:rsid w:val="00193C45"/>
    <w:rsid w:val="00193CBF"/>
    <w:rsid w:val="00193CC8"/>
    <w:rsid w:val="00193D6E"/>
    <w:rsid w:val="00193E3D"/>
    <w:rsid w:val="00193F90"/>
    <w:rsid w:val="001940FC"/>
    <w:rsid w:val="00194269"/>
    <w:rsid w:val="00194471"/>
    <w:rsid w:val="00194684"/>
    <w:rsid w:val="0019480B"/>
    <w:rsid w:val="00195160"/>
    <w:rsid w:val="00195170"/>
    <w:rsid w:val="00195327"/>
    <w:rsid w:val="0019545B"/>
    <w:rsid w:val="00195536"/>
    <w:rsid w:val="0019556A"/>
    <w:rsid w:val="001957FD"/>
    <w:rsid w:val="00195ADF"/>
    <w:rsid w:val="00195BEA"/>
    <w:rsid w:val="00195D13"/>
    <w:rsid w:val="00195D52"/>
    <w:rsid w:val="00195DD2"/>
    <w:rsid w:val="00196314"/>
    <w:rsid w:val="00196805"/>
    <w:rsid w:val="00196811"/>
    <w:rsid w:val="00196AC8"/>
    <w:rsid w:val="00196BEC"/>
    <w:rsid w:val="00197118"/>
    <w:rsid w:val="00197335"/>
    <w:rsid w:val="0019740E"/>
    <w:rsid w:val="00197C43"/>
    <w:rsid w:val="00197C72"/>
    <w:rsid w:val="00197CFC"/>
    <w:rsid w:val="001A00FA"/>
    <w:rsid w:val="001A017C"/>
    <w:rsid w:val="001A0267"/>
    <w:rsid w:val="001A0313"/>
    <w:rsid w:val="001A08DE"/>
    <w:rsid w:val="001A09B3"/>
    <w:rsid w:val="001A09D3"/>
    <w:rsid w:val="001A09F3"/>
    <w:rsid w:val="001A0B21"/>
    <w:rsid w:val="001A0BB8"/>
    <w:rsid w:val="001A0D6F"/>
    <w:rsid w:val="001A0DE3"/>
    <w:rsid w:val="001A1134"/>
    <w:rsid w:val="001A1263"/>
    <w:rsid w:val="001A17F1"/>
    <w:rsid w:val="001A1851"/>
    <w:rsid w:val="001A1BE2"/>
    <w:rsid w:val="001A1FA6"/>
    <w:rsid w:val="001A2161"/>
    <w:rsid w:val="001A26B7"/>
    <w:rsid w:val="001A26E0"/>
    <w:rsid w:val="001A294D"/>
    <w:rsid w:val="001A2963"/>
    <w:rsid w:val="001A2B8C"/>
    <w:rsid w:val="001A2D6B"/>
    <w:rsid w:val="001A2DA6"/>
    <w:rsid w:val="001A2FB0"/>
    <w:rsid w:val="001A3294"/>
    <w:rsid w:val="001A335F"/>
    <w:rsid w:val="001A341C"/>
    <w:rsid w:val="001A362B"/>
    <w:rsid w:val="001A371A"/>
    <w:rsid w:val="001A3857"/>
    <w:rsid w:val="001A3909"/>
    <w:rsid w:val="001A409C"/>
    <w:rsid w:val="001A40D4"/>
    <w:rsid w:val="001A4128"/>
    <w:rsid w:val="001A4292"/>
    <w:rsid w:val="001A4976"/>
    <w:rsid w:val="001A4AFE"/>
    <w:rsid w:val="001A4D1A"/>
    <w:rsid w:val="001A4DB6"/>
    <w:rsid w:val="001A4DB9"/>
    <w:rsid w:val="001A5096"/>
    <w:rsid w:val="001A51D8"/>
    <w:rsid w:val="001A51DA"/>
    <w:rsid w:val="001A51EF"/>
    <w:rsid w:val="001A53A3"/>
    <w:rsid w:val="001A55E8"/>
    <w:rsid w:val="001A58EF"/>
    <w:rsid w:val="001A5B41"/>
    <w:rsid w:val="001A5B5E"/>
    <w:rsid w:val="001A5BB9"/>
    <w:rsid w:val="001A5C1D"/>
    <w:rsid w:val="001A5C62"/>
    <w:rsid w:val="001A653A"/>
    <w:rsid w:val="001A67D7"/>
    <w:rsid w:val="001A693E"/>
    <w:rsid w:val="001A6984"/>
    <w:rsid w:val="001A6B37"/>
    <w:rsid w:val="001A6B89"/>
    <w:rsid w:val="001A6BEE"/>
    <w:rsid w:val="001A7070"/>
    <w:rsid w:val="001A71A6"/>
    <w:rsid w:val="001A71C0"/>
    <w:rsid w:val="001A728C"/>
    <w:rsid w:val="001A74B5"/>
    <w:rsid w:val="001A7610"/>
    <w:rsid w:val="001A7B26"/>
    <w:rsid w:val="001B04F6"/>
    <w:rsid w:val="001B062D"/>
    <w:rsid w:val="001B13B6"/>
    <w:rsid w:val="001B1462"/>
    <w:rsid w:val="001B1538"/>
    <w:rsid w:val="001B1845"/>
    <w:rsid w:val="001B192E"/>
    <w:rsid w:val="001B19CF"/>
    <w:rsid w:val="001B238F"/>
    <w:rsid w:val="001B23D6"/>
    <w:rsid w:val="001B2666"/>
    <w:rsid w:val="001B28BB"/>
    <w:rsid w:val="001B28CA"/>
    <w:rsid w:val="001B2960"/>
    <w:rsid w:val="001B29C4"/>
    <w:rsid w:val="001B2B60"/>
    <w:rsid w:val="001B2BC8"/>
    <w:rsid w:val="001B2C9D"/>
    <w:rsid w:val="001B2DB6"/>
    <w:rsid w:val="001B2DE0"/>
    <w:rsid w:val="001B2DF7"/>
    <w:rsid w:val="001B2DFA"/>
    <w:rsid w:val="001B3097"/>
    <w:rsid w:val="001B3424"/>
    <w:rsid w:val="001B3521"/>
    <w:rsid w:val="001B3652"/>
    <w:rsid w:val="001B3978"/>
    <w:rsid w:val="001B3D8B"/>
    <w:rsid w:val="001B41A4"/>
    <w:rsid w:val="001B4220"/>
    <w:rsid w:val="001B446D"/>
    <w:rsid w:val="001B4802"/>
    <w:rsid w:val="001B4A79"/>
    <w:rsid w:val="001B4F92"/>
    <w:rsid w:val="001B51AC"/>
    <w:rsid w:val="001B5408"/>
    <w:rsid w:val="001B551B"/>
    <w:rsid w:val="001B5755"/>
    <w:rsid w:val="001B5B18"/>
    <w:rsid w:val="001B5C5A"/>
    <w:rsid w:val="001B5CF5"/>
    <w:rsid w:val="001B5FC9"/>
    <w:rsid w:val="001B5FD8"/>
    <w:rsid w:val="001B6082"/>
    <w:rsid w:val="001B6087"/>
    <w:rsid w:val="001B6640"/>
    <w:rsid w:val="001B67D1"/>
    <w:rsid w:val="001B6CF3"/>
    <w:rsid w:val="001B6D0E"/>
    <w:rsid w:val="001B6D9F"/>
    <w:rsid w:val="001B723B"/>
    <w:rsid w:val="001B782E"/>
    <w:rsid w:val="001B790E"/>
    <w:rsid w:val="001B7AF1"/>
    <w:rsid w:val="001B7B3D"/>
    <w:rsid w:val="001B7D6F"/>
    <w:rsid w:val="001C013B"/>
    <w:rsid w:val="001C0187"/>
    <w:rsid w:val="001C0208"/>
    <w:rsid w:val="001C04AB"/>
    <w:rsid w:val="001C09D8"/>
    <w:rsid w:val="001C0E49"/>
    <w:rsid w:val="001C1006"/>
    <w:rsid w:val="001C10BE"/>
    <w:rsid w:val="001C139C"/>
    <w:rsid w:val="001C17CB"/>
    <w:rsid w:val="001C18E2"/>
    <w:rsid w:val="001C1E9F"/>
    <w:rsid w:val="001C23E5"/>
    <w:rsid w:val="001C254B"/>
    <w:rsid w:val="001C2667"/>
    <w:rsid w:val="001C26B8"/>
    <w:rsid w:val="001C2721"/>
    <w:rsid w:val="001C2966"/>
    <w:rsid w:val="001C2AF5"/>
    <w:rsid w:val="001C2C91"/>
    <w:rsid w:val="001C2E17"/>
    <w:rsid w:val="001C35DF"/>
    <w:rsid w:val="001C3666"/>
    <w:rsid w:val="001C3724"/>
    <w:rsid w:val="001C373B"/>
    <w:rsid w:val="001C3D52"/>
    <w:rsid w:val="001C4026"/>
    <w:rsid w:val="001C4093"/>
    <w:rsid w:val="001C448F"/>
    <w:rsid w:val="001C44DF"/>
    <w:rsid w:val="001C4D03"/>
    <w:rsid w:val="001C4EFB"/>
    <w:rsid w:val="001C50BD"/>
    <w:rsid w:val="001C5163"/>
    <w:rsid w:val="001C5291"/>
    <w:rsid w:val="001C5438"/>
    <w:rsid w:val="001C5529"/>
    <w:rsid w:val="001C5769"/>
    <w:rsid w:val="001C5DAE"/>
    <w:rsid w:val="001C611F"/>
    <w:rsid w:val="001C617F"/>
    <w:rsid w:val="001C6352"/>
    <w:rsid w:val="001C6659"/>
    <w:rsid w:val="001C673A"/>
    <w:rsid w:val="001C677B"/>
    <w:rsid w:val="001C6938"/>
    <w:rsid w:val="001C6A64"/>
    <w:rsid w:val="001C6B45"/>
    <w:rsid w:val="001C6C2A"/>
    <w:rsid w:val="001C6D26"/>
    <w:rsid w:val="001C7285"/>
    <w:rsid w:val="001C73BF"/>
    <w:rsid w:val="001C76F2"/>
    <w:rsid w:val="001C7A00"/>
    <w:rsid w:val="001C7E85"/>
    <w:rsid w:val="001D00CA"/>
    <w:rsid w:val="001D01D2"/>
    <w:rsid w:val="001D0618"/>
    <w:rsid w:val="001D0843"/>
    <w:rsid w:val="001D0B5A"/>
    <w:rsid w:val="001D1355"/>
    <w:rsid w:val="001D1395"/>
    <w:rsid w:val="001D13F1"/>
    <w:rsid w:val="001D15E9"/>
    <w:rsid w:val="001D1896"/>
    <w:rsid w:val="001D1B8B"/>
    <w:rsid w:val="001D1B97"/>
    <w:rsid w:val="001D2240"/>
    <w:rsid w:val="001D226B"/>
    <w:rsid w:val="001D22B9"/>
    <w:rsid w:val="001D2743"/>
    <w:rsid w:val="001D280C"/>
    <w:rsid w:val="001D294E"/>
    <w:rsid w:val="001D2CCC"/>
    <w:rsid w:val="001D3026"/>
    <w:rsid w:val="001D3102"/>
    <w:rsid w:val="001D34A0"/>
    <w:rsid w:val="001D3611"/>
    <w:rsid w:val="001D391B"/>
    <w:rsid w:val="001D39C5"/>
    <w:rsid w:val="001D3B58"/>
    <w:rsid w:val="001D3C6C"/>
    <w:rsid w:val="001D3CD4"/>
    <w:rsid w:val="001D3EDD"/>
    <w:rsid w:val="001D3EFE"/>
    <w:rsid w:val="001D4149"/>
    <w:rsid w:val="001D414F"/>
    <w:rsid w:val="001D43CE"/>
    <w:rsid w:val="001D447A"/>
    <w:rsid w:val="001D47F8"/>
    <w:rsid w:val="001D4DFD"/>
    <w:rsid w:val="001D4E6D"/>
    <w:rsid w:val="001D4F33"/>
    <w:rsid w:val="001D4F4C"/>
    <w:rsid w:val="001D5049"/>
    <w:rsid w:val="001D53D5"/>
    <w:rsid w:val="001D56AA"/>
    <w:rsid w:val="001D5991"/>
    <w:rsid w:val="001D5C62"/>
    <w:rsid w:val="001D5D44"/>
    <w:rsid w:val="001D5E0F"/>
    <w:rsid w:val="001D5E77"/>
    <w:rsid w:val="001D6155"/>
    <w:rsid w:val="001D63F1"/>
    <w:rsid w:val="001D64DC"/>
    <w:rsid w:val="001D69A7"/>
    <w:rsid w:val="001D6B23"/>
    <w:rsid w:val="001D6F2F"/>
    <w:rsid w:val="001D75AF"/>
    <w:rsid w:val="001D79C2"/>
    <w:rsid w:val="001D7A1F"/>
    <w:rsid w:val="001D7D5E"/>
    <w:rsid w:val="001E00A9"/>
    <w:rsid w:val="001E01BE"/>
    <w:rsid w:val="001E020D"/>
    <w:rsid w:val="001E0502"/>
    <w:rsid w:val="001E0638"/>
    <w:rsid w:val="001E0674"/>
    <w:rsid w:val="001E0724"/>
    <w:rsid w:val="001E0798"/>
    <w:rsid w:val="001E0A1E"/>
    <w:rsid w:val="001E0A6A"/>
    <w:rsid w:val="001E0BB4"/>
    <w:rsid w:val="001E0E04"/>
    <w:rsid w:val="001E0EEC"/>
    <w:rsid w:val="001E12A7"/>
    <w:rsid w:val="001E139B"/>
    <w:rsid w:val="001E14A2"/>
    <w:rsid w:val="001E16BF"/>
    <w:rsid w:val="001E1926"/>
    <w:rsid w:val="001E1A5F"/>
    <w:rsid w:val="001E1A84"/>
    <w:rsid w:val="001E1BA3"/>
    <w:rsid w:val="001E1FC0"/>
    <w:rsid w:val="001E206C"/>
    <w:rsid w:val="001E20BE"/>
    <w:rsid w:val="001E21AB"/>
    <w:rsid w:val="001E25AD"/>
    <w:rsid w:val="001E27DE"/>
    <w:rsid w:val="001E2914"/>
    <w:rsid w:val="001E2974"/>
    <w:rsid w:val="001E3006"/>
    <w:rsid w:val="001E325E"/>
    <w:rsid w:val="001E3626"/>
    <w:rsid w:val="001E3680"/>
    <w:rsid w:val="001E373A"/>
    <w:rsid w:val="001E38CE"/>
    <w:rsid w:val="001E3CD8"/>
    <w:rsid w:val="001E3DD5"/>
    <w:rsid w:val="001E3E3C"/>
    <w:rsid w:val="001E41F3"/>
    <w:rsid w:val="001E460B"/>
    <w:rsid w:val="001E4806"/>
    <w:rsid w:val="001E4953"/>
    <w:rsid w:val="001E4AF1"/>
    <w:rsid w:val="001E4AF9"/>
    <w:rsid w:val="001E4BE4"/>
    <w:rsid w:val="001E4C76"/>
    <w:rsid w:val="001E5013"/>
    <w:rsid w:val="001E50F0"/>
    <w:rsid w:val="001E551E"/>
    <w:rsid w:val="001E553E"/>
    <w:rsid w:val="001E56F2"/>
    <w:rsid w:val="001E5767"/>
    <w:rsid w:val="001E5785"/>
    <w:rsid w:val="001E5D55"/>
    <w:rsid w:val="001E63F0"/>
    <w:rsid w:val="001E6A21"/>
    <w:rsid w:val="001E6D2E"/>
    <w:rsid w:val="001E7185"/>
    <w:rsid w:val="001E7717"/>
    <w:rsid w:val="001E7770"/>
    <w:rsid w:val="001E7869"/>
    <w:rsid w:val="001E793B"/>
    <w:rsid w:val="001E7D89"/>
    <w:rsid w:val="001E7FC6"/>
    <w:rsid w:val="001E7FC8"/>
    <w:rsid w:val="001F0025"/>
    <w:rsid w:val="001F00D7"/>
    <w:rsid w:val="001F0479"/>
    <w:rsid w:val="001F05E7"/>
    <w:rsid w:val="001F0846"/>
    <w:rsid w:val="001F0957"/>
    <w:rsid w:val="001F0CEE"/>
    <w:rsid w:val="001F1004"/>
    <w:rsid w:val="001F1106"/>
    <w:rsid w:val="001F1117"/>
    <w:rsid w:val="001F1201"/>
    <w:rsid w:val="001F121D"/>
    <w:rsid w:val="001F1263"/>
    <w:rsid w:val="001F14D8"/>
    <w:rsid w:val="001F1659"/>
    <w:rsid w:val="001F176D"/>
    <w:rsid w:val="001F18D0"/>
    <w:rsid w:val="001F18F8"/>
    <w:rsid w:val="001F1933"/>
    <w:rsid w:val="001F1D30"/>
    <w:rsid w:val="001F2032"/>
    <w:rsid w:val="001F203A"/>
    <w:rsid w:val="001F233E"/>
    <w:rsid w:val="001F2526"/>
    <w:rsid w:val="001F2575"/>
    <w:rsid w:val="001F2660"/>
    <w:rsid w:val="001F27B0"/>
    <w:rsid w:val="001F2817"/>
    <w:rsid w:val="001F2BC5"/>
    <w:rsid w:val="001F2D19"/>
    <w:rsid w:val="001F2DEF"/>
    <w:rsid w:val="001F2FB9"/>
    <w:rsid w:val="001F318E"/>
    <w:rsid w:val="001F3301"/>
    <w:rsid w:val="001F34E3"/>
    <w:rsid w:val="001F3522"/>
    <w:rsid w:val="001F3543"/>
    <w:rsid w:val="001F3B43"/>
    <w:rsid w:val="001F3ED5"/>
    <w:rsid w:val="001F470C"/>
    <w:rsid w:val="001F47A9"/>
    <w:rsid w:val="001F48C7"/>
    <w:rsid w:val="001F48CF"/>
    <w:rsid w:val="001F49E7"/>
    <w:rsid w:val="001F4C18"/>
    <w:rsid w:val="001F4EC5"/>
    <w:rsid w:val="001F4FCE"/>
    <w:rsid w:val="001F5330"/>
    <w:rsid w:val="001F53D2"/>
    <w:rsid w:val="001F53E4"/>
    <w:rsid w:val="001F5633"/>
    <w:rsid w:val="001F5AC2"/>
    <w:rsid w:val="001F5BCE"/>
    <w:rsid w:val="001F5EC1"/>
    <w:rsid w:val="001F5FE2"/>
    <w:rsid w:val="001F6122"/>
    <w:rsid w:val="001F62C1"/>
    <w:rsid w:val="001F6409"/>
    <w:rsid w:val="001F6485"/>
    <w:rsid w:val="001F6A6B"/>
    <w:rsid w:val="001F6BA3"/>
    <w:rsid w:val="001F6D0A"/>
    <w:rsid w:val="001F6D1C"/>
    <w:rsid w:val="001F6DDF"/>
    <w:rsid w:val="001F6DE8"/>
    <w:rsid w:val="001F6EFD"/>
    <w:rsid w:val="001F6F11"/>
    <w:rsid w:val="001F706A"/>
    <w:rsid w:val="001F70C9"/>
    <w:rsid w:val="001F7883"/>
    <w:rsid w:val="001F7F09"/>
    <w:rsid w:val="0020052C"/>
    <w:rsid w:val="0020076B"/>
    <w:rsid w:val="002009E0"/>
    <w:rsid w:val="002009E8"/>
    <w:rsid w:val="00200A86"/>
    <w:rsid w:val="00200B4F"/>
    <w:rsid w:val="00200CBC"/>
    <w:rsid w:val="00200E37"/>
    <w:rsid w:val="00200E71"/>
    <w:rsid w:val="00201100"/>
    <w:rsid w:val="00201608"/>
    <w:rsid w:val="00201835"/>
    <w:rsid w:val="002019B8"/>
    <w:rsid w:val="00201EC4"/>
    <w:rsid w:val="002020EE"/>
    <w:rsid w:val="00202100"/>
    <w:rsid w:val="00202712"/>
    <w:rsid w:val="00202732"/>
    <w:rsid w:val="00202A2B"/>
    <w:rsid w:val="00202AA1"/>
    <w:rsid w:val="00202B5C"/>
    <w:rsid w:val="00202BAF"/>
    <w:rsid w:val="00202C76"/>
    <w:rsid w:val="00202CF4"/>
    <w:rsid w:val="00202FAE"/>
    <w:rsid w:val="0020327C"/>
    <w:rsid w:val="002032FB"/>
    <w:rsid w:val="00203328"/>
    <w:rsid w:val="0020375E"/>
    <w:rsid w:val="00203A41"/>
    <w:rsid w:val="00203EE5"/>
    <w:rsid w:val="00203FE1"/>
    <w:rsid w:val="0020417E"/>
    <w:rsid w:val="002043A1"/>
    <w:rsid w:val="00204592"/>
    <w:rsid w:val="002046F5"/>
    <w:rsid w:val="0020484B"/>
    <w:rsid w:val="002049A0"/>
    <w:rsid w:val="00204B4D"/>
    <w:rsid w:val="00204C41"/>
    <w:rsid w:val="00204DC9"/>
    <w:rsid w:val="0020590E"/>
    <w:rsid w:val="00205B10"/>
    <w:rsid w:val="00205CA7"/>
    <w:rsid w:val="00205E17"/>
    <w:rsid w:val="00206108"/>
    <w:rsid w:val="0020612C"/>
    <w:rsid w:val="002063C4"/>
    <w:rsid w:val="00206582"/>
    <w:rsid w:val="00206584"/>
    <w:rsid w:val="00206A80"/>
    <w:rsid w:val="00206BFE"/>
    <w:rsid w:val="00206C31"/>
    <w:rsid w:val="00206C96"/>
    <w:rsid w:val="00206DDD"/>
    <w:rsid w:val="0020719B"/>
    <w:rsid w:val="00207388"/>
    <w:rsid w:val="00207455"/>
    <w:rsid w:val="0020748B"/>
    <w:rsid w:val="002076B0"/>
    <w:rsid w:val="0020799E"/>
    <w:rsid w:val="00207B76"/>
    <w:rsid w:val="00207F07"/>
    <w:rsid w:val="0021087A"/>
    <w:rsid w:val="00210CF7"/>
    <w:rsid w:val="00210F51"/>
    <w:rsid w:val="00211154"/>
    <w:rsid w:val="00211232"/>
    <w:rsid w:val="002117B6"/>
    <w:rsid w:val="0021187B"/>
    <w:rsid w:val="002118E8"/>
    <w:rsid w:val="002119AF"/>
    <w:rsid w:val="00211CEF"/>
    <w:rsid w:val="00211D2F"/>
    <w:rsid w:val="00211DB5"/>
    <w:rsid w:val="00211F41"/>
    <w:rsid w:val="00211F83"/>
    <w:rsid w:val="0021208E"/>
    <w:rsid w:val="002120A8"/>
    <w:rsid w:val="0021216A"/>
    <w:rsid w:val="0021228C"/>
    <w:rsid w:val="0021229B"/>
    <w:rsid w:val="00212320"/>
    <w:rsid w:val="00212922"/>
    <w:rsid w:val="00212BAF"/>
    <w:rsid w:val="002130AE"/>
    <w:rsid w:val="002131DF"/>
    <w:rsid w:val="002133CF"/>
    <w:rsid w:val="0021340B"/>
    <w:rsid w:val="0021349A"/>
    <w:rsid w:val="00213596"/>
    <w:rsid w:val="00213C6E"/>
    <w:rsid w:val="00213ED5"/>
    <w:rsid w:val="0021432B"/>
    <w:rsid w:val="00214386"/>
    <w:rsid w:val="00214915"/>
    <w:rsid w:val="00214935"/>
    <w:rsid w:val="002149D8"/>
    <w:rsid w:val="00214AA9"/>
    <w:rsid w:val="00214D4C"/>
    <w:rsid w:val="00214FE6"/>
    <w:rsid w:val="002152C0"/>
    <w:rsid w:val="002153D4"/>
    <w:rsid w:val="00215404"/>
    <w:rsid w:val="00215433"/>
    <w:rsid w:val="00215527"/>
    <w:rsid w:val="0021553A"/>
    <w:rsid w:val="00215582"/>
    <w:rsid w:val="002159A5"/>
    <w:rsid w:val="00215D1A"/>
    <w:rsid w:val="002161BE"/>
    <w:rsid w:val="00216354"/>
    <w:rsid w:val="002164AE"/>
    <w:rsid w:val="00216692"/>
    <w:rsid w:val="002171A0"/>
    <w:rsid w:val="002173F3"/>
    <w:rsid w:val="0021765A"/>
    <w:rsid w:val="00217D5F"/>
    <w:rsid w:val="0022013E"/>
    <w:rsid w:val="002201EE"/>
    <w:rsid w:val="002202F0"/>
    <w:rsid w:val="00220379"/>
    <w:rsid w:val="0022056A"/>
    <w:rsid w:val="002205B2"/>
    <w:rsid w:val="00220703"/>
    <w:rsid w:val="00220784"/>
    <w:rsid w:val="002208DE"/>
    <w:rsid w:val="0022098E"/>
    <w:rsid w:val="00220AA3"/>
    <w:rsid w:val="00220AB4"/>
    <w:rsid w:val="00220B92"/>
    <w:rsid w:val="00220C6A"/>
    <w:rsid w:val="00220E58"/>
    <w:rsid w:val="00220F26"/>
    <w:rsid w:val="00220F47"/>
    <w:rsid w:val="00221259"/>
    <w:rsid w:val="002215AE"/>
    <w:rsid w:val="002217BD"/>
    <w:rsid w:val="002218E8"/>
    <w:rsid w:val="00221D8F"/>
    <w:rsid w:val="002220C0"/>
    <w:rsid w:val="00222143"/>
    <w:rsid w:val="002228F0"/>
    <w:rsid w:val="00222B5E"/>
    <w:rsid w:val="00222DAA"/>
    <w:rsid w:val="00222F59"/>
    <w:rsid w:val="00223082"/>
    <w:rsid w:val="002231EF"/>
    <w:rsid w:val="002232E8"/>
    <w:rsid w:val="00223344"/>
    <w:rsid w:val="00223372"/>
    <w:rsid w:val="00223449"/>
    <w:rsid w:val="002236BA"/>
    <w:rsid w:val="0022381A"/>
    <w:rsid w:val="00223993"/>
    <w:rsid w:val="002239FF"/>
    <w:rsid w:val="00223B77"/>
    <w:rsid w:val="00223C01"/>
    <w:rsid w:val="00223F2D"/>
    <w:rsid w:val="0022428E"/>
    <w:rsid w:val="002244E8"/>
    <w:rsid w:val="00224586"/>
    <w:rsid w:val="0022468C"/>
    <w:rsid w:val="00224A93"/>
    <w:rsid w:val="00224AD6"/>
    <w:rsid w:val="00224C6B"/>
    <w:rsid w:val="00225170"/>
    <w:rsid w:val="002259B6"/>
    <w:rsid w:val="00225A20"/>
    <w:rsid w:val="00225CE0"/>
    <w:rsid w:val="00225D17"/>
    <w:rsid w:val="00225DB9"/>
    <w:rsid w:val="002264D3"/>
    <w:rsid w:val="0022681D"/>
    <w:rsid w:val="0022684E"/>
    <w:rsid w:val="00226965"/>
    <w:rsid w:val="00226CA6"/>
    <w:rsid w:val="00226D6A"/>
    <w:rsid w:val="00226E2F"/>
    <w:rsid w:val="00226FF3"/>
    <w:rsid w:val="00227335"/>
    <w:rsid w:val="002278AE"/>
    <w:rsid w:val="002300AE"/>
    <w:rsid w:val="00230451"/>
    <w:rsid w:val="0023048E"/>
    <w:rsid w:val="0023077C"/>
    <w:rsid w:val="00230783"/>
    <w:rsid w:val="00230954"/>
    <w:rsid w:val="00230BC1"/>
    <w:rsid w:val="00230CDA"/>
    <w:rsid w:val="00230F5B"/>
    <w:rsid w:val="002318D5"/>
    <w:rsid w:val="002318DD"/>
    <w:rsid w:val="00231934"/>
    <w:rsid w:val="00231B29"/>
    <w:rsid w:val="002322A4"/>
    <w:rsid w:val="00232357"/>
    <w:rsid w:val="002324EF"/>
    <w:rsid w:val="002325B7"/>
    <w:rsid w:val="00232B80"/>
    <w:rsid w:val="00232B85"/>
    <w:rsid w:val="00232D50"/>
    <w:rsid w:val="00232D59"/>
    <w:rsid w:val="00232DC8"/>
    <w:rsid w:val="00232F76"/>
    <w:rsid w:val="002332F7"/>
    <w:rsid w:val="002333D9"/>
    <w:rsid w:val="00233848"/>
    <w:rsid w:val="002338A0"/>
    <w:rsid w:val="00233A47"/>
    <w:rsid w:val="00233E8A"/>
    <w:rsid w:val="0023404C"/>
    <w:rsid w:val="0023437C"/>
    <w:rsid w:val="0023460F"/>
    <w:rsid w:val="0023462D"/>
    <w:rsid w:val="002349D4"/>
    <w:rsid w:val="00234D76"/>
    <w:rsid w:val="00234EE1"/>
    <w:rsid w:val="00235079"/>
    <w:rsid w:val="00235277"/>
    <w:rsid w:val="0023575F"/>
    <w:rsid w:val="00235A9F"/>
    <w:rsid w:val="00235C92"/>
    <w:rsid w:val="00235FD3"/>
    <w:rsid w:val="002368DA"/>
    <w:rsid w:val="00236B68"/>
    <w:rsid w:val="00236B9B"/>
    <w:rsid w:val="00236C75"/>
    <w:rsid w:val="00236FD6"/>
    <w:rsid w:val="0023716D"/>
    <w:rsid w:val="002371E4"/>
    <w:rsid w:val="0023721D"/>
    <w:rsid w:val="00237769"/>
    <w:rsid w:val="00237A86"/>
    <w:rsid w:val="00237B3E"/>
    <w:rsid w:val="00237CA4"/>
    <w:rsid w:val="00237D1C"/>
    <w:rsid w:val="002400BD"/>
    <w:rsid w:val="00240209"/>
    <w:rsid w:val="00240526"/>
    <w:rsid w:val="002406D1"/>
    <w:rsid w:val="002408A3"/>
    <w:rsid w:val="00240A81"/>
    <w:rsid w:val="00240DE6"/>
    <w:rsid w:val="00240E35"/>
    <w:rsid w:val="002411B5"/>
    <w:rsid w:val="00241A85"/>
    <w:rsid w:val="00241C28"/>
    <w:rsid w:val="00242254"/>
    <w:rsid w:val="00242432"/>
    <w:rsid w:val="0024244A"/>
    <w:rsid w:val="0024245A"/>
    <w:rsid w:val="00242721"/>
    <w:rsid w:val="002427DD"/>
    <w:rsid w:val="002428C7"/>
    <w:rsid w:val="00243468"/>
    <w:rsid w:val="0024350D"/>
    <w:rsid w:val="00243599"/>
    <w:rsid w:val="002439BA"/>
    <w:rsid w:val="00243AC9"/>
    <w:rsid w:val="00243E9C"/>
    <w:rsid w:val="00243EC9"/>
    <w:rsid w:val="00243FAD"/>
    <w:rsid w:val="002443AA"/>
    <w:rsid w:val="002445CB"/>
    <w:rsid w:val="0024467F"/>
    <w:rsid w:val="00244786"/>
    <w:rsid w:val="002447AF"/>
    <w:rsid w:val="00244B23"/>
    <w:rsid w:val="00244C63"/>
    <w:rsid w:val="00244E52"/>
    <w:rsid w:val="00244FF3"/>
    <w:rsid w:val="00245180"/>
    <w:rsid w:val="002452C8"/>
    <w:rsid w:val="002453A7"/>
    <w:rsid w:val="002453C7"/>
    <w:rsid w:val="00245437"/>
    <w:rsid w:val="00245565"/>
    <w:rsid w:val="0024561A"/>
    <w:rsid w:val="00245791"/>
    <w:rsid w:val="002459EA"/>
    <w:rsid w:val="00245B29"/>
    <w:rsid w:val="00245F79"/>
    <w:rsid w:val="002465E8"/>
    <w:rsid w:val="00246984"/>
    <w:rsid w:val="00246AB5"/>
    <w:rsid w:val="00246AFB"/>
    <w:rsid w:val="00246D78"/>
    <w:rsid w:val="00246DC2"/>
    <w:rsid w:val="002471AC"/>
    <w:rsid w:val="00247476"/>
    <w:rsid w:val="00247817"/>
    <w:rsid w:val="00247BE0"/>
    <w:rsid w:val="00247C8B"/>
    <w:rsid w:val="00247CCF"/>
    <w:rsid w:val="00247E73"/>
    <w:rsid w:val="00247FD7"/>
    <w:rsid w:val="00250272"/>
    <w:rsid w:val="002502C3"/>
    <w:rsid w:val="0025037C"/>
    <w:rsid w:val="002505D9"/>
    <w:rsid w:val="0025064A"/>
    <w:rsid w:val="002506A4"/>
    <w:rsid w:val="00250C61"/>
    <w:rsid w:val="00250DD9"/>
    <w:rsid w:val="00250DF0"/>
    <w:rsid w:val="00250EAF"/>
    <w:rsid w:val="00251176"/>
    <w:rsid w:val="002511A4"/>
    <w:rsid w:val="00251225"/>
    <w:rsid w:val="0025139D"/>
    <w:rsid w:val="0025146B"/>
    <w:rsid w:val="00251BA2"/>
    <w:rsid w:val="00251C51"/>
    <w:rsid w:val="00251C9E"/>
    <w:rsid w:val="00251F67"/>
    <w:rsid w:val="00252029"/>
    <w:rsid w:val="00252077"/>
    <w:rsid w:val="002523C4"/>
    <w:rsid w:val="00252947"/>
    <w:rsid w:val="00252A29"/>
    <w:rsid w:val="00252CAC"/>
    <w:rsid w:val="002535CA"/>
    <w:rsid w:val="00253747"/>
    <w:rsid w:val="00253C52"/>
    <w:rsid w:val="00253D2B"/>
    <w:rsid w:val="00253E9F"/>
    <w:rsid w:val="00254105"/>
    <w:rsid w:val="0025417A"/>
    <w:rsid w:val="002542A6"/>
    <w:rsid w:val="002542B5"/>
    <w:rsid w:val="00254968"/>
    <w:rsid w:val="00254A21"/>
    <w:rsid w:val="00254D42"/>
    <w:rsid w:val="00254DBB"/>
    <w:rsid w:val="0025525B"/>
    <w:rsid w:val="00255277"/>
    <w:rsid w:val="0025532A"/>
    <w:rsid w:val="00255E04"/>
    <w:rsid w:val="00255F17"/>
    <w:rsid w:val="00255F43"/>
    <w:rsid w:val="00255F60"/>
    <w:rsid w:val="00256385"/>
    <w:rsid w:val="002567D8"/>
    <w:rsid w:val="00256D66"/>
    <w:rsid w:val="00256E23"/>
    <w:rsid w:val="00256E8E"/>
    <w:rsid w:val="00257161"/>
    <w:rsid w:val="00257358"/>
    <w:rsid w:val="00257AF2"/>
    <w:rsid w:val="00257BEF"/>
    <w:rsid w:val="002601F5"/>
    <w:rsid w:val="002608CB"/>
    <w:rsid w:val="00260B7C"/>
    <w:rsid w:val="00260C86"/>
    <w:rsid w:val="00260DD3"/>
    <w:rsid w:val="00261223"/>
    <w:rsid w:val="002617FA"/>
    <w:rsid w:val="00261862"/>
    <w:rsid w:val="002618E8"/>
    <w:rsid w:val="00262213"/>
    <w:rsid w:val="00262254"/>
    <w:rsid w:val="00262495"/>
    <w:rsid w:val="00262698"/>
    <w:rsid w:val="00262741"/>
    <w:rsid w:val="002627F8"/>
    <w:rsid w:val="002629BF"/>
    <w:rsid w:val="00262B08"/>
    <w:rsid w:val="00262B66"/>
    <w:rsid w:val="0026322A"/>
    <w:rsid w:val="002637C2"/>
    <w:rsid w:val="002638A3"/>
    <w:rsid w:val="002638C5"/>
    <w:rsid w:val="00263907"/>
    <w:rsid w:val="00263CA1"/>
    <w:rsid w:val="00263D73"/>
    <w:rsid w:val="00263E1B"/>
    <w:rsid w:val="00263F3B"/>
    <w:rsid w:val="00264427"/>
    <w:rsid w:val="002645D1"/>
    <w:rsid w:val="0026465E"/>
    <w:rsid w:val="002647AB"/>
    <w:rsid w:val="00264F85"/>
    <w:rsid w:val="00265227"/>
    <w:rsid w:val="002654C2"/>
    <w:rsid w:val="00265682"/>
    <w:rsid w:val="0026571E"/>
    <w:rsid w:val="002657D1"/>
    <w:rsid w:val="002659A2"/>
    <w:rsid w:val="00265BEF"/>
    <w:rsid w:val="00265CF5"/>
    <w:rsid w:val="00265D98"/>
    <w:rsid w:val="00265DD7"/>
    <w:rsid w:val="00266097"/>
    <w:rsid w:val="002660F0"/>
    <w:rsid w:val="002661E5"/>
    <w:rsid w:val="0026627C"/>
    <w:rsid w:val="0026661A"/>
    <w:rsid w:val="002668A5"/>
    <w:rsid w:val="00266A49"/>
    <w:rsid w:val="00266B4F"/>
    <w:rsid w:val="0026708C"/>
    <w:rsid w:val="002672D6"/>
    <w:rsid w:val="00267392"/>
    <w:rsid w:val="00267578"/>
    <w:rsid w:val="00267900"/>
    <w:rsid w:val="00267913"/>
    <w:rsid w:val="002679C3"/>
    <w:rsid w:val="00267C5D"/>
    <w:rsid w:val="00267F9E"/>
    <w:rsid w:val="002700D5"/>
    <w:rsid w:val="002700EB"/>
    <w:rsid w:val="00270179"/>
    <w:rsid w:val="00270747"/>
    <w:rsid w:val="002708CF"/>
    <w:rsid w:val="0027091F"/>
    <w:rsid w:val="00270EBA"/>
    <w:rsid w:val="00270F53"/>
    <w:rsid w:val="00270F99"/>
    <w:rsid w:val="00270FAF"/>
    <w:rsid w:val="00271100"/>
    <w:rsid w:val="0027121F"/>
    <w:rsid w:val="0027122A"/>
    <w:rsid w:val="002713FA"/>
    <w:rsid w:val="002714DE"/>
    <w:rsid w:val="00271591"/>
    <w:rsid w:val="00271762"/>
    <w:rsid w:val="002718B8"/>
    <w:rsid w:val="00271F11"/>
    <w:rsid w:val="00271F7D"/>
    <w:rsid w:val="002723EA"/>
    <w:rsid w:val="00272415"/>
    <w:rsid w:val="0027247A"/>
    <w:rsid w:val="00272554"/>
    <w:rsid w:val="0027293D"/>
    <w:rsid w:val="00272A52"/>
    <w:rsid w:val="00272B3B"/>
    <w:rsid w:val="0027324C"/>
    <w:rsid w:val="0027350A"/>
    <w:rsid w:val="00273611"/>
    <w:rsid w:val="0027363B"/>
    <w:rsid w:val="002739E0"/>
    <w:rsid w:val="00273B62"/>
    <w:rsid w:val="00273BE7"/>
    <w:rsid w:val="002741AC"/>
    <w:rsid w:val="0027435E"/>
    <w:rsid w:val="002744A6"/>
    <w:rsid w:val="00274876"/>
    <w:rsid w:val="002748DE"/>
    <w:rsid w:val="00274942"/>
    <w:rsid w:val="0027494E"/>
    <w:rsid w:val="00274AAB"/>
    <w:rsid w:val="00274B64"/>
    <w:rsid w:val="00274B75"/>
    <w:rsid w:val="00274B93"/>
    <w:rsid w:val="00274F03"/>
    <w:rsid w:val="00275151"/>
    <w:rsid w:val="0027527C"/>
    <w:rsid w:val="00275367"/>
    <w:rsid w:val="002755A1"/>
    <w:rsid w:val="002755D6"/>
    <w:rsid w:val="00275691"/>
    <w:rsid w:val="00275796"/>
    <w:rsid w:val="00275BCF"/>
    <w:rsid w:val="00275C59"/>
    <w:rsid w:val="00276012"/>
    <w:rsid w:val="0027621C"/>
    <w:rsid w:val="002762CB"/>
    <w:rsid w:val="0027633E"/>
    <w:rsid w:val="002764AB"/>
    <w:rsid w:val="0027663F"/>
    <w:rsid w:val="002767D5"/>
    <w:rsid w:val="0027688A"/>
    <w:rsid w:val="00276B7E"/>
    <w:rsid w:val="00276CD0"/>
    <w:rsid w:val="00277070"/>
    <w:rsid w:val="00277436"/>
    <w:rsid w:val="00277439"/>
    <w:rsid w:val="0027778E"/>
    <w:rsid w:val="00277C95"/>
    <w:rsid w:val="0028021A"/>
    <w:rsid w:val="002802E0"/>
    <w:rsid w:val="00280368"/>
    <w:rsid w:val="00280463"/>
    <w:rsid w:val="00280480"/>
    <w:rsid w:val="0028068B"/>
    <w:rsid w:val="00280ABD"/>
    <w:rsid w:val="00280B7D"/>
    <w:rsid w:val="00281095"/>
    <w:rsid w:val="002811D1"/>
    <w:rsid w:val="00281852"/>
    <w:rsid w:val="00281CF3"/>
    <w:rsid w:val="00281F37"/>
    <w:rsid w:val="00281FF0"/>
    <w:rsid w:val="00282066"/>
    <w:rsid w:val="002820C1"/>
    <w:rsid w:val="00282270"/>
    <w:rsid w:val="002826BE"/>
    <w:rsid w:val="002826DF"/>
    <w:rsid w:val="002827B8"/>
    <w:rsid w:val="0028286B"/>
    <w:rsid w:val="00282916"/>
    <w:rsid w:val="00282BB1"/>
    <w:rsid w:val="00282F95"/>
    <w:rsid w:val="002830D7"/>
    <w:rsid w:val="002832C2"/>
    <w:rsid w:val="002835CB"/>
    <w:rsid w:val="0028365F"/>
    <w:rsid w:val="00283694"/>
    <w:rsid w:val="00283935"/>
    <w:rsid w:val="002839B7"/>
    <w:rsid w:val="002839BF"/>
    <w:rsid w:val="002839D6"/>
    <w:rsid w:val="0028408D"/>
    <w:rsid w:val="0028423B"/>
    <w:rsid w:val="00284667"/>
    <w:rsid w:val="002846A3"/>
    <w:rsid w:val="00284716"/>
    <w:rsid w:val="00284759"/>
    <w:rsid w:val="002848DD"/>
    <w:rsid w:val="0028491F"/>
    <w:rsid w:val="00284A0E"/>
    <w:rsid w:val="00284A5A"/>
    <w:rsid w:val="00284E9E"/>
    <w:rsid w:val="002853E9"/>
    <w:rsid w:val="00285448"/>
    <w:rsid w:val="00285922"/>
    <w:rsid w:val="00285C1F"/>
    <w:rsid w:val="00285EA2"/>
    <w:rsid w:val="0028624A"/>
    <w:rsid w:val="00286300"/>
    <w:rsid w:val="00286812"/>
    <w:rsid w:val="00286A00"/>
    <w:rsid w:val="00286CFE"/>
    <w:rsid w:val="00286E13"/>
    <w:rsid w:val="0028734A"/>
    <w:rsid w:val="002873D3"/>
    <w:rsid w:val="002873F0"/>
    <w:rsid w:val="00287489"/>
    <w:rsid w:val="002874AE"/>
    <w:rsid w:val="00287651"/>
    <w:rsid w:val="002879F4"/>
    <w:rsid w:val="00287A1C"/>
    <w:rsid w:val="00287F11"/>
    <w:rsid w:val="002905CA"/>
    <w:rsid w:val="00290789"/>
    <w:rsid w:val="00290818"/>
    <w:rsid w:val="00290B26"/>
    <w:rsid w:val="00290B38"/>
    <w:rsid w:val="00290DBE"/>
    <w:rsid w:val="00290E0B"/>
    <w:rsid w:val="002913DF"/>
    <w:rsid w:val="002914D3"/>
    <w:rsid w:val="002916DD"/>
    <w:rsid w:val="002916EA"/>
    <w:rsid w:val="00291930"/>
    <w:rsid w:val="00291961"/>
    <w:rsid w:val="00291A6C"/>
    <w:rsid w:val="00291C21"/>
    <w:rsid w:val="00291DBA"/>
    <w:rsid w:val="00291EC0"/>
    <w:rsid w:val="00291F8C"/>
    <w:rsid w:val="00291FE0"/>
    <w:rsid w:val="00292063"/>
    <w:rsid w:val="00292174"/>
    <w:rsid w:val="00292184"/>
    <w:rsid w:val="00292242"/>
    <w:rsid w:val="00292559"/>
    <w:rsid w:val="002925C6"/>
    <w:rsid w:val="00292753"/>
    <w:rsid w:val="00292934"/>
    <w:rsid w:val="00292B9B"/>
    <w:rsid w:val="00292C10"/>
    <w:rsid w:val="00292C38"/>
    <w:rsid w:val="002937A7"/>
    <w:rsid w:val="00293981"/>
    <w:rsid w:val="00293994"/>
    <w:rsid w:val="00293B06"/>
    <w:rsid w:val="00294134"/>
    <w:rsid w:val="00294179"/>
    <w:rsid w:val="00294184"/>
    <w:rsid w:val="0029456E"/>
    <w:rsid w:val="00294764"/>
    <w:rsid w:val="002947B2"/>
    <w:rsid w:val="0029482F"/>
    <w:rsid w:val="002949BB"/>
    <w:rsid w:val="00294B06"/>
    <w:rsid w:val="00294C6F"/>
    <w:rsid w:val="00294F26"/>
    <w:rsid w:val="0029527F"/>
    <w:rsid w:val="002953CE"/>
    <w:rsid w:val="002958F6"/>
    <w:rsid w:val="00295905"/>
    <w:rsid w:val="00295A35"/>
    <w:rsid w:val="00295D4D"/>
    <w:rsid w:val="00295DC6"/>
    <w:rsid w:val="00295FF2"/>
    <w:rsid w:val="0029606F"/>
    <w:rsid w:val="002960AB"/>
    <w:rsid w:val="00296666"/>
    <w:rsid w:val="0029693D"/>
    <w:rsid w:val="00296A47"/>
    <w:rsid w:val="00296AC1"/>
    <w:rsid w:val="00296CBC"/>
    <w:rsid w:val="00296FC0"/>
    <w:rsid w:val="00297136"/>
    <w:rsid w:val="0029771F"/>
    <w:rsid w:val="00297A6A"/>
    <w:rsid w:val="00297DB3"/>
    <w:rsid w:val="002A0138"/>
    <w:rsid w:val="002A0145"/>
    <w:rsid w:val="002A023F"/>
    <w:rsid w:val="002A0348"/>
    <w:rsid w:val="002A078B"/>
    <w:rsid w:val="002A0961"/>
    <w:rsid w:val="002A0AA0"/>
    <w:rsid w:val="002A0E62"/>
    <w:rsid w:val="002A0E68"/>
    <w:rsid w:val="002A1544"/>
    <w:rsid w:val="002A18E8"/>
    <w:rsid w:val="002A1FEE"/>
    <w:rsid w:val="002A22F7"/>
    <w:rsid w:val="002A240B"/>
    <w:rsid w:val="002A274C"/>
    <w:rsid w:val="002A2F8C"/>
    <w:rsid w:val="002A2FBF"/>
    <w:rsid w:val="002A3317"/>
    <w:rsid w:val="002A39DF"/>
    <w:rsid w:val="002A3C90"/>
    <w:rsid w:val="002A3D8D"/>
    <w:rsid w:val="002A41DB"/>
    <w:rsid w:val="002A44B2"/>
    <w:rsid w:val="002A44D2"/>
    <w:rsid w:val="002A458A"/>
    <w:rsid w:val="002A46D5"/>
    <w:rsid w:val="002A46E3"/>
    <w:rsid w:val="002A46F1"/>
    <w:rsid w:val="002A4876"/>
    <w:rsid w:val="002A4B8E"/>
    <w:rsid w:val="002A4E5E"/>
    <w:rsid w:val="002A52B7"/>
    <w:rsid w:val="002A52CF"/>
    <w:rsid w:val="002A52E4"/>
    <w:rsid w:val="002A53CF"/>
    <w:rsid w:val="002A5624"/>
    <w:rsid w:val="002A57D9"/>
    <w:rsid w:val="002A5971"/>
    <w:rsid w:val="002A5A00"/>
    <w:rsid w:val="002A5C44"/>
    <w:rsid w:val="002A5DB9"/>
    <w:rsid w:val="002A5F1B"/>
    <w:rsid w:val="002A6121"/>
    <w:rsid w:val="002A6145"/>
    <w:rsid w:val="002A69E6"/>
    <w:rsid w:val="002A6B30"/>
    <w:rsid w:val="002A6BBE"/>
    <w:rsid w:val="002A6BD6"/>
    <w:rsid w:val="002A6CFC"/>
    <w:rsid w:val="002A71AF"/>
    <w:rsid w:val="002A7508"/>
    <w:rsid w:val="002A75E1"/>
    <w:rsid w:val="002A7725"/>
    <w:rsid w:val="002A779C"/>
    <w:rsid w:val="002A77C8"/>
    <w:rsid w:val="002A7E46"/>
    <w:rsid w:val="002B04D7"/>
    <w:rsid w:val="002B04DD"/>
    <w:rsid w:val="002B0817"/>
    <w:rsid w:val="002B087D"/>
    <w:rsid w:val="002B09CB"/>
    <w:rsid w:val="002B0C80"/>
    <w:rsid w:val="002B0CA8"/>
    <w:rsid w:val="002B0FF9"/>
    <w:rsid w:val="002B13D4"/>
    <w:rsid w:val="002B183A"/>
    <w:rsid w:val="002B19DC"/>
    <w:rsid w:val="002B1B3B"/>
    <w:rsid w:val="002B1B5D"/>
    <w:rsid w:val="002B1CD7"/>
    <w:rsid w:val="002B1E25"/>
    <w:rsid w:val="002B2080"/>
    <w:rsid w:val="002B20C3"/>
    <w:rsid w:val="002B22F1"/>
    <w:rsid w:val="002B2A0A"/>
    <w:rsid w:val="002B2A2A"/>
    <w:rsid w:val="002B2E9F"/>
    <w:rsid w:val="002B2ED5"/>
    <w:rsid w:val="002B309F"/>
    <w:rsid w:val="002B3454"/>
    <w:rsid w:val="002B347F"/>
    <w:rsid w:val="002B3523"/>
    <w:rsid w:val="002B35E5"/>
    <w:rsid w:val="002B395A"/>
    <w:rsid w:val="002B39AF"/>
    <w:rsid w:val="002B3AB5"/>
    <w:rsid w:val="002B3AE6"/>
    <w:rsid w:val="002B3D22"/>
    <w:rsid w:val="002B4402"/>
    <w:rsid w:val="002B4683"/>
    <w:rsid w:val="002B47E8"/>
    <w:rsid w:val="002B4A00"/>
    <w:rsid w:val="002B4C9C"/>
    <w:rsid w:val="002B4DE1"/>
    <w:rsid w:val="002B4E6E"/>
    <w:rsid w:val="002B4F44"/>
    <w:rsid w:val="002B4FD6"/>
    <w:rsid w:val="002B53BF"/>
    <w:rsid w:val="002B56B1"/>
    <w:rsid w:val="002B56E4"/>
    <w:rsid w:val="002B5A13"/>
    <w:rsid w:val="002B5A1C"/>
    <w:rsid w:val="002B614A"/>
    <w:rsid w:val="002B65DC"/>
    <w:rsid w:val="002B6ADA"/>
    <w:rsid w:val="002B754C"/>
    <w:rsid w:val="002B7A11"/>
    <w:rsid w:val="002B7B2E"/>
    <w:rsid w:val="002B7B96"/>
    <w:rsid w:val="002B7BB9"/>
    <w:rsid w:val="002B7C33"/>
    <w:rsid w:val="002B7CA0"/>
    <w:rsid w:val="002B7E74"/>
    <w:rsid w:val="002B7E9E"/>
    <w:rsid w:val="002B7FE0"/>
    <w:rsid w:val="002C0253"/>
    <w:rsid w:val="002C052D"/>
    <w:rsid w:val="002C0713"/>
    <w:rsid w:val="002C073C"/>
    <w:rsid w:val="002C07AB"/>
    <w:rsid w:val="002C07F5"/>
    <w:rsid w:val="002C0D83"/>
    <w:rsid w:val="002C0F1A"/>
    <w:rsid w:val="002C16DA"/>
    <w:rsid w:val="002C19FE"/>
    <w:rsid w:val="002C1C68"/>
    <w:rsid w:val="002C1DD2"/>
    <w:rsid w:val="002C2128"/>
    <w:rsid w:val="002C212A"/>
    <w:rsid w:val="002C21CA"/>
    <w:rsid w:val="002C24EC"/>
    <w:rsid w:val="002C2557"/>
    <w:rsid w:val="002C271C"/>
    <w:rsid w:val="002C2798"/>
    <w:rsid w:val="002C282F"/>
    <w:rsid w:val="002C2BB6"/>
    <w:rsid w:val="002C2E66"/>
    <w:rsid w:val="002C312E"/>
    <w:rsid w:val="002C3268"/>
    <w:rsid w:val="002C3DE6"/>
    <w:rsid w:val="002C3F84"/>
    <w:rsid w:val="002C3F96"/>
    <w:rsid w:val="002C41FB"/>
    <w:rsid w:val="002C438D"/>
    <w:rsid w:val="002C43F7"/>
    <w:rsid w:val="002C4475"/>
    <w:rsid w:val="002C45D7"/>
    <w:rsid w:val="002C485F"/>
    <w:rsid w:val="002C48DA"/>
    <w:rsid w:val="002C49EA"/>
    <w:rsid w:val="002C4B49"/>
    <w:rsid w:val="002C5054"/>
    <w:rsid w:val="002C5186"/>
    <w:rsid w:val="002C51F2"/>
    <w:rsid w:val="002C55CF"/>
    <w:rsid w:val="002C5D22"/>
    <w:rsid w:val="002C5F4F"/>
    <w:rsid w:val="002C5F83"/>
    <w:rsid w:val="002C5FB0"/>
    <w:rsid w:val="002C6393"/>
    <w:rsid w:val="002C63F8"/>
    <w:rsid w:val="002C656C"/>
    <w:rsid w:val="002C658D"/>
    <w:rsid w:val="002C6640"/>
    <w:rsid w:val="002C6973"/>
    <w:rsid w:val="002C6B96"/>
    <w:rsid w:val="002C6B9C"/>
    <w:rsid w:val="002C6C19"/>
    <w:rsid w:val="002C6C79"/>
    <w:rsid w:val="002C6D82"/>
    <w:rsid w:val="002C6F69"/>
    <w:rsid w:val="002C6FDE"/>
    <w:rsid w:val="002C71A1"/>
    <w:rsid w:val="002C71EA"/>
    <w:rsid w:val="002C7297"/>
    <w:rsid w:val="002C763D"/>
    <w:rsid w:val="002C76BC"/>
    <w:rsid w:val="002C7873"/>
    <w:rsid w:val="002C7DAD"/>
    <w:rsid w:val="002C7DCA"/>
    <w:rsid w:val="002C7F2F"/>
    <w:rsid w:val="002D0296"/>
    <w:rsid w:val="002D029E"/>
    <w:rsid w:val="002D0352"/>
    <w:rsid w:val="002D041F"/>
    <w:rsid w:val="002D070B"/>
    <w:rsid w:val="002D0B9C"/>
    <w:rsid w:val="002D0C32"/>
    <w:rsid w:val="002D0E42"/>
    <w:rsid w:val="002D11B7"/>
    <w:rsid w:val="002D1226"/>
    <w:rsid w:val="002D12E0"/>
    <w:rsid w:val="002D137D"/>
    <w:rsid w:val="002D1623"/>
    <w:rsid w:val="002D1642"/>
    <w:rsid w:val="002D1AF5"/>
    <w:rsid w:val="002D22B4"/>
    <w:rsid w:val="002D23E1"/>
    <w:rsid w:val="002D275E"/>
    <w:rsid w:val="002D2A26"/>
    <w:rsid w:val="002D2BD1"/>
    <w:rsid w:val="002D2DC2"/>
    <w:rsid w:val="002D3504"/>
    <w:rsid w:val="002D43C4"/>
    <w:rsid w:val="002D449F"/>
    <w:rsid w:val="002D4644"/>
    <w:rsid w:val="002D4683"/>
    <w:rsid w:val="002D4693"/>
    <w:rsid w:val="002D4B0C"/>
    <w:rsid w:val="002D4B58"/>
    <w:rsid w:val="002D4C8C"/>
    <w:rsid w:val="002D4CB7"/>
    <w:rsid w:val="002D4DED"/>
    <w:rsid w:val="002D4F43"/>
    <w:rsid w:val="002D4FFF"/>
    <w:rsid w:val="002D5057"/>
    <w:rsid w:val="002D53C4"/>
    <w:rsid w:val="002D5486"/>
    <w:rsid w:val="002D552B"/>
    <w:rsid w:val="002D577E"/>
    <w:rsid w:val="002D58B3"/>
    <w:rsid w:val="002D5912"/>
    <w:rsid w:val="002D5A72"/>
    <w:rsid w:val="002D5F7A"/>
    <w:rsid w:val="002D61F9"/>
    <w:rsid w:val="002D64B9"/>
    <w:rsid w:val="002D66A0"/>
    <w:rsid w:val="002D69B1"/>
    <w:rsid w:val="002D6A8F"/>
    <w:rsid w:val="002D6BD5"/>
    <w:rsid w:val="002D6E24"/>
    <w:rsid w:val="002D70EC"/>
    <w:rsid w:val="002D7981"/>
    <w:rsid w:val="002D7B91"/>
    <w:rsid w:val="002D7BC5"/>
    <w:rsid w:val="002D7D3E"/>
    <w:rsid w:val="002E0017"/>
    <w:rsid w:val="002E0191"/>
    <w:rsid w:val="002E08B3"/>
    <w:rsid w:val="002E0BCF"/>
    <w:rsid w:val="002E0F1C"/>
    <w:rsid w:val="002E1145"/>
    <w:rsid w:val="002E1CC1"/>
    <w:rsid w:val="002E1E81"/>
    <w:rsid w:val="002E23D4"/>
    <w:rsid w:val="002E2839"/>
    <w:rsid w:val="002E2B7B"/>
    <w:rsid w:val="002E2C0D"/>
    <w:rsid w:val="002E2EF2"/>
    <w:rsid w:val="002E32C5"/>
    <w:rsid w:val="002E33A1"/>
    <w:rsid w:val="002E35CE"/>
    <w:rsid w:val="002E35D1"/>
    <w:rsid w:val="002E3751"/>
    <w:rsid w:val="002E3784"/>
    <w:rsid w:val="002E3865"/>
    <w:rsid w:val="002E3893"/>
    <w:rsid w:val="002E39B8"/>
    <w:rsid w:val="002E3A11"/>
    <w:rsid w:val="002E4011"/>
    <w:rsid w:val="002E41AA"/>
    <w:rsid w:val="002E4222"/>
    <w:rsid w:val="002E4568"/>
    <w:rsid w:val="002E4A4F"/>
    <w:rsid w:val="002E4A64"/>
    <w:rsid w:val="002E4BA6"/>
    <w:rsid w:val="002E4BDF"/>
    <w:rsid w:val="002E4D0D"/>
    <w:rsid w:val="002E4F13"/>
    <w:rsid w:val="002E506A"/>
    <w:rsid w:val="002E53F8"/>
    <w:rsid w:val="002E585B"/>
    <w:rsid w:val="002E58FA"/>
    <w:rsid w:val="002E5E75"/>
    <w:rsid w:val="002E5F43"/>
    <w:rsid w:val="002E63C7"/>
    <w:rsid w:val="002E63D5"/>
    <w:rsid w:val="002E6485"/>
    <w:rsid w:val="002E6547"/>
    <w:rsid w:val="002E6B55"/>
    <w:rsid w:val="002E6DD8"/>
    <w:rsid w:val="002E6E46"/>
    <w:rsid w:val="002E6E49"/>
    <w:rsid w:val="002E7B47"/>
    <w:rsid w:val="002E7D35"/>
    <w:rsid w:val="002E7DDB"/>
    <w:rsid w:val="002E7DDD"/>
    <w:rsid w:val="002E7EF6"/>
    <w:rsid w:val="002E7FAE"/>
    <w:rsid w:val="002F02EE"/>
    <w:rsid w:val="002F04DC"/>
    <w:rsid w:val="002F06F5"/>
    <w:rsid w:val="002F06FE"/>
    <w:rsid w:val="002F0857"/>
    <w:rsid w:val="002F08A7"/>
    <w:rsid w:val="002F09E9"/>
    <w:rsid w:val="002F0A91"/>
    <w:rsid w:val="002F0CC7"/>
    <w:rsid w:val="002F0D57"/>
    <w:rsid w:val="002F0D58"/>
    <w:rsid w:val="002F0FF5"/>
    <w:rsid w:val="002F10E5"/>
    <w:rsid w:val="002F113E"/>
    <w:rsid w:val="002F1646"/>
    <w:rsid w:val="002F1770"/>
    <w:rsid w:val="002F17CA"/>
    <w:rsid w:val="002F1B1E"/>
    <w:rsid w:val="002F1CD9"/>
    <w:rsid w:val="002F1CE6"/>
    <w:rsid w:val="002F1DAD"/>
    <w:rsid w:val="002F1E86"/>
    <w:rsid w:val="002F1F08"/>
    <w:rsid w:val="002F238E"/>
    <w:rsid w:val="002F2734"/>
    <w:rsid w:val="002F28D2"/>
    <w:rsid w:val="002F2DB4"/>
    <w:rsid w:val="002F2E90"/>
    <w:rsid w:val="002F2F8C"/>
    <w:rsid w:val="002F3001"/>
    <w:rsid w:val="002F3032"/>
    <w:rsid w:val="002F3049"/>
    <w:rsid w:val="002F39A6"/>
    <w:rsid w:val="002F39AF"/>
    <w:rsid w:val="002F3AE4"/>
    <w:rsid w:val="002F3E4F"/>
    <w:rsid w:val="002F3EB9"/>
    <w:rsid w:val="002F3F3A"/>
    <w:rsid w:val="002F406F"/>
    <w:rsid w:val="002F4138"/>
    <w:rsid w:val="002F42C4"/>
    <w:rsid w:val="002F44D3"/>
    <w:rsid w:val="002F4533"/>
    <w:rsid w:val="002F47A9"/>
    <w:rsid w:val="002F47CF"/>
    <w:rsid w:val="002F47D1"/>
    <w:rsid w:val="002F4AED"/>
    <w:rsid w:val="002F4BE9"/>
    <w:rsid w:val="002F4D12"/>
    <w:rsid w:val="002F5205"/>
    <w:rsid w:val="002F5350"/>
    <w:rsid w:val="002F55F2"/>
    <w:rsid w:val="002F5ED8"/>
    <w:rsid w:val="002F60C7"/>
    <w:rsid w:val="002F6225"/>
    <w:rsid w:val="002F64F7"/>
    <w:rsid w:val="002F651D"/>
    <w:rsid w:val="002F6771"/>
    <w:rsid w:val="002F67AA"/>
    <w:rsid w:val="002F6928"/>
    <w:rsid w:val="002F6ABE"/>
    <w:rsid w:val="002F6D9E"/>
    <w:rsid w:val="002F7125"/>
    <w:rsid w:val="002F7212"/>
    <w:rsid w:val="002F7A41"/>
    <w:rsid w:val="002F7AA0"/>
    <w:rsid w:val="002F7DBC"/>
    <w:rsid w:val="002F7E73"/>
    <w:rsid w:val="0030013C"/>
    <w:rsid w:val="0030029A"/>
    <w:rsid w:val="0030030F"/>
    <w:rsid w:val="00300490"/>
    <w:rsid w:val="00300655"/>
    <w:rsid w:val="00300701"/>
    <w:rsid w:val="003009F3"/>
    <w:rsid w:val="00300A89"/>
    <w:rsid w:val="00300B8F"/>
    <w:rsid w:val="00300C78"/>
    <w:rsid w:val="00300D9B"/>
    <w:rsid w:val="00300F4D"/>
    <w:rsid w:val="00300F9C"/>
    <w:rsid w:val="003012CA"/>
    <w:rsid w:val="003015C5"/>
    <w:rsid w:val="0030161F"/>
    <w:rsid w:val="00301756"/>
    <w:rsid w:val="0030182A"/>
    <w:rsid w:val="00301965"/>
    <w:rsid w:val="00301A04"/>
    <w:rsid w:val="00301A1F"/>
    <w:rsid w:val="00301D03"/>
    <w:rsid w:val="003023A6"/>
    <w:rsid w:val="003024EB"/>
    <w:rsid w:val="00302786"/>
    <w:rsid w:val="00302896"/>
    <w:rsid w:val="00302A5C"/>
    <w:rsid w:val="00302B9B"/>
    <w:rsid w:val="00302D97"/>
    <w:rsid w:val="00303079"/>
    <w:rsid w:val="003032DF"/>
    <w:rsid w:val="00303634"/>
    <w:rsid w:val="003036BD"/>
    <w:rsid w:val="0030390D"/>
    <w:rsid w:val="00303945"/>
    <w:rsid w:val="0030396D"/>
    <w:rsid w:val="00303ACC"/>
    <w:rsid w:val="00303DA2"/>
    <w:rsid w:val="00303F25"/>
    <w:rsid w:val="00303F4A"/>
    <w:rsid w:val="00303FA3"/>
    <w:rsid w:val="00303FE7"/>
    <w:rsid w:val="00304256"/>
    <w:rsid w:val="003044A6"/>
    <w:rsid w:val="0030459E"/>
    <w:rsid w:val="00304857"/>
    <w:rsid w:val="00304B0B"/>
    <w:rsid w:val="00304CD5"/>
    <w:rsid w:val="00304EC4"/>
    <w:rsid w:val="00304EE9"/>
    <w:rsid w:val="00305062"/>
    <w:rsid w:val="003057A1"/>
    <w:rsid w:val="00305B9E"/>
    <w:rsid w:val="00305C49"/>
    <w:rsid w:val="00305EF3"/>
    <w:rsid w:val="00305F59"/>
    <w:rsid w:val="00305FB3"/>
    <w:rsid w:val="0030658E"/>
    <w:rsid w:val="00306903"/>
    <w:rsid w:val="0030698E"/>
    <w:rsid w:val="003069F1"/>
    <w:rsid w:val="00306C65"/>
    <w:rsid w:val="00306D60"/>
    <w:rsid w:val="00306FC7"/>
    <w:rsid w:val="00307042"/>
    <w:rsid w:val="003070A0"/>
    <w:rsid w:val="0030727D"/>
    <w:rsid w:val="003072EA"/>
    <w:rsid w:val="003076A9"/>
    <w:rsid w:val="00307869"/>
    <w:rsid w:val="00307957"/>
    <w:rsid w:val="00307A7A"/>
    <w:rsid w:val="00307F00"/>
    <w:rsid w:val="00310223"/>
    <w:rsid w:val="0031024C"/>
    <w:rsid w:val="00310298"/>
    <w:rsid w:val="003107E6"/>
    <w:rsid w:val="003107E9"/>
    <w:rsid w:val="003108BA"/>
    <w:rsid w:val="00310AAD"/>
    <w:rsid w:val="00310B73"/>
    <w:rsid w:val="00310BCF"/>
    <w:rsid w:val="00310C87"/>
    <w:rsid w:val="00310DA4"/>
    <w:rsid w:val="00310E44"/>
    <w:rsid w:val="00310F54"/>
    <w:rsid w:val="0031101D"/>
    <w:rsid w:val="003112BB"/>
    <w:rsid w:val="0031136F"/>
    <w:rsid w:val="0031169A"/>
    <w:rsid w:val="00311743"/>
    <w:rsid w:val="0031196E"/>
    <w:rsid w:val="00311E92"/>
    <w:rsid w:val="00311EAB"/>
    <w:rsid w:val="0031206E"/>
    <w:rsid w:val="003122CE"/>
    <w:rsid w:val="003123BE"/>
    <w:rsid w:val="00312413"/>
    <w:rsid w:val="003125F3"/>
    <w:rsid w:val="00312732"/>
    <w:rsid w:val="003128F4"/>
    <w:rsid w:val="00312A63"/>
    <w:rsid w:val="00313014"/>
    <w:rsid w:val="00313119"/>
    <w:rsid w:val="00313543"/>
    <w:rsid w:val="0031354C"/>
    <w:rsid w:val="0031356A"/>
    <w:rsid w:val="003135F2"/>
    <w:rsid w:val="0031398E"/>
    <w:rsid w:val="00313B59"/>
    <w:rsid w:val="00313C57"/>
    <w:rsid w:val="00313D37"/>
    <w:rsid w:val="00314145"/>
    <w:rsid w:val="0031434B"/>
    <w:rsid w:val="003143DE"/>
    <w:rsid w:val="00314557"/>
    <w:rsid w:val="00314639"/>
    <w:rsid w:val="003148A5"/>
    <w:rsid w:val="00314B0E"/>
    <w:rsid w:val="00314CE0"/>
    <w:rsid w:val="00314FAD"/>
    <w:rsid w:val="0031511F"/>
    <w:rsid w:val="00315328"/>
    <w:rsid w:val="003153F1"/>
    <w:rsid w:val="003153FB"/>
    <w:rsid w:val="003154A3"/>
    <w:rsid w:val="00315736"/>
    <w:rsid w:val="003159B2"/>
    <w:rsid w:val="00315A6C"/>
    <w:rsid w:val="00315B61"/>
    <w:rsid w:val="00315F1E"/>
    <w:rsid w:val="0031625F"/>
    <w:rsid w:val="00316B15"/>
    <w:rsid w:val="00316B95"/>
    <w:rsid w:val="00316C62"/>
    <w:rsid w:val="003173A6"/>
    <w:rsid w:val="003173D2"/>
    <w:rsid w:val="00317467"/>
    <w:rsid w:val="00317526"/>
    <w:rsid w:val="003175D6"/>
    <w:rsid w:val="003176A6"/>
    <w:rsid w:val="00317736"/>
    <w:rsid w:val="0031776B"/>
    <w:rsid w:val="00317A63"/>
    <w:rsid w:val="00317AF8"/>
    <w:rsid w:val="00317D02"/>
    <w:rsid w:val="00317D2D"/>
    <w:rsid w:val="00317E4C"/>
    <w:rsid w:val="00317E80"/>
    <w:rsid w:val="00317EB7"/>
    <w:rsid w:val="00317F1F"/>
    <w:rsid w:val="00317FB1"/>
    <w:rsid w:val="0032058F"/>
    <w:rsid w:val="003208F8"/>
    <w:rsid w:val="00320FCB"/>
    <w:rsid w:val="003211F7"/>
    <w:rsid w:val="00321405"/>
    <w:rsid w:val="003214FB"/>
    <w:rsid w:val="003215B4"/>
    <w:rsid w:val="00321E08"/>
    <w:rsid w:val="00321EBD"/>
    <w:rsid w:val="00321F32"/>
    <w:rsid w:val="00321FD6"/>
    <w:rsid w:val="00322141"/>
    <w:rsid w:val="003223A3"/>
    <w:rsid w:val="00322809"/>
    <w:rsid w:val="00322858"/>
    <w:rsid w:val="00322910"/>
    <w:rsid w:val="00322967"/>
    <w:rsid w:val="00322A9D"/>
    <w:rsid w:val="00322BE2"/>
    <w:rsid w:val="00322D0A"/>
    <w:rsid w:val="00322DE8"/>
    <w:rsid w:val="00322E9E"/>
    <w:rsid w:val="00322F4B"/>
    <w:rsid w:val="00323014"/>
    <w:rsid w:val="003230A3"/>
    <w:rsid w:val="00323143"/>
    <w:rsid w:val="00323337"/>
    <w:rsid w:val="00324089"/>
    <w:rsid w:val="00324337"/>
    <w:rsid w:val="003244BE"/>
    <w:rsid w:val="0032498B"/>
    <w:rsid w:val="00324B64"/>
    <w:rsid w:val="00324C6D"/>
    <w:rsid w:val="00325430"/>
    <w:rsid w:val="0032544F"/>
    <w:rsid w:val="003255F9"/>
    <w:rsid w:val="00325D59"/>
    <w:rsid w:val="00325DC8"/>
    <w:rsid w:val="00325F21"/>
    <w:rsid w:val="003265F1"/>
    <w:rsid w:val="00326942"/>
    <w:rsid w:val="00326AB8"/>
    <w:rsid w:val="003270A8"/>
    <w:rsid w:val="00327228"/>
    <w:rsid w:val="0032733C"/>
    <w:rsid w:val="003273F4"/>
    <w:rsid w:val="003275C2"/>
    <w:rsid w:val="003276CB"/>
    <w:rsid w:val="00327B78"/>
    <w:rsid w:val="00327E40"/>
    <w:rsid w:val="00327EC7"/>
    <w:rsid w:val="003305A9"/>
    <w:rsid w:val="003306E1"/>
    <w:rsid w:val="003308F8"/>
    <w:rsid w:val="00330B18"/>
    <w:rsid w:val="0033111C"/>
    <w:rsid w:val="003313D2"/>
    <w:rsid w:val="003316D0"/>
    <w:rsid w:val="00331820"/>
    <w:rsid w:val="00331877"/>
    <w:rsid w:val="0033196C"/>
    <w:rsid w:val="00331A29"/>
    <w:rsid w:val="00331BFD"/>
    <w:rsid w:val="0033261A"/>
    <w:rsid w:val="00332A0F"/>
    <w:rsid w:val="00332C8B"/>
    <w:rsid w:val="00332FF7"/>
    <w:rsid w:val="00333006"/>
    <w:rsid w:val="00333239"/>
    <w:rsid w:val="003335B2"/>
    <w:rsid w:val="00333831"/>
    <w:rsid w:val="00333877"/>
    <w:rsid w:val="003339CF"/>
    <w:rsid w:val="00333B99"/>
    <w:rsid w:val="00334137"/>
    <w:rsid w:val="0033475B"/>
    <w:rsid w:val="00334986"/>
    <w:rsid w:val="00334D08"/>
    <w:rsid w:val="00334D30"/>
    <w:rsid w:val="00334FD6"/>
    <w:rsid w:val="003350CA"/>
    <w:rsid w:val="0033519E"/>
    <w:rsid w:val="0033545C"/>
    <w:rsid w:val="003358FA"/>
    <w:rsid w:val="00335A31"/>
    <w:rsid w:val="00335A96"/>
    <w:rsid w:val="00335B4D"/>
    <w:rsid w:val="00335D15"/>
    <w:rsid w:val="00336046"/>
    <w:rsid w:val="003362AB"/>
    <w:rsid w:val="003368A8"/>
    <w:rsid w:val="00336941"/>
    <w:rsid w:val="00336A3C"/>
    <w:rsid w:val="00336B1C"/>
    <w:rsid w:val="00336DE2"/>
    <w:rsid w:val="003376CC"/>
    <w:rsid w:val="00337C93"/>
    <w:rsid w:val="00337D45"/>
    <w:rsid w:val="003402DD"/>
    <w:rsid w:val="00340316"/>
    <w:rsid w:val="00340383"/>
    <w:rsid w:val="003403DC"/>
    <w:rsid w:val="0034049D"/>
    <w:rsid w:val="0034056F"/>
    <w:rsid w:val="0034065D"/>
    <w:rsid w:val="00340BA0"/>
    <w:rsid w:val="00340BB8"/>
    <w:rsid w:val="00340CE1"/>
    <w:rsid w:val="00340E51"/>
    <w:rsid w:val="00341011"/>
    <w:rsid w:val="003413F8"/>
    <w:rsid w:val="0034187B"/>
    <w:rsid w:val="0034192D"/>
    <w:rsid w:val="00341951"/>
    <w:rsid w:val="00341CF4"/>
    <w:rsid w:val="00342077"/>
    <w:rsid w:val="003424AB"/>
    <w:rsid w:val="003424B1"/>
    <w:rsid w:val="00342659"/>
    <w:rsid w:val="003427CF"/>
    <w:rsid w:val="003428C8"/>
    <w:rsid w:val="00342943"/>
    <w:rsid w:val="00342B0C"/>
    <w:rsid w:val="003431B2"/>
    <w:rsid w:val="003432A0"/>
    <w:rsid w:val="00343378"/>
    <w:rsid w:val="0034338B"/>
    <w:rsid w:val="003436A3"/>
    <w:rsid w:val="003437D2"/>
    <w:rsid w:val="00343D2F"/>
    <w:rsid w:val="00343EDE"/>
    <w:rsid w:val="00343F58"/>
    <w:rsid w:val="00343FC7"/>
    <w:rsid w:val="0034408A"/>
    <w:rsid w:val="0034424D"/>
    <w:rsid w:val="003442DE"/>
    <w:rsid w:val="0034454C"/>
    <w:rsid w:val="0034460D"/>
    <w:rsid w:val="00344711"/>
    <w:rsid w:val="00344787"/>
    <w:rsid w:val="003448FD"/>
    <w:rsid w:val="00344C8B"/>
    <w:rsid w:val="00344F4A"/>
    <w:rsid w:val="00345050"/>
    <w:rsid w:val="0034545C"/>
    <w:rsid w:val="003454AC"/>
    <w:rsid w:val="0034577E"/>
    <w:rsid w:val="0034593E"/>
    <w:rsid w:val="003459D9"/>
    <w:rsid w:val="00345B30"/>
    <w:rsid w:val="0034608B"/>
    <w:rsid w:val="003460C6"/>
    <w:rsid w:val="00346192"/>
    <w:rsid w:val="003461D1"/>
    <w:rsid w:val="00346200"/>
    <w:rsid w:val="00346213"/>
    <w:rsid w:val="0034621F"/>
    <w:rsid w:val="00346362"/>
    <w:rsid w:val="0034645F"/>
    <w:rsid w:val="0034647C"/>
    <w:rsid w:val="0034649E"/>
    <w:rsid w:val="003464B4"/>
    <w:rsid w:val="003464E5"/>
    <w:rsid w:val="00346550"/>
    <w:rsid w:val="0034659A"/>
    <w:rsid w:val="003467CB"/>
    <w:rsid w:val="0034690E"/>
    <w:rsid w:val="0034696C"/>
    <w:rsid w:val="00346CA9"/>
    <w:rsid w:val="00346CDD"/>
    <w:rsid w:val="00346DAB"/>
    <w:rsid w:val="00346F52"/>
    <w:rsid w:val="00347314"/>
    <w:rsid w:val="00347358"/>
    <w:rsid w:val="00347463"/>
    <w:rsid w:val="00347766"/>
    <w:rsid w:val="0034790A"/>
    <w:rsid w:val="00347993"/>
    <w:rsid w:val="00347AF9"/>
    <w:rsid w:val="00347AFB"/>
    <w:rsid w:val="0035041F"/>
    <w:rsid w:val="003505D7"/>
    <w:rsid w:val="003507BF"/>
    <w:rsid w:val="003507E7"/>
    <w:rsid w:val="003508BC"/>
    <w:rsid w:val="00350F14"/>
    <w:rsid w:val="00350FD5"/>
    <w:rsid w:val="0035107B"/>
    <w:rsid w:val="00351C62"/>
    <w:rsid w:val="00351C96"/>
    <w:rsid w:val="00351F5A"/>
    <w:rsid w:val="00351FB4"/>
    <w:rsid w:val="003521E1"/>
    <w:rsid w:val="00352482"/>
    <w:rsid w:val="0035267D"/>
    <w:rsid w:val="00352994"/>
    <w:rsid w:val="00353740"/>
    <w:rsid w:val="003541C0"/>
    <w:rsid w:val="003541D1"/>
    <w:rsid w:val="003541EB"/>
    <w:rsid w:val="0035427E"/>
    <w:rsid w:val="00354464"/>
    <w:rsid w:val="00354638"/>
    <w:rsid w:val="00354888"/>
    <w:rsid w:val="00354999"/>
    <w:rsid w:val="00354BCE"/>
    <w:rsid w:val="0035509A"/>
    <w:rsid w:val="003550A9"/>
    <w:rsid w:val="003551C2"/>
    <w:rsid w:val="0035526D"/>
    <w:rsid w:val="0035568E"/>
    <w:rsid w:val="0035586D"/>
    <w:rsid w:val="00355A4F"/>
    <w:rsid w:val="00355BB9"/>
    <w:rsid w:val="00355BF7"/>
    <w:rsid w:val="00355FB9"/>
    <w:rsid w:val="00356303"/>
    <w:rsid w:val="00356913"/>
    <w:rsid w:val="00356EDA"/>
    <w:rsid w:val="0035782F"/>
    <w:rsid w:val="003579C3"/>
    <w:rsid w:val="00357CC3"/>
    <w:rsid w:val="00357E33"/>
    <w:rsid w:val="00357E52"/>
    <w:rsid w:val="00357EB7"/>
    <w:rsid w:val="00357F9F"/>
    <w:rsid w:val="00357FF5"/>
    <w:rsid w:val="0036010C"/>
    <w:rsid w:val="003603B1"/>
    <w:rsid w:val="0036066F"/>
    <w:rsid w:val="003608B6"/>
    <w:rsid w:val="00360CBE"/>
    <w:rsid w:val="0036135B"/>
    <w:rsid w:val="003619D4"/>
    <w:rsid w:val="00361E2E"/>
    <w:rsid w:val="00361ED2"/>
    <w:rsid w:val="00361EED"/>
    <w:rsid w:val="00362243"/>
    <w:rsid w:val="003622DD"/>
    <w:rsid w:val="0036241F"/>
    <w:rsid w:val="00362ACE"/>
    <w:rsid w:val="00362B0B"/>
    <w:rsid w:val="00362E26"/>
    <w:rsid w:val="00362E6E"/>
    <w:rsid w:val="00363076"/>
    <w:rsid w:val="0036364F"/>
    <w:rsid w:val="00363751"/>
    <w:rsid w:val="0036395D"/>
    <w:rsid w:val="003641E3"/>
    <w:rsid w:val="0036454E"/>
    <w:rsid w:val="003645C9"/>
    <w:rsid w:val="0036461D"/>
    <w:rsid w:val="00364DA8"/>
    <w:rsid w:val="00364ED5"/>
    <w:rsid w:val="00365016"/>
    <w:rsid w:val="003655D2"/>
    <w:rsid w:val="00365769"/>
    <w:rsid w:val="003657BC"/>
    <w:rsid w:val="00365845"/>
    <w:rsid w:val="003658BF"/>
    <w:rsid w:val="003658FC"/>
    <w:rsid w:val="00365A6C"/>
    <w:rsid w:val="00365BF3"/>
    <w:rsid w:val="00365EF1"/>
    <w:rsid w:val="0036612C"/>
    <w:rsid w:val="00366857"/>
    <w:rsid w:val="0036688B"/>
    <w:rsid w:val="003669F1"/>
    <w:rsid w:val="00366AC0"/>
    <w:rsid w:val="00366EA1"/>
    <w:rsid w:val="00366F14"/>
    <w:rsid w:val="00367239"/>
    <w:rsid w:val="003672BA"/>
    <w:rsid w:val="003673CA"/>
    <w:rsid w:val="00367613"/>
    <w:rsid w:val="003677E7"/>
    <w:rsid w:val="00367968"/>
    <w:rsid w:val="00367BF8"/>
    <w:rsid w:val="00370265"/>
    <w:rsid w:val="00370980"/>
    <w:rsid w:val="00370A4F"/>
    <w:rsid w:val="00370D67"/>
    <w:rsid w:val="00370EAC"/>
    <w:rsid w:val="00371191"/>
    <w:rsid w:val="003713E5"/>
    <w:rsid w:val="0037165D"/>
    <w:rsid w:val="0037187E"/>
    <w:rsid w:val="00371AD5"/>
    <w:rsid w:val="00371E43"/>
    <w:rsid w:val="00372025"/>
    <w:rsid w:val="00372314"/>
    <w:rsid w:val="003728ED"/>
    <w:rsid w:val="00372973"/>
    <w:rsid w:val="00372C9E"/>
    <w:rsid w:val="00372DE5"/>
    <w:rsid w:val="00373181"/>
    <w:rsid w:val="003733F9"/>
    <w:rsid w:val="00373575"/>
    <w:rsid w:val="0037372B"/>
    <w:rsid w:val="00373AA0"/>
    <w:rsid w:val="00373C28"/>
    <w:rsid w:val="00374428"/>
    <w:rsid w:val="00374539"/>
    <w:rsid w:val="00374671"/>
    <w:rsid w:val="00374800"/>
    <w:rsid w:val="00374B12"/>
    <w:rsid w:val="00374CA3"/>
    <w:rsid w:val="00374E1C"/>
    <w:rsid w:val="00374FAE"/>
    <w:rsid w:val="0037520B"/>
    <w:rsid w:val="003753B3"/>
    <w:rsid w:val="00375C1F"/>
    <w:rsid w:val="00375CA5"/>
    <w:rsid w:val="00376207"/>
    <w:rsid w:val="0037623C"/>
    <w:rsid w:val="00376416"/>
    <w:rsid w:val="00376505"/>
    <w:rsid w:val="00376651"/>
    <w:rsid w:val="0037698C"/>
    <w:rsid w:val="00376A05"/>
    <w:rsid w:val="00376B37"/>
    <w:rsid w:val="00376CE1"/>
    <w:rsid w:val="00376D42"/>
    <w:rsid w:val="00376D6C"/>
    <w:rsid w:val="003770F6"/>
    <w:rsid w:val="00377118"/>
    <w:rsid w:val="0037756E"/>
    <w:rsid w:val="00377777"/>
    <w:rsid w:val="003779B3"/>
    <w:rsid w:val="00377D8A"/>
    <w:rsid w:val="00380369"/>
    <w:rsid w:val="0038057D"/>
    <w:rsid w:val="00380B15"/>
    <w:rsid w:val="00380D15"/>
    <w:rsid w:val="00380D1E"/>
    <w:rsid w:val="00380D6E"/>
    <w:rsid w:val="003811D7"/>
    <w:rsid w:val="00381235"/>
    <w:rsid w:val="003812FE"/>
    <w:rsid w:val="003815C7"/>
    <w:rsid w:val="00381717"/>
    <w:rsid w:val="0038183B"/>
    <w:rsid w:val="00381B14"/>
    <w:rsid w:val="00381C08"/>
    <w:rsid w:val="00381DD6"/>
    <w:rsid w:val="00381EEA"/>
    <w:rsid w:val="00381EEE"/>
    <w:rsid w:val="00382239"/>
    <w:rsid w:val="00382274"/>
    <w:rsid w:val="00382AF3"/>
    <w:rsid w:val="00382B5A"/>
    <w:rsid w:val="00382B71"/>
    <w:rsid w:val="00382B8C"/>
    <w:rsid w:val="00382C40"/>
    <w:rsid w:val="00382FE6"/>
    <w:rsid w:val="00383080"/>
    <w:rsid w:val="0038311E"/>
    <w:rsid w:val="0038359D"/>
    <w:rsid w:val="003835B4"/>
    <w:rsid w:val="0038365C"/>
    <w:rsid w:val="0038368A"/>
    <w:rsid w:val="00383801"/>
    <w:rsid w:val="003839B2"/>
    <w:rsid w:val="00383CC6"/>
    <w:rsid w:val="00383E91"/>
    <w:rsid w:val="0038405C"/>
    <w:rsid w:val="003841DF"/>
    <w:rsid w:val="0038422B"/>
    <w:rsid w:val="00384A45"/>
    <w:rsid w:val="00385094"/>
    <w:rsid w:val="00385154"/>
    <w:rsid w:val="00385391"/>
    <w:rsid w:val="003853B9"/>
    <w:rsid w:val="00385A8E"/>
    <w:rsid w:val="00386277"/>
    <w:rsid w:val="00386410"/>
    <w:rsid w:val="0038668D"/>
    <w:rsid w:val="0038668F"/>
    <w:rsid w:val="003867E6"/>
    <w:rsid w:val="00386E3B"/>
    <w:rsid w:val="00386FA4"/>
    <w:rsid w:val="00387037"/>
    <w:rsid w:val="00387092"/>
    <w:rsid w:val="0038719F"/>
    <w:rsid w:val="003871E8"/>
    <w:rsid w:val="00387204"/>
    <w:rsid w:val="00387238"/>
    <w:rsid w:val="003872A4"/>
    <w:rsid w:val="00387372"/>
    <w:rsid w:val="00387437"/>
    <w:rsid w:val="00387A1E"/>
    <w:rsid w:val="00387C03"/>
    <w:rsid w:val="00387C2F"/>
    <w:rsid w:val="003901E5"/>
    <w:rsid w:val="0039091F"/>
    <w:rsid w:val="00390A1B"/>
    <w:rsid w:val="00390D70"/>
    <w:rsid w:val="00390EAD"/>
    <w:rsid w:val="00391016"/>
    <w:rsid w:val="00391082"/>
    <w:rsid w:val="003912F6"/>
    <w:rsid w:val="0039132E"/>
    <w:rsid w:val="003914A7"/>
    <w:rsid w:val="003916AA"/>
    <w:rsid w:val="003918D1"/>
    <w:rsid w:val="003919CB"/>
    <w:rsid w:val="00391BE2"/>
    <w:rsid w:val="00391EF8"/>
    <w:rsid w:val="00392031"/>
    <w:rsid w:val="003920C6"/>
    <w:rsid w:val="003923B0"/>
    <w:rsid w:val="003924E4"/>
    <w:rsid w:val="0039299B"/>
    <w:rsid w:val="00392B10"/>
    <w:rsid w:val="00392C01"/>
    <w:rsid w:val="00393150"/>
    <w:rsid w:val="0039438D"/>
    <w:rsid w:val="00394683"/>
    <w:rsid w:val="003949BD"/>
    <w:rsid w:val="00394B19"/>
    <w:rsid w:val="00394BC2"/>
    <w:rsid w:val="00394CB0"/>
    <w:rsid w:val="00394F27"/>
    <w:rsid w:val="00395084"/>
    <w:rsid w:val="0039510E"/>
    <w:rsid w:val="0039536F"/>
    <w:rsid w:val="00395548"/>
    <w:rsid w:val="003958EE"/>
    <w:rsid w:val="003958F4"/>
    <w:rsid w:val="00395AE5"/>
    <w:rsid w:val="00395B91"/>
    <w:rsid w:val="00396134"/>
    <w:rsid w:val="003963DC"/>
    <w:rsid w:val="00396826"/>
    <w:rsid w:val="00396853"/>
    <w:rsid w:val="00396A9D"/>
    <w:rsid w:val="00396B2C"/>
    <w:rsid w:val="00397175"/>
    <w:rsid w:val="003972EF"/>
    <w:rsid w:val="00397341"/>
    <w:rsid w:val="003973E7"/>
    <w:rsid w:val="003974E0"/>
    <w:rsid w:val="0039781B"/>
    <w:rsid w:val="00397EC5"/>
    <w:rsid w:val="003A02AB"/>
    <w:rsid w:val="003A0C39"/>
    <w:rsid w:val="003A0D7C"/>
    <w:rsid w:val="003A0ECF"/>
    <w:rsid w:val="003A0FB0"/>
    <w:rsid w:val="003A104C"/>
    <w:rsid w:val="003A13E2"/>
    <w:rsid w:val="003A14A6"/>
    <w:rsid w:val="003A14B2"/>
    <w:rsid w:val="003A1E09"/>
    <w:rsid w:val="003A1F67"/>
    <w:rsid w:val="003A2053"/>
    <w:rsid w:val="003A2119"/>
    <w:rsid w:val="003A27DE"/>
    <w:rsid w:val="003A2AC7"/>
    <w:rsid w:val="003A2C12"/>
    <w:rsid w:val="003A2E3E"/>
    <w:rsid w:val="003A30FC"/>
    <w:rsid w:val="003A31D5"/>
    <w:rsid w:val="003A3283"/>
    <w:rsid w:val="003A33F1"/>
    <w:rsid w:val="003A351D"/>
    <w:rsid w:val="003A3A37"/>
    <w:rsid w:val="003A3B75"/>
    <w:rsid w:val="003A3DC5"/>
    <w:rsid w:val="003A41B8"/>
    <w:rsid w:val="003A469B"/>
    <w:rsid w:val="003A46F3"/>
    <w:rsid w:val="003A471D"/>
    <w:rsid w:val="003A4806"/>
    <w:rsid w:val="003A4A3A"/>
    <w:rsid w:val="003A4B16"/>
    <w:rsid w:val="003A4C3D"/>
    <w:rsid w:val="003A4D3B"/>
    <w:rsid w:val="003A4DB2"/>
    <w:rsid w:val="003A4E0F"/>
    <w:rsid w:val="003A4F41"/>
    <w:rsid w:val="003A5092"/>
    <w:rsid w:val="003A50AF"/>
    <w:rsid w:val="003A5288"/>
    <w:rsid w:val="003A5407"/>
    <w:rsid w:val="003A5539"/>
    <w:rsid w:val="003A55E3"/>
    <w:rsid w:val="003A56AD"/>
    <w:rsid w:val="003A5789"/>
    <w:rsid w:val="003A5FDB"/>
    <w:rsid w:val="003A645F"/>
    <w:rsid w:val="003A64E6"/>
    <w:rsid w:val="003A6859"/>
    <w:rsid w:val="003A6AC9"/>
    <w:rsid w:val="003A6D0C"/>
    <w:rsid w:val="003A6D8D"/>
    <w:rsid w:val="003A6FF2"/>
    <w:rsid w:val="003A72A5"/>
    <w:rsid w:val="003A72F7"/>
    <w:rsid w:val="003A740B"/>
    <w:rsid w:val="003A7482"/>
    <w:rsid w:val="003A76A4"/>
    <w:rsid w:val="003A7900"/>
    <w:rsid w:val="003A79F8"/>
    <w:rsid w:val="003A7AF3"/>
    <w:rsid w:val="003A7AF9"/>
    <w:rsid w:val="003A7CA4"/>
    <w:rsid w:val="003B0310"/>
    <w:rsid w:val="003B033E"/>
    <w:rsid w:val="003B0393"/>
    <w:rsid w:val="003B0424"/>
    <w:rsid w:val="003B0723"/>
    <w:rsid w:val="003B0944"/>
    <w:rsid w:val="003B106E"/>
    <w:rsid w:val="003B1101"/>
    <w:rsid w:val="003B14EF"/>
    <w:rsid w:val="003B1672"/>
    <w:rsid w:val="003B1ACB"/>
    <w:rsid w:val="003B1B41"/>
    <w:rsid w:val="003B1B98"/>
    <w:rsid w:val="003B20BD"/>
    <w:rsid w:val="003B23EF"/>
    <w:rsid w:val="003B244D"/>
    <w:rsid w:val="003B278E"/>
    <w:rsid w:val="003B279D"/>
    <w:rsid w:val="003B28AC"/>
    <w:rsid w:val="003B2E03"/>
    <w:rsid w:val="003B381B"/>
    <w:rsid w:val="003B3821"/>
    <w:rsid w:val="003B3906"/>
    <w:rsid w:val="003B393D"/>
    <w:rsid w:val="003B3966"/>
    <w:rsid w:val="003B3F4E"/>
    <w:rsid w:val="003B4269"/>
    <w:rsid w:val="003B4275"/>
    <w:rsid w:val="003B44E8"/>
    <w:rsid w:val="003B48C9"/>
    <w:rsid w:val="003B4BD4"/>
    <w:rsid w:val="003B4BE2"/>
    <w:rsid w:val="003B4E5C"/>
    <w:rsid w:val="003B5003"/>
    <w:rsid w:val="003B5100"/>
    <w:rsid w:val="003B51AE"/>
    <w:rsid w:val="003B52C9"/>
    <w:rsid w:val="003B552B"/>
    <w:rsid w:val="003B578F"/>
    <w:rsid w:val="003B5859"/>
    <w:rsid w:val="003B603D"/>
    <w:rsid w:val="003B6332"/>
    <w:rsid w:val="003B653B"/>
    <w:rsid w:val="003B66F8"/>
    <w:rsid w:val="003B6819"/>
    <w:rsid w:val="003B697A"/>
    <w:rsid w:val="003B6B27"/>
    <w:rsid w:val="003B6BB1"/>
    <w:rsid w:val="003B6DC3"/>
    <w:rsid w:val="003B6FE6"/>
    <w:rsid w:val="003B7366"/>
    <w:rsid w:val="003B744B"/>
    <w:rsid w:val="003B7483"/>
    <w:rsid w:val="003B74C5"/>
    <w:rsid w:val="003B75B0"/>
    <w:rsid w:val="003B78DC"/>
    <w:rsid w:val="003B7920"/>
    <w:rsid w:val="003B7AAC"/>
    <w:rsid w:val="003C000B"/>
    <w:rsid w:val="003C00ED"/>
    <w:rsid w:val="003C00EF"/>
    <w:rsid w:val="003C00F2"/>
    <w:rsid w:val="003C0178"/>
    <w:rsid w:val="003C04E6"/>
    <w:rsid w:val="003C05AD"/>
    <w:rsid w:val="003C067B"/>
    <w:rsid w:val="003C0736"/>
    <w:rsid w:val="003C0A11"/>
    <w:rsid w:val="003C0B7D"/>
    <w:rsid w:val="003C11EC"/>
    <w:rsid w:val="003C1568"/>
    <w:rsid w:val="003C170C"/>
    <w:rsid w:val="003C1BF1"/>
    <w:rsid w:val="003C1C78"/>
    <w:rsid w:val="003C20C5"/>
    <w:rsid w:val="003C20F3"/>
    <w:rsid w:val="003C230B"/>
    <w:rsid w:val="003C2398"/>
    <w:rsid w:val="003C24A0"/>
    <w:rsid w:val="003C27B3"/>
    <w:rsid w:val="003C29F0"/>
    <w:rsid w:val="003C2E72"/>
    <w:rsid w:val="003C30BB"/>
    <w:rsid w:val="003C31C2"/>
    <w:rsid w:val="003C3283"/>
    <w:rsid w:val="003C33EF"/>
    <w:rsid w:val="003C350D"/>
    <w:rsid w:val="003C3AA7"/>
    <w:rsid w:val="003C3BFD"/>
    <w:rsid w:val="003C3CC7"/>
    <w:rsid w:val="003C404E"/>
    <w:rsid w:val="003C4128"/>
    <w:rsid w:val="003C4188"/>
    <w:rsid w:val="003C439E"/>
    <w:rsid w:val="003C4540"/>
    <w:rsid w:val="003C46BF"/>
    <w:rsid w:val="003C47B6"/>
    <w:rsid w:val="003C47E6"/>
    <w:rsid w:val="003C4AD4"/>
    <w:rsid w:val="003C4B30"/>
    <w:rsid w:val="003C51B5"/>
    <w:rsid w:val="003C51F3"/>
    <w:rsid w:val="003C5246"/>
    <w:rsid w:val="003C55B0"/>
    <w:rsid w:val="003C5798"/>
    <w:rsid w:val="003C5A62"/>
    <w:rsid w:val="003C5A6C"/>
    <w:rsid w:val="003C5E6F"/>
    <w:rsid w:val="003C5F04"/>
    <w:rsid w:val="003C611B"/>
    <w:rsid w:val="003C6126"/>
    <w:rsid w:val="003C62AE"/>
    <w:rsid w:val="003C6678"/>
    <w:rsid w:val="003C6B6E"/>
    <w:rsid w:val="003C716C"/>
    <w:rsid w:val="003C719A"/>
    <w:rsid w:val="003C740B"/>
    <w:rsid w:val="003C785E"/>
    <w:rsid w:val="003C7867"/>
    <w:rsid w:val="003C787D"/>
    <w:rsid w:val="003C78FA"/>
    <w:rsid w:val="003C7A20"/>
    <w:rsid w:val="003C7D0C"/>
    <w:rsid w:val="003C7F05"/>
    <w:rsid w:val="003D0300"/>
    <w:rsid w:val="003D0377"/>
    <w:rsid w:val="003D0539"/>
    <w:rsid w:val="003D056D"/>
    <w:rsid w:val="003D06B1"/>
    <w:rsid w:val="003D089B"/>
    <w:rsid w:val="003D0E41"/>
    <w:rsid w:val="003D1090"/>
    <w:rsid w:val="003D11C7"/>
    <w:rsid w:val="003D12A9"/>
    <w:rsid w:val="003D1365"/>
    <w:rsid w:val="003D163A"/>
    <w:rsid w:val="003D1DD7"/>
    <w:rsid w:val="003D1E2D"/>
    <w:rsid w:val="003D234D"/>
    <w:rsid w:val="003D24D5"/>
    <w:rsid w:val="003D260A"/>
    <w:rsid w:val="003D2701"/>
    <w:rsid w:val="003D27B8"/>
    <w:rsid w:val="003D2807"/>
    <w:rsid w:val="003D2948"/>
    <w:rsid w:val="003D2C91"/>
    <w:rsid w:val="003D2D14"/>
    <w:rsid w:val="003D2F3E"/>
    <w:rsid w:val="003D32AA"/>
    <w:rsid w:val="003D3727"/>
    <w:rsid w:val="003D38D3"/>
    <w:rsid w:val="003D3B84"/>
    <w:rsid w:val="003D3D30"/>
    <w:rsid w:val="003D4182"/>
    <w:rsid w:val="003D4268"/>
    <w:rsid w:val="003D4342"/>
    <w:rsid w:val="003D44F3"/>
    <w:rsid w:val="003D4545"/>
    <w:rsid w:val="003D4788"/>
    <w:rsid w:val="003D4BD0"/>
    <w:rsid w:val="003D4D26"/>
    <w:rsid w:val="003D4E6A"/>
    <w:rsid w:val="003D522D"/>
    <w:rsid w:val="003D53FA"/>
    <w:rsid w:val="003D54AC"/>
    <w:rsid w:val="003D54AE"/>
    <w:rsid w:val="003D56CE"/>
    <w:rsid w:val="003D5815"/>
    <w:rsid w:val="003D58F5"/>
    <w:rsid w:val="003D5936"/>
    <w:rsid w:val="003D5AD8"/>
    <w:rsid w:val="003D5C2D"/>
    <w:rsid w:val="003D5FA2"/>
    <w:rsid w:val="003D6204"/>
    <w:rsid w:val="003D6303"/>
    <w:rsid w:val="003D650E"/>
    <w:rsid w:val="003D6641"/>
    <w:rsid w:val="003D671A"/>
    <w:rsid w:val="003D677E"/>
    <w:rsid w:val="003D6B96"/>
    <w:rsid w:val="003D6C02"/>
    <w:rsid w:val="003D6F3B"/>
    <w:rsid w:val="003D7318"/>
    <w:rsid w:val="003D733E"/>
    <w:rsid w:val="003D743B"/>
    <w:rsid w:val="003D77AA"/>
    <w:rsid w:val="003D78B5"/>
    <w:rsid w:val="003D7AF5"/>
    <w:rsid w:val="003D7B86"/>
    <w:rsid w:val="003D7CAA"/>
    <w:rsid w:val="003D7F1E"/>
    <w:rsid w:val="003E0233"/>
    <w:rsid w:val="003E0336"/>
    <w:rsid w:val="003E04E7"/>
    <w:rsid w:val="003E054F"/>
    <w:rsid w:val="003E0644"/>
    <w:rsid w:val="003E0692"/>
    <w:rsid w:val="003E0870"/>
    <w:rsid w:val="003E08DF"/>
    <w:rsid w:val="003E0ACD"/>
    <w:rsid w:val="003E0BD9"/>
    <w:rsid w:val="003E0D4E"/>
    <w:rsid w:val="003E11C5"/>
    <w:rsid w:val="003E1400"/>
    <w:rsid w:val="003E1858"/>
    <w:rsid w:val="003E18F2"/>
    <w:rsid w:val="003E1A28"/>
    <w:rsid w:val="003E1AE3"/>
    <w:rsid w:val="003E2190"/>
    <w:rsid w:val="003E2274"/>
    <w:rsid w:val="003E2286"/>
    <w:rsid w:val="003E2297"/>
    <w:rsid w:val="003E2851"/>
    <w:rsid w:val="003E2A22"/>
    <w:rsid w:val="003E3036"/>
    <w:rsid w:val="003E3372"/>
    <w:rsid w:val="003E3418"/>
    <w:rsid w:val="003E3488"/>
    <w:rsid w:val="003E385C"/>
    <w:rsid w:val="003E3B82"/>
    <w:rsid w:val="003E3D91"/>
    <w:rsid w:val="003E410D"/>
    <w:rsid w:val="003E424C"/>
    <w:rsid w:val="003E4270"/>
    <w:rsid w:val="003E449E"/>
    <w:rsid w:val="003E48FE"/>
    <w:rsid w:val="003E4C50"/>
    <w:rsid w:val="003E50C1"/>
    <w:rsid w:val="003E51CC"/>
    <w:rsid w:val="003E5A56"/>
    <w:rsid w:val="003E6280"/>
    <w:rsid w:val="003E6433"/>
    <w:rsid w:val="003E6917"/>
    <w:rsid w:val="003E6E25"/>
    <w:rsid w:val="003E7104"/>
    <w:rsid w:val="003E7216"/>
    <w:rsid w:val="003E746F"/>
    <w:rsid w:val="003E7773"/>
    <w:rsid w:val="003E7A8E"/>
    <w:rsid w:val="003E7B64"/>
    <w:rsid w:val="003E7CBE"/>
    <w:rsid w:val="003F00B4"/>
    <w:rsid w:val="003F0208"/>
    <w:rsid w:val="003F0376"/>
    <w:rsid w:val="003F05F2"/>
    <w:rsid w:val="003F08A1"/>
    <w:rsid w:val="003F0A06"/>
    <w:rsid w:val="003F0C9C"/>
    <w:rsid w:val="003F0F55"/>
    <w:rsid w:val="003F10DD"/>
    <w:rsid w:val="003F120D"/>
    <w:rsid w:val="003F138B"/>
    <w:rsid w:val="003F1584"/>
    <w:rsid w:val="003F16A9"/>
    <w:rsid w:val="003F1737"/>
    <w:rsid w:val="003F17F5"/>
    <w:rsid w:val="003F1967"/>
    <w:rsid w:val="003F19AF"/>
    <w:rsid w:val="003F19CF"/>
    <w:rsid w:val="003F1B46"/>
    <w:rsid w:val="003F1BA1"/>
    <w:rsid w:val="003F1D42"/>
    <w:rsid w:val="003F23FA"/>
    <w:rsid w:val="003F2463"/>
    <w:rsid w:val="003F25F7"/>
    <w:rsid w:val="003F2755"/>
    <w:rsid w:val="003F294D"/>
    <w:rsid w:val="003F2A46"/>
    <w:rsid w:val="003F2D01"/>
    <w:rsid w:val="003F2E36"/>
    <w:rsid w:val="003F2F76"/>
    <w:rsid w:val="003F32CF"/>
    <w:rsid w:val="003F373C"/>
    <w:rsid w:val="003F3827"/>
    <w:rsid w:val="003F3952"/>
    <w:rsid w:val="003F3CF2"/>
    <w:rsid w:val="003F3DCD"/>
    <w:rsid w:val="003F4146"/>
    <w:rsid w:val="003F41DE"/>
    <w:rsid w:val="003F41E8"/>
    <w:rsid w:val="003F42E1"/>
    <w:rsid w:val="003F4465"/>
    <w:rsid w:val="003F452A"/>
    <w:rsid w:val="003F4A74"/>
    <w:rsid w:val="003F4B53"/>
    <w:rsid w:val="003F4EE9"/>
    <w:rsid w:val="003F5236"/>
    <w:rsid w:val="003F5322"/>
    <w:rsid w:val="003F5500"/>
    <w:rsid w:val="003F5627"/>
    <w:rsid w:val="003F56A7"/>
    <w:rsid w:val="003F57F8"/>
    <w:rsid w:val="003F58C6"/>
    <w:rsid w:val="003F594D"/>
    <w:rsid w:val="003F5C00"/>
    <w:rsid w:val="003F5D13"/>
    <w:rsid w:val="003F5F5F"/>
    <w:rsid w:val="003F5FC8"/>
    <w:rsid w:val="003F602A"/>
    <w:rsid w:val="003F6391"/>
    <w:rsid w:val="003F67D0"/>
    <w:rsid w:val="003F687A"/>
    <w:rsid w:val="003F6914"/>
    <w:rsid w:val="003F697D"/>
    <w:rsid w:val="003F6B37"/>
    <w:rsid w:val="003F6F1D"/>
    <w:rsid w:val="003F6F86"/>
    <w:rsid w:val="003F7183"/>
    <w:rsid w:val="003F718D"/>
    <w:rsid w:val="003F73C0"/>
    <w:rsid w:val="003F746F"/>
    <w:rsid w:val="003F7637"/>
    <w:rsid w:val="003F7B3A"/>
    <w:rsid w:val="003F7BB4"/>
    <w:rsid w:val="003F7D2C"/>
    <w:rsid w:val="003F7DA7"/>
    <w:rsid w:val="00400019"/>
    <w:rsid w:val="004000B9"/>
    <w:rsid w:val="0040015A"/>
    <w:rsid w:val="00400161"/>
    <w:rsid w:val="004005D8"/>
    <w:rsid w:val="00400BAB"/>
    <w:rsid w:val="00401076"/>
    <w:rsid w:val="0040108B"/>
    <w:rsid w:val="0040166A"/>
    <w:rsid w:val="004020D2"/>
    <w:rsid w:val="004022DA"/>
    <w:rsid w:val="0040230D"/>
    <w:rsid w:val="004024F8"/>
    <w:rsid w:val="0040250E"/>
    <w:rsid w:val="00402519"/>
    <w:rsid w:val="00402817"/>
    <w:rsid w:val="00402841"/>
    <w:rsid w:val="00403121"/>
    <w:rsid w:val="004033AF"/>
    <w:rsid w:val="004035A4"/>
    <w:rsid w:val="00403973"/>
    <w:rsid w:val="00403A2D"/>
    <w:rsid w:val="00403A3E"/>
    <w:rsid w:val="00403BA9"/>
    <w:rsid w:val="00403CFE"/>
    <w:rsid w:val="00403E52"/>
    <w:rsid w:val="0040402A"/>
    <w:rsid w:val="004042EA"/>
    <w:rsid w:val="004042FA"/>
    <w:rsid w:val="004043B2"/>
    <w:rsid w:val="00404886"/>
    <w:rsid w:val="00404968"/>
    <w:rsid w:val="00404A74"/>
    <w:rsid w:val="00404B99"/>
    <w:rsid w:val="00404BCB"/>
    <w:rsid w:val="00404BD6"/>
    <w:rsid w:val="00404E2B"/>
    <w:rsid w:val="00405049"/>
    <w:rsid w:val="004052CD"/>
    <w:rsid w:val="004052F2"/>
    <w:rsid w:val="00405675"/>
    <w:rsid w:val="00405AEB"/>
    <w:rsid w:val="00405E4C"/>
    <w:rsid w:val="004060E1"/>
    <w:rsid w:val="0040622E"/>
    <w:rsid w:val="004065B3"/>
    <w:rsid w:val="004066E1"/>
    <w:rsid w:val="004069F2"/>
    <w:rsid w:val="00406C1B"/>
    <w:rsid w:val="00406E0F"/>
    <w:rsid w:val="00406FD1"/>
    <w:rsid w:val="00407594"/>
    <w:rsid w:val="0040774E"/>
    <w:rsid w:val="004078EB"/>
    <w:rsid w:val="004079A8"/>
    <w:rsid w:val="00410249"/>
    <w:rsid w:val="004104D0"/>
    <w:rsid w:val="004104E9"/>
    <w:rsid w:val="0041085C"/>
    <w:rsid w:val="004109AD"/>
    <w:rsid w:val="00410A37"/>
    <w:rsid w:val="00410D84"/>
    <w:rsid w:val="00410DEB"/>
    <w:rsid w:val="00411532"/>
    <w:rsid w:val="00411D0F"/>
    <w:rsid w:val="00411D90"/>
    <w:rsid w:val="00412052"/>
    <w:rsid w:val="00412509"/>
    <w:rsid w:val="00412710"/>
    <w:rsid w:val="00412790"/>
    <w:rsid w:val="00412B7D"/>
    <w:rsid w:val="00412FC7"/>
    <w:rsid w:val="0041304C"/>
    <w:rsid w:val="00413185"/>
    <w:rsid w:val="00413776"/>
    <w:rsid w:val="00413778"/>
    <w:rsid w:val="004138EC"/>
    <w:rsid w:val="00413ACA"/>
    <w:rsid w:val="00413B71"/>
    <w:rsid w:val="00413BE8"/>
    <w:rsid w:val="00414057"/>
    <w:rsid w:val="00414117"/>
    <w:rsid w:val="00414429"/>
    <w:rsid w:val="0041461A"/>
    <w:rsid w:val="004149C9"/>
    <w:rsid w:val="00414BA7"/>
    <w:rsid w:val="00414BF9"/>
    <w:rsid w:val="00414C01"/>
    <w:rsid w:val="00415385"/>
    <w:rsid w:val="00415415"/>
    <w:rsid w:val="00415B28"/>
    <w:rsid w:val="00415E40"/>
    <w:rsid w:val="00415EC5"/>
    <w:rsid w:val="00416091"/>
    <w:rsid w:val="00416564"/>
    <w:rsid w:val="004169C3"/>
    <w:rsid w:val="00416A69"/>
    <w:rsid w:val="00416D47"/>
    <w:rsid w:val="00417288"/>
    <w:rsid w:val="00417433"/>
    <w:rsid w:val="0041756F"/>
    <w:rsid w:val="00417899"/>
    <w:rsid w:val="00417972"/>
    <w:rsid w:val="00417A89"/>
    <w:rsid w:val="00417DF6"/>
    <w:rsid w:val="00420092"/>
    <w:rsid w:val="0042079D"/>
    <w:rsid w:val="00420C4D"/>
    <w:rsid w:val="00420C57"/>
    <w:rsid w:val="00420C90"/>
    <w:rsid w:val="00421348"/>
    <w:rsid w:val="00421407"/>
    <w:rsid w:val="004215AB"/>
    <w:rsid w:val="0042165E"/>
    <w:rsid w:val="004218F5"/>
    <w:rsid w:val="00421A7C"/>
    <w:rsid w:val="00421D39"/>
    <w:rsid w:val="0042201E"/>
    <w:rsid w:val="00422464"/>
    <w:rsid w:val="004224D9"/>
    <w:rsid w:val="004224DC"/>
    <w:rsid w:val="00422637"/>
    <w:rsid w:val="00422684"/>
    <w:rsid w:val="00422720"/>
    <w:rsid w:val="004229C8"/>
    <w:rsid w:val="00422AFF"/>
    <w:rsid w:val="004231A6"/>
    <w:rsid w:val="004235E1"/>
    <w:rsid w:val="00423626"/>
    <w:rsid w:val="004240D2"/>
    <w:rsid w:val="004243BD"/>
    <w:rsid w:val="0042473E"/>
    <w:rsid w:val="00424B6F"/>
    <w:rsid w:val="00424CA8"/>
    <w:rsid w:val="00425008"/>
    <w:rsid w:val="0042513A"/>
    <w:rsid w:val="0042516E"/>
    <w:rsid w:val="0042535B"/>
    <w:rsid w:val="00425666"/>
    <w:rsid w:val="00425A73"/>
    <w:rsid w:val="00425BFE"/>
    <w:rsid w:val="00425E03"/>
    <w:rsid w:val="00425F7D"/>
    <w:rsid w:val="004261B9"/>
    <w:rsid w:val="00426366"/>
    <w:rsid w:val="004267F5"/>
    <w:rsid w:val="004269DE"/>
    <w:rsid w:val="00426CB4"/>
    <w:rsid w:val="00426EB7"/>
    <w:rsid w:val="00426EC7"/>
    <w:rsid w:val="004272AB"/>
    <w:rsid w:val="004273B5"/>
    <w:rsid w:val="004274B5"/>
    <w:rsid w:val="004277E3"/>
    <w:rsid w:val="004278E0"/>
    <w:rsid w:val="00427A72"/>
    <w:rsid w:val="00427B2A"/>
    <w:rsid w:val="00427CFB"/>
    <w:rsid w:val="00427DE7"/>
    <w:rsid w:val="00427E60"/>
    <w:rsid w:val="0043004F"/>
    <w:rsid w:val="00430073"/>
    <w:rsid w:val="0043014F"/>
    <w:rsid w:val="004301CA"/>
    <w:rsid w:val="00430337"/>
    <w:rsid w:val="0043033B"/>
    <w:rsid w:val="0043064A"/>
    <w:rsid w:val="00430B62"/>
    <w:rsid w:val="00430BE2"/>
    <w:rsid w:val="00430E3C"/>
    <w:rsid w:val="00430EAA"/>
    <w:rsid w:val="0043109B"/>
    <w:rsid w:val="004311FA"/>
    <w:rsid w:val="004312A0"/>
    <w:rsid w:val="004313D2"/>
    <w:rsid w:val="00431503"/>
    <w:rsid w:val="0043153F"/>
    <w:rsid w:val="00431639"/>
    <w:rsid w:val="00431871"/>
    <w:rsid w:val="00431A57"/>
    <w:rsid w:val="00431CAD"/>
    <w:rsid w:val="00431E8A"/>
    <w:rsid w:val="00431EBE"/>
    <w:rsid w:val="00431FDD"/>
    <w:rsid w:val="0043222C"/>
    <w:rsid w:val="00432246"/>
    <w:rsid w:val="0043234E"/>
    <w:rsid w:val="00432427"/>
    <w:rsid w:val="0043267F"/>
    <w:rsid w:val="0043277B"/>
    <w:rsid w:val="0043279F"/>
    <w:rsid w:val="004329E5"/>
    <w:rsid w:val="00433116"/>
    <w:rsid w:val="004332EA"/>
    <w:rsid w:val="004333AD"/>
    <w:rsid w:val="004334F6"/>
    <w:rsid w:val="00433C62"/>
    <w:rsid w:val="00433EC8"/>
    <w:rsid w:val="00434028"/>
    <w:rsid w:val="00434079"/>
    <w:rsid w:val="004340E6"/>
    <w:rsid w:val="004347DF"/>
    <w:rsid w:val="00434822"/>
    <w:rsid w:val="00434835"/>
    <w:rsid w:val="004348B5"/>
    <w:rsid w:val="00434CCC"/>
    <w:rsid w:val="00434DC0"/>
    <w:rsid w:val="00434F00"/>
    <w:rsid w:val="0043512F"/>
    <w:rsid w:val="004351F7"/>
    <w:rsid w:val="0043582C"/>
    <w:rsid w:val="004358A2"/>
    <w:rsid w:val="00435C5E"/>
    <w:rsid w:val="004362FC"/>
    <w:rsid w:val="00436B44"/>
    <w:rsid w:val="00436E42"/>
    <w:rsid w:val="00437400"/>
    <w:rsid w:val="00437437"/>
    <w:rsid w:val="004374A3"/>
    <w:rsid w:val="00437881"/>
    <w:rsid w:val="004402C9"/>
    <w:rsid w:val="00440695"/>
    <w:rsid w:val="00440E2F"/>
    <w:rsid w:val="004411A3"/>
    <w:rsid w:val="0044124A"/>
    <w:rsid w:val="00441504"/>
    <w:rsid w:val="0044192B"/>
    <w:rsid w:val="004419DD"/>
    <w:rsid w:val="004420D2"/>
    <w:rsid w:val="00442209"/>
    <w:rsid w:val="004422F3"/>
    <w:rsid w:val="0044245D"/>
    <w:rsid w:val="0044254D"/>
    <w:rsid w:val="004426F2"/>
    <w:rsid w:val="00442AB5"/>
    <w:rsid w:val="00442BB9"/>
    <w:rsid w:val="00442DCC"/>
    <w:rsid w:val="00443551"/>
    <w:rsid w:val="00443705"/>
    <w:rsid w:val="004439F9"/>
    <w:rsid w:val="00443E18"/>
    <w:rsid w:val="00443F26"/>
    <w:rsid w:val="004442F1"/>
    <w:rsid w:val="004444A3"/>
    <w:rsid w:val="004447B9"/>
    <w:rsid w:val="0044492B"/>
    <w:rsid w:val="00444E58"/>
    <w:rsid w:val="00444E6B"/>
    <w:rsid w:val="0044509A"/>
    <w:rsid w:val="00445519"/>
    <w:rsid w:val="00445538"/>
    <w:rsid w:val="00445872"/>
    <w:rsid w:val="0044590B"/>
    <w:rsid w:val="00445CF8"/>
    <w:rsid w:val="0044623F"/>
    <w:rsid w:val="004463C9"/>
    <w:rsid w:val="00446421"/>
    <w:rsid w:val="0044656E"/>
    <w:rsid w:val="004466E6"/>
    <w:rsid w:val="004467E2"/>
    <w:rsid w:val="004467F0"/>
    <w:rsid w:val="00446A45"/>
    <w:rsid w:val="00446BA9"/>
    <w:rsid w:val="00446E5D"/>
    <w:rsid w:val="004471ED"/>
    <w:rsid w:val="004472DF"/>
    <w:rsid w:val="0044739F"/>
    <w:rsid w:val="0044755E"/>
    <w:rsid w:val="00447B64"/>
    <w:rsid w:val="00447CA6"/>
    <w:rsid w:val="00447DB8"/>
    <w:rsid w:val="00450253"/>
    <w:rsid w:val="00450653"/>
    <w:rsid w:val="00450816"/>
    <w:rsid w:val="00450DC6"/>
    <w:rsid w:val="00450F7B"/>
    <w:rsid w:val="00451034"/>
    <w:rsid w:val="004513B4"/>
    <w:rsid w:val="00451983"/>
    <w:rsid w:val="00451A07"/>
    <w:rsid w:val="00451A4F"/>
    <w:rsid w:val="00451B97"/>
    <w:rsid w:val="004522EE"/>
    <w:rsid w:val="004524AB"/>
    <w:rsid w:val="004529A5"/>
    <w:rsid w:val="00452D10"/>
    <w:rsid w:val="00452FED"/>
    <w:rsid w:val="0045318B"/>
    <w:rsid w:val="004531C9"/>
    <w:rsid w:val="004532C8"/>
    <w:rsid w:val="0045358A"/>
    <w:rsid w:val="004536E1"/>
    <w:rsid w:val="00453DA8"/>
    <w:rsid w:val="00453DCC"/>
    <w:rsid w:val="00454139"/>
    <w:rsid w:val="0045421E"/>
    <w:rsid w:val="00454291"/>
    <w:rsid w:val="00454293"/>
    <w:rsid w:val="0045484D"/>
    <w:rsid w:val="00454ACE"/>
    <w:rsid w:val="0045561D"/>
    <w:rsid w:val="0045571D"/>
    <w:rsid w:val="00455F46"/>
    <w:rsid w:val="00456195"/>
    <w:rsid w:val="0045635D"/>
    <w:rsid w:val="004563D5"/>
    <w:rsid w:val="00456418"/>
    <w:rsid w:val="00456668"/>
    <w:rsid w:val="00456677"/>
    <w:rsid w:val="00456679"/>
    <w:rsid w:val="00456850"/>
    <w:rsid w:val="004568E0"/>
    <w:rsid w:val="00456C25"/>
    <w:rsid w:val="00457255"/>
    <w:rsid w:val="00457983"/>
    <w:rsid w:val="00457CE6"/>
    <w:rsid w:val="00457D81"/>
    <w:rsid w:val="00457E78"/>
    <w:rsid w:val="004600B6"/>
    <w:rsid w:val="00460340"/>
    <w:rsid w:val="00460563"/>
    <w:rsid w:val="00461260"/>
    <w:rsid w:val="0046166C"/>
    <w:rsid w:val="004616FA"/>
    <w:rsid w:val="0046184A"/>
    <w:rsid w:val="0046195E"/>
    <w:rsid w:val="00461B9E"/>
    <w:rsid w:val="0046233B"/>
    <w:rsid w:val="00462467"/>
    <w:rsid w:val="00462485"/>
    <w:rsid w:val="0046255A"/>
    <w:rsid w:val="00462588"/>
    <w:rsid w:val="004625E2"/>
    <w:rsid w:val="004626DE"/>
    <w:rsid w:val="004627D1"/>
    <w:rsid w:val="00462915"/>
    <w:rsid w:val="00462C17"/>
    <w:rsid w:val="00462DA9"/>
    <w:rsid w:val="00462DAE"/>
    <w:rsid w:val="00462ECE"/>
    <w:rsid w:val="00462EFE"/>
    <w:rsid w:val="0046310C"/>
    <w:rsid w:val="004634AB"/>
    <w:rsid w:val="00463665"/>
    <w:rsid w:val="0046388D"/>
    <w:rsid w:val="00463C2F"/>
    <w:rsid w:val="00464246"/>
    <w:rsid w:val="004642D6"/>
    <w:rsid w:val="004644C7"/>
    <w:rsid w:val="00464507"/>
    <w:rsid w:val="0046478B"/>
    <w:rsid w:val="004649A1"/>
    <w:rsid w:val="00464DE1"/>
    <w:rsid w:val="00465228"/>
    <w:rsid w:val="00465344"/>
    <w:rsid w:val="00465361"/>
    <w:rsid w:val="004653D6"/>
    <w:rsid w:val="00465740"/>
    <w:rsid w:val="004659EE"/>
    <w:rsid w:val="00465BBD"/>
    <w:rsid w:val="00465DC6"/>
    <w:rsid w:val="00465E20"/>
    <w:rsid w:val="00465E76"/>
    <w:rsid w:val="00466439"/>
    <w:rsid w:val="0046645C"/>
    <w:rsid w:val="0046652F"/>
    <w:rsid w:val="0046657E"/>
    <w:rsid w:val="0046672D"/>
    <w:rsid w:val="00466823"/>
    <w:rsid w:val="004675C3"/>
    <w:rsid w:val="00467623"/>
    <w:rsid w:val="00467676"/>
    <w:rsid w:val="0046793C"/>
    <w:rsid w:val="004679CF"/>
    <w:rsid w:val="00467A32"/>
    <w:rsid w:val="00467A65"/>
    <w:rsid w:val="00467DCA"/>
    <w:rsid w:val="00467F10"/>
    <w:rsid w:val="004701BB"/>
    <w:rsid w:val="00470821"/>
    <w:rsid w:val="00470B27"/>
    <w:rsid w:val="00470C76"/>
    <w:rsid w:val="00470D43"/>
    <w:rsid w:val="00470DCC"/>
    <w:rsid w:val="004710E9"/>
    <w:rsid w:val="004714A9"/>
    <w:rsid w:val="00471568"/>
    <w:rsid w:val="00471B70"/>
    <w:rsid w:val="00471D6D"/>
    <w:rsid w:val="00471DD7"/>
    <w:rsid w:val="00472545"/>
    <w:rsid w:val="00472611"/>
    <w:rsid w:val="0047277E"/>
    <w:rsid w:val="0047278C"/>
    <w:rsid w:val="00472829"/>
    <w:rsid w:val="00472901"/>
    <w:rsid w:val="00472977"/>
    <w:rsid w:val="00472B74"/>
    <w:rsid w:val="00472D55"/>
    <w:rsid w:val="00472D5F"/>
    <w:rsid w:val="00473251"/>
    <w:rsid w:val="004733E4"/>
    <w:rsid w:val="00473462"/>
    <w:rsid w:val="0047347E"/>
    <w:rsid w:val="004739F5"/>
    <w:rsid w:val="00473A50"/>
    <w:rsid w:val="00473B3D"/>
    <w:rsid w:val="00473EE0"/>
    <w:rsid w:val="00474329"/>
    <w:rsid w:val="004743C4"/>
    <w:rsid w:val="00474451"/>
    <w:rsid w:val="00474DBE"/>
    <w:rsid w:val="00474DED"/>
    <w:rsid w:val="00474FE6"/>
    <w:rsid w:val="00475537"/>
    <w:rsid w:val="004755FB"/>
    <w:rsid w:val="00475877"/>
    <w:rsid w:val="0047587D"/>
    <w:rsid w:val="00475A0F"/>
    <w:rsid w:val="00475F7E"/>
    <w:rsid w:val="00476119"/>
    <w:rsid w:val="004761D0"/>
    <w:rsid w:val="00476634"/>
    <w:rsid w:val="004768ED"/>
    <w:rsid w:val="00476AD5"/>
    <w:rsid w:val="00476C3C"/>
    <w:rsid w:val="00476E2E"/>
    <w:rsid w:val="00476F11"/>
    <w:rsid w:val="00476F49"/>
    <w:rsid w:val="004775C1"/>
    <w:rsid w:val="00477714"/>
    <w:rsid w:val="00477805"/>
    <w:rsid w:val="00477927"/>
    <w:rsid w:val="00477960"/>
    <w:rsid w:val="00477BD3"/>
    <w:rsid w:val="00477C11"/>
    <w:rsid w:val="00477EC6"/>
    <w:rsid w:val="00480337"/>
    <w:rsid w:val="004807E5"/>
    <w:rsid w:val="00480BD1"/>
    <w:rsid w:val="00481185"/>
    <w:rsid w:val="00481780"/>
    <w:rsid w:val="004817A6"/>
    <w:rsid w:val="00481978"/>
    <w:rsid w:val="00481B79"/>
    <w:rsid w:val="004821C3"/>
    <w:rsid w:val="00482431"/>
    <w:rsid w:val="00482704"/>
    <w:rsid w:val="0048272D"/>
    <w:rsid w:val="00482943"/>
    <w:rsid w:val="004829EE"/>
    <w:rsid w:val="00482B59"/>
    <w:rsid w:val="00482BF5"/>
    <w:rsid w:val="00483141"/>
    <w:rsid w:val="004831A7"/>
    <w:rsid w:val="004831BA"/>
    <w:rsid w:val="0048345A"/>
    <w:rsid w:val="004834BD"/>
    <w:rsid w:val="004838C8"/>
    <w:rsid w:val="0048396F"/>
    <w:rsid w:val="00483C16"/>
    <w:rsid w:val="00483C2A"/>
    <w:rsid w:val="00483D79"/>
    <w:rsid w:val="00483DD0"/>
    <w:rsid w:val="00484098"/>
    <w:rsid w:val="00484629"/>
    <w:rsid w:val="004846FC"/>
    <w:rsid w:val="00484756"/>
    <w:rsid w:val="00484F75"/>
    <w:rsid w:val="00484FF0"/>
    <w:rsid w:val="0048512F"/>
    <w:rsid w:val="004852E8"/>
    <w:rsid w:val="004857D3"/>
    <w:rsid w:val="0048580F"/>
    <w:rsid w:val="00485CA8"/>
    <w:rsid w:val="00485CEF"/>
    <w:rsid w:val="00485DB4"/>
    <w:rsid w:val="00485E9D"/>
    <w:rsid w:val="00485F5D"/>
    <w:rsid w:val="00486228"/>
    <w:rsid w:val="0048684D"/>
    <w:rsid w:val="00486990"/>
    <w:rsid w:val="00486A2A"/>
    <w:rsid w:val="004871DE"/>
    <w:rsid w:val="004875D6"/>
    <w:rsid w:val="0048792B"/>
    <w:rsid w:val="00487D60"/>
    <w:rsid w:val="00487FED"/>
    <w:rsid w:val="004903B4"/>
    <w:rsid w:val="004906B8"/>
    <w:rsid w:val="00490932"/>
    <w:rsid w:val="004909C3"/>
    <w:rsid w:val="00491344"/>
    <w:rsid w:val="00491579"/>
    <w:rsid w:val="00491713"/>
    <w:rsid w:val="004917CC"/>
    <w:rsid w:val="00491906"/>
    <w:rsid w:val="00491B45"/>
    <w:rsid w:val="00491C30"/>
    <w:rsid w:val="00491DED"/>
    <w:rsid w:val="00491F4A"/>
    <w:rsid w:val="004922FB"/>
    <w:rsid w:val="00492330"/>
    <w:rsid w:val="004923A2"/>
    <w:rsid w:val="0049250C"/>
    <w:rsid w:val="00492825"/>
    <w:rsid w:val="00492965"/>
    <w:rsid w:val="00492A16"/>
    <w:rsid w:val="00492B19"/>
    <w:rsid w:val="00492B5E"/>
    <w:rsid w:val="00493281"/>
    <w:rsid w:val="00493697"/>
    <w:rsid w:val="00493830"/>
    <w:rsid w:val="00493DFA"/>
    <w:rsid w:val="00493F2E"/>
    <w:rsid w:val="004943D2"/>
    <w:rsid w:val="00494569"/>
    <w:rsid w:val="0049498A"/>
    <w:rsid w:val="00494A44"/>
    <w:rsid w:val="004954AF"/>
    <w:rsid w:val="004959AF"/>
    <w:rsid w:val="00495A82"/>
    <w:rsid w:val="00495B7F"/>
    <w:rsid w:val="004963B9"/>
    <w:rsid w:val="004966F9"/>
    <w:rsid w:val="00496A01"/>
    <w:rsid w:val="00496D02"/>
    <w:rsid w:val="0049718D"/>
    <w:rsid w:val="00497858"/>
    <w:rsid w:val="00497F01"/>
    <w:rsid w:val="004A0AFB"/>
    <w:rsid w:val="004A12FA"/>
    <w:rsid w:val="004A14D6"/>
    <w:rsid w:val="004A1874"/>
    <w:rsid w:val="004A1A09"/>
    <w:rsid w:val="004A1C65"/>
    <w:rsid w:val="004A1DE1"/>
    <w:rsid w:val="004A1F4A"/>
    <w:rsid w:val="004A2288"/>
    <w:rsid w:val="004A233D"/>
    <w:rsid w:val="004A2412"/>
    <w:rsid w:val="004A2475"/>
    <w:rsid w:val="004A321C"/>
    <w:rsid w:val="004A3285"/>
    <w:rsid w:val="004A3597"/>
    <w:rsid w:val="004A3676"/>
    <w:rsid w:val="004A376E"/>
    <w:rsid w:val="004A3ECB"/>
    <w:rsid w:val="004A43B4"/>
    <w:rsid w:val="004A43E2"/>
    <w:rsid w:val="004A46BB"/>
    <w:rsid w:val="004A46FB"/>
    <w:rsid w:val="004A4AA5"/>
    <w:rsid w:val="004A4C50"/>
    <w:rsid w:val="004A512F"/>
    <w:rsid w:val="004A530B"/>
    <w:rsid w:val="004A53BF"/>
    <w:rsid w:val="004A558F"/>
    <w:rsid w:val="004A5599"/>
    <w:rsid w:val="004A628A"/>
    <w:rsid w:val="004A6A80"/>
    <w:rsid w:val="004A6B20"/>
    <w:rsid w:val="004A6B52"/>
    <w:rsid w:val="004A6CEE"/>
    <w:rsid w:val="004A6E14"/>
    <w:rsid w:val="004A719E"/>
    <w:rsid w:val="004A745B"/>
    <w:rsid w:val="004A74F7"/>
    <w:rsid w:val="004A754D"/>
    <w:rsid w:val="004A76C9"/>
    <w:rsid w:val="004A778B"/>
    <w:rsid w:val="004A77C8"/>
    <w:rsid w:val="004A77D0"/>
    <w:rsid w:val="004A7824"/>
    <w:rsid w:val="004A7826"/>
    <w:rsid w:val="004A7846"/>
    <w:rsid w:val="004A79F6"/>
    <w:rsid w:val="004A7AA5"/>
    <w:rsid w:val="004A7C91"/>
    <w:rsid w:val="004A7F48"/>
    <w:rsid w:val="004A7F4A"/>
    <w:rsid w:val="004B00A8"/>
    <w:rsid w:val="004B011A"/>
    <w:rsid w:val="004B02EE"/>
    <w:rsid w:val="004B0457"/>
    <w:rsid w:val="004B092A"/>
    <w:rsid w:val="004B09B6"/>
    <w:rsid w:val="004B0BCD"/>
    <w:rsid w:val="004B0D21"/>
    <w:rsid w:val="004B11CE"/>
    <w:rsid w:val="004B15A3"/>
    <w:rsid w:val="004B1866"/>
    <w:rsid w:val="004B18DD"/>
    <w:rsid w:val="004B1AEA"/>
    <w:rsid w:val="004B1BB5"/>
    <w:rsid w:val="004B1D07"/>
    <w:rsid w:val="004B1D2B"/>
    <w:rsid w:val="004B1D50"/>
    <w:rsid w:val="004B1D76"/>
    <w:rsid w:val="004B1DEB"/>
    <w:rsid w:val="004B1FDF"/>
    <w:rsid w:val="004B1FED"/>
    <w:rsid w:val="004B208F"/>
    <w:rsid w:val="004B2090"/>
    <w:rsid w:val="004B24CA"/>
    <w:rsid w:val="004B251A"/>
    <w:rsid w:val="004B2578"/>
    <w:rsid w:val="004B3456"/>
    <w:rsid w:val="004B347A"/>
    <w:rsid w:val="004B38A0"/>
    <w:rsid w:val="004B3FAD"/>
    <w:rsid w:val="004B400D"/>
    <w:rsid w:val="004B40AD"/>
    <w:rsid w:val="004B4137"/>
    <w:rsid w:val="004B4262"/>
    <w:rsid w:val="004B4335"/>
    <w:rsid w:val="004B4590"/>
    <w:rsid w:val="004B4699"/>
    <w:rsid w:val="004B4961"/>
    <w:rsid w:val="004B5391"/>
    <w:rsid w:val="004B541E"/>
    <w:rsid w:val="004B55F8"/>
    <w:rsid w:val="004B56D1"/>
    <w:rsid w:val="004B59BD"/>
    <w:rsid w:val="004B5CEA"/>
    <w:rsid w:val="004B5F01"/>
    <w:rsid w:val="004B5F72"/>
    <w:rsid w:val="004B618F"/>
    <w:rsid w:val="004B64F0"/>
    <w:rsid w:val="004B65B1"/>
    <w:rsid w:val="004B6655"/>
    <w:rsid w:val="004B66D0"/>
    <w:rsid w:val="004B67D6"/>
    <w:rsid w:val="004B7141"/>
    <w:rsid w:val="004B7225"/>
    <w:rsid w:val="004B7271"/>
    <w:rsid w:val="004B73B5"/>
    <w:rsid w:val="004B7478"/>
    <w:rsid w:val="004B74BF"/>
    <w:rsid w:val="004B7587"/>
    <w:rsid w:val="004B7828"/>
    <w:rsid w:val="004B7D46"/>
    <w:rsid w:val="004B7D9E"/>
    <w:rsid w:val="004B7FEF"/>
    <w:rsid w:val="004C0013"/>
    <w:rsid w:val="004C06FA"/>
    <w:rsid w:val="004C07FA"/>
    <w:rsid w:val="004C0B26"/>
    <w:rsid w:val="004C0BB6"/>
    <w:rsid w:val="004C0BBD"/>
    <w:rsid w:val="004C0D07"/>
    <w:rsid w:val="004C0EEF"/>
    <w:rsid w:val="004C1684"/>
    <w:rsid w:val="004C196C"/>
    <w:rsid w:val="004C1A82"/>
    <w:rsid w:val="004C1B66"/>
    <w:rsid w:val="004C1BC6"/>
    <w:rsid w:val="004C1C73"/>
    <w:rsid w:val="004C1F29"/>
    <w:rsid w:val="004C2626"/>
    <w:rsid w:val="004C2B3A"/>
    <w:rsid w:val="004C2CC4"/>
    <w:rsid w:val="004C321B"/>
    <w:rsid w:val="004C32AF"/>
    <w:rsid w:val="004C34A0"/>
    <w:rsid w:val="004C357C"/>
    <w:rsid w:val="004C37EC"/>
    <w:rsid w:val="004C3A58"/>
    <w:rsid w:val="004C3ADB"/>
    <w:rsid w:val="004C3B05"/>
    <w:rsid w:val="004C3BE7"/>
    <w:rsid w:val="004C3BE8"/>
    <w:rsid w:val="004C3D6F"/>
    <w:rsid w:val="004C3DB5"/>
    <w:rsid w:val="004C3DC0"/>
    <w:rsid w:val="004C4368"/>
    <w:rsid w:val="004C4636"/>
    <w:rsid w:val="004C4744"/>
    <w:rsid w:val="004C4845"/>
    <w:rsid w:val="004C48F0"/>
    <w:rsid w:val="004C4D30"/>
    <w:rsid w:val="004C4D72"/>
    <w:rsid w:val="004C4DE3"/>
    <w:rsid w:val="004C4FA5"/>
    <w:rsid w:val="004C51E7"/>
    <w:rsid w:val="004C51F1"/>
    <w:rsid w:val="004C54F4"/>
    <w:rsid w:val="004C5582"/>
    <w:rsid w:val="004C583E"/>
    <w:rsid w:val="004C5903"/>
    <w:rsid w:val="004C5928"/>
    <w:rsid w:val="004C5AFF"/>
    <w:rsid w:val="004C5E75"/>
    <w:rsid w:val="004C6098"/>
    <w:rsid w:val="004C6228"/>
    <w:rsid w:val="004C64F7"/>
    <w:rsid w:val="004C669F"/>
    <w:rsid w:val="004C691D"/>
    <w:rsid w:val="004C6A28"/>
    <w:rsid w:val="004C6C79"/>
    <w:rsid w:val="004C6CC9"/>
    <w:rsid w:val="004C6D16"/>
    <w:rsid w:val="004C71D9"/>
    <w:rsid w:val="004C75C0"/>
    <w:rsid w:val="004C76A3"/>
    <w:rsid w:val="004C76A8"/>
    <w:rsid w:val="004C771D"/>
    <w:rsid w:val="004C788C"/>
    <w:rsid w:val="004C7A21"/>
    <w:rsid w:val="004C7A69"/>
    <w:rsid w:val="004C7CDD"/>
    <w:rsid w:val="004C7E31"/>
    <w:rsid w:val="004D0329"/>
    <w:rsid w:val="004D04B6"/>
    <w:rsid w:val="004D0570"/>
    <w:rsid w:val="004D0ACB"/>
    <w:rsid w:val="004D0F95"/>
    <w:rsid w:val="004D1009"/>
    <w:rsid w:val="004D104E"/>
    <w:rsid w:val="004D12C3"/>
    <w:rsid w:val="004D13DC"/>
    <w:rsid w:val="004D16FF"/>
    <w:rsid w:val="004D176B"/>
    <w:rsid w:val="004D1B32"/>
    <w:rsid w:val="004D1C46"/>
    <w:rsid w:val="004D204A"/>
    <w:rsid w:val="004D2081"/>
    <w:rsid w:val="004D21B8"/>
    <w:rsid w:val="004D21ED"/>
    <w:rsid w:val="004D2324"/>
    <w:rsid w:val="004D2476"/>
    <w:rsid w:val="004D2A18"/>
    <w:rsid w:val="004D2AE1"/>
    <w:rsid w:val="004D2D07"/>
    <w:rsid w:val="004D2F15"/>
    <w:rsid w:val="004D2F7D"/>
    <w:rsid w:val="004D30AD"/>
    <w:rsid w:val="004D3103"/>
    <w:rsid w:val="004D317D"/>
    <w:rsid w:val="004D329A"/>
    <w:rsid w:val="004D369E"/>
    <w:rsid w:val="004D37DF"/>
    <w:rsid w:val="004D3827"/>
    <w:rsid w:val="004D3868"/>
    <w:rsid w:val="004D3991"/>
    <w:rsid w:val="004D3B0A"/>
    <w:rsid w:val="004D3B36"/>
    <w:rsid w:val="004D3FC4"/>
    <w:rsid w:val="004D3FF8"/>
    <w:rsid w:val="004D4531"/>
    <w:rsid w:val="004D4B14"/>
    <w:rsid w:val="004D4CAE"/>
    <w:rsid w:val="004D5126"/>
    <w:rsid w:val="004D533C"/>
    <w:rsid w:val="004D5B20"/>
    <w:rsid w:val="004D5D91"/>
    <w:rsid w:val="004D6052"/>
    <w:rsid w:val="004D61D3"/>
    <w:rsid w:val="004D6459"/>
    <w:rsid w:val="004D6650"/>
    <w:rsid w:val="004D666A"/>
    <w:rsid w:val="004D67EE"/>
    <w:rsid w:val="004D6E2D"/>
    <w:rsid w:val="004D6E98"/>
    <w:rsid w:val="004D6F54"/>
    <w:rsid w:val="004D70AA"/>
    <w:rsid w:val="004D70E5"/>
    <w:rsid w:val="004D7181"/>
    <w:rsid w:val="004D735C"/>
    <w:rsid w:val="004D7383"/>
    <w:rsid w:val="004D740F"/>
    <w:rsid w:val="004D7464"/>
    <w:rsid w:val="004D7490"/>
    <w:rsid w:val="004D7910"/>
    <w:rsid w:val="004D7B4C"/>
    <w:rsid w:val="004D7C47"/>
    <w:rsid w:val="004E022B"/>
    <w:rsid w:val="004E02C2"/>
    <w:rsid w:val="004E0679"/>
    <w:rsid w:val="004E0979"/>
    <w:rsid w:val="004E0A2C"/>
    <w:rsid w:val="004E0B77"/>
    <w:rsid w:val="004E0F84"/>
    <w:rsid w:val="004E0FAB"/>
    <w:rsid w:val="004E1535"/>
    <w:rsid w:val="004E166E"/>
    <w:rsid w:val="004E180E"/>
    <w:rsid w:val="004E1AC2"/>
    <w:rsid w:val="004E1D64"/>
    <w:rsid w:val="004E1E70"/>
    <w:rsid w:val="004E2108"/>
    <w:rsid w:val="004E239F"/>
    <w:rsid w:val="004E23DF"/>
    <w:rsid w:val="004E296A"/>
    <w:rsid w:val="004E2A2E"/>
    <w:rsid w:val="004E2ACC"/>
    <w:rsid w:val="004E2B14"/>
    <w:rsid w:val="004E305D"/>
    <w:rsid w:val="004E3311"/>
    <w:rsid w:val="004E3968"/>
    <w:rsid w:val="004E3A40"/>
    <w:rsid w:val="004E3B45"/>
    <w:rsid w:val="004E3C23"/>
    <w:rsid w:val="004E3CFF"/>
    <w:rsid w:val="004E3D9B"/>
    <w:rsid w:val="004E3FD5"/>
    <w:rsid w:val="004E4115"/>
    <w:rsid w:val="004E42C3"/>
    <w:rsid w:val="004E4404"/>
    <w:rsid w:val="004E441B"/>
    <w:rsid w:val="004E4439"/>
    <w:rsid w:val="004E4575"/>
    <w:rsid w:val="004E4612"/>
    <w:rsid w:val="004E4A45"/>
    <w:rsid w:val="004E4D6F"/>
    <w:rsid w:val="004E4ED9"/>
    <w:rsid w:val="004E4EF2"/>
    <w:rsid w:val="004E4FD9"/>
    <w:rsid w:val="004E537D"/>
    <w:rsid w:val="004E541C"/>
    <w:rsid w:val="004E5502"/>
    <w:rsid w:val="004E5635"/>
    <w:rsid w:val="004E5676"/>
    <w:rsid w:val="004E56AF"/>
    <w:rsid w:val="004E5850"/>
    <w:rsid w:val="004E5909"/>
    <w:rsid w:val="004E5954"/>
    <w:rsid w:val="004E5985"/>
    <w:rsid w:val="004E5ADF"/>
    <w:rsid w:val="004E5C30"/>
    <w:rsid w:val="004E5D0F"/>
    <w:rsid w:val="004E650A"/>
    <w:rsid w:val="004E6701"/>
    <w:rsid w:val="004E722A"/>
    <w:rsid w:val="004E72E6"/>
    <w:rsid w:val="004E74A4"/>
    <w:rsid w:val="004E755A"/>
    <w:rsid w:val="004E75FB"/>
    <w:rsid w:val="004E777C"/>
    <w:rsid w:val="004E7819"/>
    <w:rsid w:val="004E7B04"/>
    <w:rsid w:val="004E7E73"/>
    <w:rsid w:val="004E7FAD"/>
    <w:rsid w:val="004F0271"/>
    <w:rsid w:val="004F0354"/>
    <w:rsid w:val="004F0588"/>
    <w:rsid w:val="004F08EB"/>
    <w:rsid w:val="004F0CB6"/>
    <w:rsid w:val="004F0FE8"/>
    <w:rsid w:val="004F11CB"/>
    <w:rsid w:val="004F1223"/>
    <w:rsid w:val="004F12DD"/>
    <w:rsid w:val="004F1495"/>
    <w:rsid w:val="004F14B9"/>
    <w:rsid w:val="004F18CD"/>
    <w:rsid w:val="004F194A"/>
    <w:rsid w:val="004F1B5C"/>
    <w:rsid w:val="004F209B"/>
    <w:rsid w:val="004F20C4"/>
    <w:rsid w:val="004F217F"/>
    <w:rsid w:val="004F21CB"/>
    <w:rsid w:val="004F248F"/>
    <w:rsid w:val="004F250E"/>
    <w:rsid w:val="004F2764"/>
    <w:rsid w:val="004F2CDF"/>
    <w:rsid w:val="004F2CE8"/>
    <w:rsid w:val="004F3114"/>
    <w:rsid w:val="004F360A"/>
    <w:rsid w:val="004F3641"/>
    <w:rsid w:val="004F430F"/>
    <w:rsid w:val="004F45D6"/>
    <w:rsid w:val="004F4AEF"/>
    <w:rsid w:val="004F4C65"/>
    <w:rsid w:val="004F4D44"/>
    <w:rsid w:val="004F4F93"/>
    <w:rsid w:val="004F5086"/>
    <w:rsid w:val="004F50F1"/>
    <w:rsid w:val="004F5530"/>
    <w:rsid w:val="004F569D"/>
    <w:rsid w:val="004F56AD"/>
    <w:rsid w:val="004F58E8"/>
    <w:rsid w:val="004F5E1C"/>
    <w:rsid w:val="004F5F9F"/>
    <w:rsid w:val="004F6880"/>
    <w:rsid w:val="004F6978"/>
    <w:rsid w:val="004F6EC3"/>
    <w:rsid w:val="004F74A1"/>
    <w:rsid w:val="004F74DF"/>
    <w:rsid w:val="004F7885"/>
    <w:rsid w:val="004F7BB2"/>
    <w:rsid w:val="004F7CE7"/>
    <w:rsid w:val="004F7D92"/>
    <w:rsid w:val="005001E1"/>
    <w:rsid w:val="0050032F"/>
    <w:rsid w:val="00500994"/>
    <w:rsid w:val="00500A4A"/>
    <w:rsid w:val="00500A51"/>
    <w:rsid w:val="00500EC6"/>
    <w:rsid w:val="0050116E"/>
    <w:rsid w:val="0050127F"/>
    <w:rsid w:val="0050144D"/>
    <w:rsid w:val="005017E9"/>
    <w:rsid w:val="0050185F"/>
    <w:rsid w:val="00501C9C"/>
    <w:rsid w:val="00501CA2"/>
    <w:rsid w:val="00502007"/>
    <w:rsid w:val="00502071"/>
    <w:rsid w:val="005021B9"/>
    <w:rsid w:val="0050232B"/>
    <w:rsid w:val="00502887"/>
    <w:rsid w:val="00502F70"/>
    <w:rsid w:val="00502FE2"/>
    <w:rsid w:val="005034A9"/>
    <w:rsid w:val="0050373C"/>
    <w:rsid w:val="00503D94"/>
    <w:rsid w:val="00503DC7"/>
    <w:rsid w:val="00503EFE"/>
    <w:rsid w:val="00504040"/>
    <w:rsid w:val="00504151"/>
    <w:rsid w:val="005041A1"/>
    <w:rsid w:val="0050436C"/>
    <w:rsid w:val="00504741"/>
    <w:rsid w:val="005047FC"/>
    <w:rsid w:val="005048B0"/>
    <w:rsid w:val="005049C6"/>
    <w:rsid w:val="005051D2"/>
    <w:rsid w:val="005051EA"/>
    <w:rsid w:val="0050521F"/>
    <w:rsid w:val="005054CB"/>
    <w:rsid w:val="005058D6"/>
    <w:rsid w:val="00505978"/>
    <w:rsid w:val="00505B06"/>
    <w:rsid w:val="00505DD4"/>
    <w:rsid w:val="00505EDF"/>
    <w:rsid w:val="00505FCE"/>
    <w:rsid w:val="005063F1"/>
    <w:rsid w:val="00506660"/>
    <w:rsid w:val="00506950"/>
    <w:rsid w:val="00506DC4"/>
    <w:rsid w:val="0050710B"/>
    <w:rsid w:val="0050727D"/>
    <w:rsid w:val="00507562"/>
    <w:rsid w:val="00507AFB"/>
    <w:rsid w:val="00507B5A"/>
    <w:rsid w:val="00507B93"/>
    <w:rsid w:val="00507BAC"/>
    <w:rsid w:val="00507F85"/>
    <w:rsid w:val="0051004F"/>
    <w:rsid w:val="00510275"/>
    <w:rsid w:val="00510476"/>
    <w:rsid w:val="005104B0"/>
    <w:rsid w:val="00510590"/>
    <w:rsid w:val="0051063F"/>
    <w:rsid w:val="00510738"/>
    <w:rsid w:val="00510D3A"/>
    <w:rsid w:val="00510DBC"/>
    <w:rsid w:val="00510E95"/>
    <w:rsid w:val="0051134B"/>
    <w:rsid w:val="005113AD"/>
    <w:rsid w:val="005113DD"/>
    <w:rsid w:val="0051147C"/>
    <w:rsid w:val="0051148F"/>
    <w:rsid w:val="0051166B"/>
    <w:rsid w:val="00511733"/>
    <w:rsid w:val="005117F7"/>
    <w:rsid w:val="00511820"/>
    <w:rsid w:val="00512084"/>
    <w:rsid w:val="0051222C"/>
    <w:rsid w:val="00512360"/>
    <w:rsid w:val="0051237D"/>
    <w:rsid w:val="0051238F"/>
    <w:rsid w:val="00512693"/>
    <w:rsid w:val="005127CD"/>
    <w:rsid w:val="00512884"/>
    <w:rsid w:val="005128A0"/>
    <w:rsid w:val="00512FF8"/>
    <w:rsid w:val="005130A5"/>
    <w:rsid w:val="005133A9"/>
    <w:rsid w:val="0051346F"/>
    <w:rsid w:val="00513682"/>
    <w:rsid w:val="00513AA4"/>
    <w:rsid w:val="00513AF5"/>
    <w:rsid w:val="00513C1B"/>
    <w:rsid w:val="00513C3E"/>
    <w:rsid w:val="00513C7F"/>
    <w:rsid w:val="005141AA"/>
    <w:rsid w:val="00514359"/>
    <w:rsid w:val="005144DA"/>
    <w:rsid w:val="005148BC"/>
    <w:rsid w:val="00514B55"/>
    <w:rsid w:val="00514E24"/>
    <w:rsid w:val="00514EE8"/>
    <w:rsid w:val="0051500E"/>
    <w:rsid w:val="0051554C"/>
    <w:rsid w:val="00515623"/>
    <w:rsid w:val="005156AD"/>
    <w:rsid w:val="00515AB3"/>
    <w:rsid w:val="00515AD8"/>
    <w:rsid w:val="00515BAF"/>
    <w:rsid w:val="00515ED6"/>
    <w:rsid w:val="00516546"/>
    <w:rsid w:val="00516553"/>
    <w:rsid w:val="00516695"/>
    <w:rsid w:val="005168DF"/>
    <w:rsid w:val="00516A4D"/>
    <w:rsid w:val="00516C93"/>
    <w:rsid w:val="00516EB2"/>
    <w:rsid w:val="00516EF3"/>
    <w:rsid w:val="00517372"/>
    <w:rsid w:val="0051793A"/>
    <w:rsid w:val="00517E95"/>
    <w:rsid w:val="00517EE4"/>
    <w:rsid w:val="00517F34"/>
    <w:rsid w:val="00520416"/>
    <w:rsid w:val="005204BD"/>
    <w:rsid w:val="00520A9D"/>
    <w:rsid w:val="00520D05"/>
    <w:rsid w:val="00520D3C"/>
    <w:rsid w:val="005211C2"/>
    <w:rsid w:val="0052128B"/>
    <w:rsid w:val="005213A7"/>
    <w:rsid w:val="00521445"/>
    <w:rsid w:val="00521505"/>
    <w:rsid w:val="005216A8"/>
    <w:rsid w:val="0052178C"/>
    <w:rsid w:val="00521922"/>
    <w:rsid w:val="00521FCB"/>
    <w:rsid w:val="00522142"/>
    <w:rsid w:val="0052239E"/>
    <w:rsid w:val="005223DC"/>
    <w:rsid w:val="00522AB9"/>
    <w:rsid w:val="00522BE6"/>
    <w:rsid w:val="00522E3C"/>
    <w:rsid w:val="005231CB"/>
    <w:rsid w:val="00523276"/>
    <w:rsid w:val="005233A5"/>
    <w:rsid w:val="00523758"/>
    <w:rsid w:val="00523797"/>
    <w:rsid w:val="005237DA"/>
    <w:rsid w:val="0052389F"/>
    <w:rsid w:val="005238FA"/>
    <w:rsid w:val="00523927"/>
    <w:rsid w:val="00523941"/>
    <w:rsid w:val="00523E09"/>
    <w:rsid w:val="00523E5A"/>
    <w:rsid w:val="00524011"/>
    <w:rsid w:val="00524217"/>
    <w:rsid w:val="00524366"/>
    <w:rsid w:val="00524496"/>
    <w:rsid w:val="0052465D"/>
    <w:rsid w:val="005247B5"/>
    <w:rsid w:val="00524B99"/>
    <w:rsid w:val="00524BA5"/>
    <w:rsid w:val="00525098"/>
    <w:rsid w:val="00525170"/>
    <w:rsid w:val="00525411"/>
    <w:rsid w:val="00525580"/>
    <w:rsid w:val="00525653"/>
    <w:rsid w:val="00525942"/>
    <w:rsid w:val="00525A01"/>
    <w:rsid w:val="00525B30"/>
    <w:rsid w:val="0052606B"/>
    <w:rsid w:val="00526249"/>
    <w:rsid w:val="00526457"/>
    <w:rsid w:val="0052648A"/>
    <w:rsid w:val="00526BA5"/>
    <w:rsid w:val="00526C99"/>
    <w:rsid w:val="00527082"/>
    <w:rsid w:val="00527132"/>
    <w:rsid w:val="005276A6"/>
    <w:rsid w:val="00527924"/>
    <w:rsid w:val="00527959"/>
    <w:rsid w:val="00527A0D"/>
    <w:rsid w:val="00527BB3"/>
    <w:rsid w:val="00530094"/>
    <w:rsid w:val="0053014B"/>
    <w:rsid w:val="005305BB"/>
    <w:rsid w:val="0053076D"/>
    <w:rsid w:val="005308A5"/>
    <w:rsid w:val="005309C6"/>
    <w:rsid w:val="00530E71"/>
    <w:rsid w:val="00531077"/>
    <w:rsid w:val="00531122"/>
    <w:rsid w:val="005312FD"/>
    <w:rsid w:val="0053142A"/>
    <w:rsid w:val="00531A9C"/>
    <w:rsid w:val="00531D19"/>
    <w:rsid w:val="00531D33"/>
    <w:rsid w:val="00531E45"/>
    <w:rsid w:val="00531E7A"/>
    <w:rsid w:val="005320A2"/>
    <w:rsid w:val="005322C3"/>
    <w:rsid w:val="00532619"/>
    <w:rsid w:val="005329D1"/>
    <w:rsid w:val="00532A08"/>
    <w:rsid w:val="00532A0D"/>
    <w:rsid w:val="00532B95"/>
    <w:rsid w:val="00533088"/>
    <w:rsid w:val="00533300"/>
    <w:rsid w:val="005334F4"/>
    <w:rsid w:val="0053365B"/>
    <w:rsid w:val="005337AC"/>
    <w:rsid w:val="00533808"/>
    <w:rsid w:val="00533947"/>
    <w:rsid w:val="00533EAD"/>
    <w:rsid w:val="0053425A"/>
    <w:rsid w:val="00534394"/>
    <w:rsid w:val="00534709"/>
    <w:rsid w:val="00534880"/>
    <w:rsid w:val="00534C2D"/>
    <w:rsid w:val="00534CC4"/>
    <w:rsid w:val="00534F9F"/>
    <w:rsid w:val="005351EE"/>
    <w:rsid w:val="005353D7"/>
    <w:rsid w:val="0053546D"/>
    <w:rsid w:val="00535BD0"/>
    <w:rsid w:val="00535C5C"/>
    <w:rsid w:val="0053626A"/>
    <w:rsid w:val="0053636C"/>
    <w:rsid w:val="005363CD"/>
    <w:rsid w:val="005365CD"/>
    <w:rsid w:val="005368F5"/>
    <w:rsid w:val="00536AAE"/>
    <w:rsid w:val="00536D03"/>
    <w:rsid w:val="00536D8D"/>
    <w:rsid w:val="005376C6"/>
    <w:rsid w:val="00537830"/>
    <w:rsid w:val="00537899"/>
    <w:rsid w:val="00537DC5"/>
    <w:rsid w:val="00537DEE"/>
    <w:rsid w:val="00540170"/>
    <w:rsid w:val="005403A8"/>
    <w:rsid w:val="0054069E"/>
    <w:rsid w:val="00540757"/>
    <w:rsid w:val="005407ED"/>
    <w:rsid w:val="0054083C"/>
    <w:rsid w:val="00541507"/>
    <w:rsid w:val="0054176C"/>
    <w:rsid w:val="00541AF4"/>
    <w:rsid w:val="00541B7B"/>
    <w:rsid w:val="00541BB6"/>
    <w:rsid w:val="00541EF7"/>
    <w:rsid w:val="005421F6"/>
    <w:rsid w:val="00542243"/>
    <w:rsid w:val="00542386"/>
    <w:rsid w:val="0054244B"/>
    <w:rsid w:val="00542458"/>
    <w:rsid w:val="005424AB"/>
    <w:rsid w:val="005424FE"/>
    <w:rsid w:val="005425D0"/>
    <w:rsid w:val="005425E0"/>
    <w:rsid w:val="005425F5"/>
    <w:rsid w:val="00542A72"/>
    <w:rsid w:val="00542C80"/>
    <w:rsid w:val="00542EDB"/>
    <w:rsid w:val="005430AB"/>
    <w:rsid w:val="005430C1"/>
    <w:rsid w:val="005434FD"/>
    <w:rsid w:val="00543507"/>
    <w:rsid w:val="0054359D"/>
    <w:rsid w:val="00543653"/>
    <w:rsid w:val="005436F2"/>
    <w:rsid w:val="00543A59"/>
    <w:rsid w:val="00543B0F"/>
    <w:rsid w:val="00543CD7"/>
    <w:rsid w:val="00543EF4"/>
    <w:rsid w:val="005442A8"/>
    <w:rsid w:val="005443A3"/>
    <w:rsid w:val="0054471D"/>
    <w:rsid w:val="00544874"/>
    <w:rsid w:val="00544B05"/>
    <w:rsid w:val="00544C7F"/>
    <w:rsid w:val="00544F68"/>
    <w:rsid w:val="0054502A"/>
    <w:rsid w:val="00545295"/>
    <w:rsid w:val="005455AB"/>
    <w:rsid w:val="00545716"/>
    <w:rsid w:val="00545D16"/>
    <w:rsid w:val="005462C0"/>
    <w:rsid w:val="005465B4"/>
    <w:rsid w:val="005466F8"/>
    <w:rsid w:val="00546A19"/>
    <w:rsid w:val="00546ADD"/>
    <w:rsid w:val="00546B03"/>
    <w:rsid w:val="00546BDB"/>
    <w:rsid w:val="00546C1A"/>
    <w:rsid w:val="00547048"/>
    <w:rsid w:val="005470A6"/>
    <w:rsid w:val="005470E4"/>
    <w:rsid w:val="005471E5"/>
    <w:rsid w:val="00547583"/>
    <w:rsid w:val="0054792A"/>
    <w:rsid w:val="00547E5D"/>
    <w:rsid w:val="0055009A"/>
    <w:rsid w:val="00550629"/>
    <w:rsid w:val="00550653"/>
    <w:rsid w:val="00550658"/>
    <w:rsid w:val="00550797"/>
    <w:rsid w:val="0055086C"/>
    <w:rsid w:val="0055089C"/>
    <w:rsid w:val="005509DE"/>
    <w:rsid w:val="00550A51"/>
    <w:rsid w:val="00550BD9"/>
    <w:rsid w:val="00550CD9"/>
    <w:rsid w:val="00550D28"/>
    <w:rsid w:val="00550F72"/>
    <w:rsid w:val="00551284"/>
    <w:rsid w:val="00551376"/>
    <w:rsid w:val="0055176D"/>
    <w:rsid w:val="00551CF5"/>
    <w:rsid w:val="00551EE1"/>
    <w:rsid w:val="00551FF4"/>
    <w:rsid w:val="005520C4"/>
    <w:rsid w:val="00552290"/>
    <w:rsid w:val="0055233A"/>
    <w:rsid w:val="005523CD"/>
    <w:rsid w:val="00552456"/>
    <w:rsid w:val="005524B1"/>
    <w:rsid w:val="005527DB"/>
    <w:rsid w:val="00552896"/>
    <w:rsid w:val="00552A62"/>
    <w:rsid w:val="00552DFE"/>
    <w:rsid w:val="00553013"/>
    <w:rsid w:val="0055317A"/>
    <w:rsid w:val="005531D9"/>
    <w:rsid w:val="00553472"/>
    <w:rsid w:val="005535B8"/>
    <w:rsid w:val="00553846"/>
    <w:rsid w:val="005539D1"/>
    <w:rsid w:val="00553BEC"/>
    <w:rsid w:val="00553F8D"/>
    <w:rsid w:val="00553FA9"/>
    <w:rsid w:val="005543B0"/>
    <w:rsid w:val="005543F1"/>
    <w:rsid w:val="005546C2"/>
    <w:rsid w:val="00554ED8"/>
    <w:rsid w:val="00555486"/>
    <w:rsid w:val="0055548A"/>
    <w:rsid w:val="00555498"/>
    <w:rsid w:val="005554BA"/>
    <w:rsid w:val="00555D6A"/>
    <w:rsid w:val="00555E6A"/>
    <w:rsid w:val="00555FD9"/>
    <w:rsid w:val="0055639D"/>
    <w:rsid w:val="0055659A"/>
    <w:rsid w:val="0055660C"/>
    <w:rsid w:val="00556C6B"/>
    <w:rsid w:val="00556C91"/>
    <w:rsid w:val="00556EA2"/>
    <w:rsid w:val="0055719E"/>
    <w:rsid w:val="005573CB"/>
    <w:rsid w:val="005574D3"/>
    <w:rsid w:val="005574FE"/>
    <w:rsid w:val="0055750F"/>
    <w:rsid w:val="005575B7"/>
    <w:rsid w:val="00557B79"/>
    <w:rsid w:val="00557C17"/>
    <w:rsid w:val="00557E73"/>
    <w:rsid w:val="00560126"/>
    <w:rsid w:val="00560271"/>
    <w:rsid w:val="00560419"/>
    <w:rsid w:val="00560640"/>
    <w:rsid w:val="00560B2B"/>
    <w:rsid w:val="00561009"/>
    <w:rsid w:val="00561537"/>
    <w:rsid w:val="00561766"/>
    <w:rsid w:val="00561799"/>
    <w:rsid w:val="00561833"/>
    <w:rsid w:val="00561966"/>
    <w:rsid w:val="00561B88"/>
    <w:rsid w:val="00561D6F"/>
    <w:rsid w:val="00561F70"/>
    <w:rsid w:val="00562848"/>
    <w:rsid w:val="005628F2"/>
    <w:rsid w:val="00562BAD"/>
    <w:rsid w:val="00562D64"/>
    <w:rsid w:val="00562DEE"/>
    <w:rsid w:val="00562ECA"/>
    <w:rsid w:val="00562F0C"/>
    <w:rsid w:val="00562F35"/>
    <w:rsid w:val="00563323"/>
    <w:rsid w:val="00563372"/>
    <w:rsid w:val="00563B8B"/>
    <w:rsid w:val="00563E32"/>
    <w:rsid w:val="00563F8E"/>
    <w:rsid w:val="00563F97"/>
    <w:rsid w:val="00564123"/>
    <w:rsid w:val="00564164"/>
    <w:rsid w:val="00564498"/>
    <w:rsid w:val="00564946"/>
    <w:rsid w:val="00564D41"/>
    <w:rsid w:val="00565024"/>
    <w:rsid w:val="00565033"/>
    <w:rsid w:val="005650B5"/>
    <w:rsid w:val="00565902"/>
    <w:rsid w:val="00565BBE"/>
    <w:rsid w:val="005666B1"/>
    <w:rsid w:val="005668DD"/>
    <w:rsid w:val="0056690E"/>
    <w:rsid w:val="00566979"/>
    <w:rsid w:val="005672F9"/>
    <w:rsid w:val="00567582"/>
    <w:rsid w:val="005676E7"/>
    <w:rsid w:val="00567819"/>
    <w:rsid w:val="005678A7"/>
    <w:rsid w:val="00567AE9"/>
    <w:rsid w:val="00567BE4"/>
    <w:rsid w:val="00567F75"/>
    <w:rsid w:val="00567FAE"/>
    <w:rsid w:val="0057005C"/>
    <w:rsid w:val="005705EE"/>
    <w:rsid w:val="005706DA"/>
    <w:rsid w:val="00570868"/>
    <w:rsid w:val="005709B3"/>
    <w:rsid w:val="005709D9"/>
    <w:rsid w:val="00570A39"/>
    <w:rsid w:val="00570AB7"/>
    <w:rsid w:val="00570CB4"/>
    <w:rsid w:val="00570D7D"/>
    <w:rsid w:val="00570E3D"/>
    <w:rsid w:val="00570FF8"/>
    <w:rsid w:val="00570FFE"/>
    <w:rsid w:val="005710AD"/>
    <w:rsid w:val="005716B3"/>
    <w:rsid w:val="00571ADD"/>
    <w:rsid w:val="00571B2D"/>
    <w:rsid w:val="00571B90"/>
    <w:rsid w:val="00571DE9"/>
    <w:rsid w:val="005723AA"/>
    <w:rsid w:val="00572740"/>
    <w:rsid w:val="005729E4"/>
    <w:rsid w:val="00572C08"/>
    <w:rsid w:val="00572F13"/>
    <w:rsid w:val="00572F90"/>
    <w:rsid w:val="0057306E"/>
    <w:rsid w:val="00573123"/>
    <w:rsid w:val="005732AB"/>
    <w:rsid w:val="005732F3"/>
    <w:rsid w:val="005735DE"/>
    <w:rsid w:val="005739A5"/>
    <w:rsid w:val="00573B0B"/>
    <w:rsid w:val="00573BEE"/>
    <w:rsid w:val="00573C37"/>
    <w:rsid w:val="00573E6B"/>
    <w:rsid w:val="0057452A"/>
    <w:rsid w:val="005746A2"/>
    <w:rsid w:val="005746AD"/>
    <w:rsid w:val="00574762"/>
    <w:rsid w:val="005749E0"/>
    <w:rsid w:val="00574AA4"/>
    <w:rsid w:val="00574ADB"/>
    <w:rsid w:val="00574DED"/>
    <w:rsid w:val="00574F02"/>
    <w:rsid w:val="00574FA1"/>
    <w:rsid w:val="00574FA3"/>
    <w:rsid w:val="00575042"/>
    <w:rsid w:val="00575BB8"/>
    <w:rsid w:val="005763B1"/>
    <w:rsid w:val="0057651B"/>
    <w:rsid w:val="00576C24"/>
    <w:rsid w:val="00576C94"/>
    <w:rsid w:val="00576CAF"/>
    <w:rsid w:val="005771A2"/>
    <w:rsid w:val="0057761E"/>
    <w:rsid w:val="00577928"/>
    <w:rsid w:val="005779E4"/>
    <w:rsid w:val="00577C3F"/>
    <w:rsid w:val="00577FD4"/>
    <w:rsid w:val="00580145"/>
    <w:rsid w:val="00580289"/>
    <w:rsid w:val="005804C7"/>
    <w:rsid w:val="005804F0"/>
    <w:rsid w:val="00580507"/>
    <w:rsid w:val="00580736"/>
    <w:rsid w:val="0058080D"/>
    <w:rsid w:val="00580CDD"/>
    <w:rsid w:val="00580FDA"/>
    <w:rsid w:val="00581031"/>
    <w:rsid w:val="0058109F"/>
    <w:rsid w:val="00581132"/>
    <w:rsid w:val="0058128B"/>
    <w:rsid w:val="005812C2"/>
    <w:rsid w:val="00581B39"/>
    <w:rsid w:val="00581D9F"/>
    <w:rsid w:val="00581EBD"/>
    <w:rsid w:val="0058204A"/>
    <w:rsid w:val="0058204E"/>
    <w:rsid w:val="00582079"/>
    <w:rsid w:val="00582243"/>
    <w:rsid w:val="005825F7"/>
    <w:rsid w:val="00582D10"/>
    <w:rsid w:val="00582E85"/>
    <w:rsid w:val="005833E3"/>
    <w:rsid w:val="0058367E"/>
    <w:rsid w:val="005836F0"/>
    <w:rsid w:val="00583BFE"/>
    <w:rsid w:val="00583CDC"/>
    <w:rsid w:val="005840CD"/>
    <w:rsid w:val="005847B4"/>
    <w:rsid w:val="00584851"/>
    <w:rsid w:val="00584B74"/>
    <w:rsid w:val="00585230"/>
    <w:rsid w:val="0058524E"/>
    <w:rsid w:val="005853D5"/>
    <w:rsid w:val="00585820"/>
    <w:rsid w:val="00585B32"/>
    <w:rsid w:val="00585E1D"/>
    <w:rsid w:val="005862D5"/>
    <w:rsid w:val="005869FD"/>
    <w:rsid w:val="00586BBA"/>
    <w:rsid w:val="00586F96"/>
    <w:rsid w:val="005874EB"/>
    <w:rsid w:val="005876DC"/>
    <w:rsid w:val="00587A76"/>
    <w:rsid w:val="00587C7D"/>
    <w:rsid w:val="00587D92"/>
    <w:rsid w:val="005900A7"/>
    <w:rsid w:val="00590162"/>
    <w:rsid w:val="005901B6"/>
    <w:rsid w:val="00590501"/>
    <w:rsid w:val="005905BC"/>
    <w:rsid w:val="00590700"/>
    <w:rsid w:val="00590796"/>
    <w:rsid w:val="005907B6"/>
    <w:rsid w:val="00590945"/>
    <w:rsid w:val="00590A82"/>
    <w:rsid w:val="00590DC7"/>
    <w:rsid w:val="00590EEC"/>
    <w:rsid w:val="00590F38"/>
    <w:rsid w:val="00591485"/>
    <w:rsid w:val="005916F4"/>
    <w:rsid w:val="0059176E"/>
    <w:rsid w:val="00591AB7"/>
    <w:rsid w:val="005922B8"/>
    <w:rsid w:val="005922BD"/>
    <w:rsid w:val="00592A31"/>
    <w:rsid w:val="00592B47"/>
    <w:rsid w:val="00592CBF"/>
    <w:rsid w:val="00592CD5"/>
    <w:rsid w:val="00592DA5"/>
    <w:rsid w:val="00593C43"/>
    <w:rsid w:val="00593C6E"/>
    <w:rsid w:val="00593FB0"/>
    <w:rsid w:val="0059442A"/>
    <w:rsid w:val="005945B1"/>
    <w:rsid w:val="00594B2C"/>
    <w:rsid w:val="00594D0B"/>
    <w:rsid w:val="00594D10"/>
    <w:rsid w:val="00594FC0"/>
    <w:rsid w:val="005951B7"/>
    <w:rsid w:val="00595B89"/>
    <w:rsid w:val="00595CBD"/>
    <w:rsid w:val="00595ECB"/>
    <w:rsid w:val="0059613A"/>
    <w:rsid w:val="00596200"/>
    <w:rsid w:val="00596274"/>
    <w:rsid w:val="00596311"/>
    <w:rsid w:val="0059639F"/>
    <w:rsid w:val="00596497"/>
    <w:rsid w:val="0059650B"/>
    <w:rsid w:val="00596695"/>
    <w:rsid w:val="00596D1B"/>
    <w:rsid w:val="00596EE4"/>
    <w:rsid w:val="0059704B"/>
    <w:rsid w:val="00597243"/>
    <w:rsid w:val="0059734B"/>
    <w:rsid w:val="00597461"/>
    <w:rsid w:val="0059770D"/>
    <w:rsid w:val="00597C76"/>
    <w:rsid w:val="005A0051"/>
    <w:rsid w:val="005A033C"/>
    <w:rsid w:val="005A0550"/>
    <w:rsid w:val="005A06EB"/>
    <w:rsid w:val="005A076A"/>
    <w:rsid w:val="005A08A3"/>
    <w:rsid w:val="005A0B61"/>
    <w:rsid w:val="005A0C47"/>
    <w:rsid w:val="005A0D14"/>
    <w:rsid w:val="005A0D99"/>
    <w:rsid w:val="005A0E33"/>
    <w:rsid w:val="005A0E42"/>
    <w:rsid w:val="005A0F0B"/>
    <w:rsid w:val="005A10BC"/>
    <w:rsid w:val="005A13AB"/>
    <w:rsid w:val="005A1687"/>
    <w:rsid w:val="005A1789"/>
    <w:rsid w:val="005A17C4"/>
    <w:rsid w:val="005A1C3F"/>
    <w:rsid w:val="005A1ED1"/>
    <w:rsid w:val="005A20AA"/>
    <w:rsid w:val="005A2499"/>
    <w:rsid w:val="005A24F0"/>
    <w:rsid w:val="005A2652"/>
    <w:rsid w:val="005A274A"/>
    <w:rsid w:val="005A2E8C"/>
    <w:rsid w:val="005A2F46"/>
    <w:rsid w:val="005A334B"/>
    <w:rsid w:val="005A389B"/>
    <w:rsid w:val="005A3A98"/>
    <w:rsid w:val="005A4207"/>
    <w:rsid w:val="005A44E5"/>
    <w:rsid w:val="005A4528"/>
    <w:rsid w:val="005A46B4"/>
    <w:rsid w:val="005A4740"/>
    <w:rsid w:val="005A4897"/>
    <w:rsid w:val="005A496E"/>
    <w:rsid w:val="005A4AEA"/>
    <w:rsid w:val="005A4DDF"/>
    <w:rsid w:val="005A4E86"/>
    <w:rsid w:val="005A569F"/>
    <w:rsid w:val="005A57AE"/>
    <w:rsid w:val="005A57C4"/>
    <w:rsid w:val="005A59D3"/>
    <w:rsid w:val="005A5AED"/>
    <w:rsid w:val="005A6322"/>
    <w:rsid w:val="005A6513"/>
    <w:rsid w:val="005A6C20"/>
    <w:rsid w:val="005A6EF8"/>
    <w:rsid w:val="005A6F83"/>
    <w:rsid w:val="005A725B"/>
    <w:rsid w:val="005A7282"/>
    <w:rsid w:val="005A72C4"/>
    <w:rsid w:val="005A74BE"/>
    <w:rsid w:val="005A74D2"/>
    <w:rsid w:val="005A74F7"/>
    <w:rsid w:val="005A7AF2"/>
    <w:rsid w:val="005A7D88"/>
    <w:rsid w:val="005A7F89"/>
    <w:rsid w:val="005B037D"/>
    <w:rsid w:val="005B03CC"/>
    <w:rsid w:val="005B05A7"/>
    <w:rsid w:val="005B08B9"/>
    <w:rsid w:val="005B08F6"/>
    <w:rsid w:val="005B0AAF"/>
    <w:rsid w:val="005B1592"/>
    <w:rsid w:val="005B1648"/>
    <w:rsid w:val="005B1720"/>
    <w:rsid w:val="005B1D81"/>
    <w:rsid w:val="005B1DC1"/>
    <w:rsid w:val="005B1E65"/>
    <w:rsid w:val="005B2185"/>
    <w:rsid w:val="005B25B6"/>
    <w:rsid w:val="005B2B39"/>
    <w:rsid w:val="005B2B46"/>
    <w:rsid w:val="005B2EA6"/>
    <w:rsid w:val="005B2EDF"/>
    <w:rsid w:val="005B33C7"/>
    <w:rsid w:val="005B3973"/>
    <w:rsid w:val="005B39AC"/>
    <w:rsid w:val="005B3D06"/>
    <w:rsid w:val="005B3D64"/>
    <w:rsid w:val="005B4061"/>
    <w:rsid w:val="005B42E4"/>
    <w:rsid w:val="005B439B"/>
    <w:rsid w:val="005B44C3"/>
    <w:rsid w:val="005B46B0"/>
    <w:rsid w:val="005B4738"/>
    <w:rsid w:val="005B4925"/>
    <w:rsid w:val="005B4936"/>
    <w:rsid w:val="005B4A90"/>
    <w:rsid w:val="005B4D08"/>
    <w:rsid w:val="005B5183"/>
    <w:rsid w:val="005B5701"/>
    <w:rsid w:val="005B5A4B"/>
    <w:rsid w:val="005B5F04"/>
    <w:rsid w:val="005B607D"/>
    <w:rsid w:val="005B61DB"/>
    <w:rsid w:val="005B62A1"/>
    <w:rsid w:val="005B6585"/>
    <w:rsid w:val="005B65AE"/>
    <w:rsid w:val="005B65B8"/>
    <w:rsid w:val="005B6660"/>
    <w:rsid w:val="005B6777"/>
    <w:rsid w:val="005B6791"/>
    <w:rsid w:val="005B68FD"/>
    <w:rsid w:val="005B6949"/>
    <w:rsid w:val="005B6BF4"/>
    <w:rsid w:val="005B6DFC"/>
    <w:rsid w:val="005B6E44"/>
    <w:rsid w:val="005B7133"/>
    <w:rsid w:val="005B7435"/>
    <w:rsid w:val="005B77F9"/>
    <w:rsid w:val="005B795E"/>
    <w:rsid w:val="005B7F53"/>
    <w:rsid w:val="005C0257"/>
    <w:rsid w:val="005C0292"/>
    <w:rsid w:val="005C0360"/>
    <w:rsid w:val="005C0503"/>
    <w:rsid w:val="005C06E5"/>
    <w:rsid w:val="005C0B41"/>
    <w:rsid w:val="005C0E1D"/>
    <w:rsid w:val="005C0F97"/>
    <w:rsid w:val="005C11A0"/>
    <w:rsid w:val="005C11F5"/>
    <w:rsid w:val="005C1278"/>
    <w:rsid w:val="005C134C"/>
    <w:rsid w:val="005C134D"/>
    <w:rsid w:val="005C14E6"/>
    <w:rsid w:val="005C164B"/>
    <w:rsid w:val="005C16D4"/>
    <w:rsid w:val="005C1763"/>
    <w:rsid w:val="005C17D0"/>
    <w:rsid w:val="005C1874"/>
    <w:rsid w:val="005C20AD"/>
    <w:rsid w:val="005C2269"/>
    <w:rsid w:val="005C22EC"/>
    <w:rsid w:val="005C2919"/>
    <w:rsid w:val="005C2A29"/>
    <w:rsid w:val="005C2A39"/>
    <w:rsid w:val="005C2B9E"/>
    <w:rsid w:val="005C2E57"/>
    <w:rsid w:val="005C2EEA"/>
    <w:rsid w:val="005C30AB"/>
    <w:rsid w:val="005C31AB"/>
    <w:rsid w:val="005C31DF"/>
    <w:rsid w:val="005C36D9"/>
    <w:rsid w:val="005C3743"/>
    <w:rsid w:val="005C39BD"/>
    <w:rsid w:val="005C3EE1"/>
    <w:rsid w:val="005C3FEF"/>
    <w:rsid w:val="005C3FFB"/>
    <w:rsid w:val="005C4019"/>
    <w:rsid w:val="005C42D0"/>
    <w:rsid w:val="005C4435"/>
    <w:rsid w:val="005C4A32"/>
    <w:rsid w:val="005C4AE1"/>
    <w:rsid w:val="005C4B9F"/>
    <w:rsid w:val="005C4C50"/>
    <w:rsid w:val="005C4ED9"/>
    <w:rsid w:val="005C50FF"/>
    <w:rsid w:val="005C5233"/>
    <w:rsid w:val="005C549F"/>
    <w:rsid w:val="005C5631"/>
    <w:rsid w:val="005C5669"/>
    <w:rsid w:val="005C58EB"/>
    <w:rsid w:val="005C5B20"/>
    <w:rsid w:val="005C5F19"/>
    <w:rsid w:val="005C695F"/>
    <w:rsid w:val="005C6B3A"/>
    <w:rsid w:val="005C6BCD"/>
    <w:rsid w:val="005C6CAC"/>
    <w:rsid w:val="005C6EB6"/>
    <w:rsid w:val="005C7027"/>
    <w:rsid w:val="005C739A"/>
    <w:rsid w:val="005C74A1"/>
    <w:rsid w:val="005C74F1"/>
    <w:rsid w:val="005C7685"/>
    <w:rsid w:val="005C76CD"/>
    <w:rsid w:val="005C7849"/>
    <w:rsid w:val="005C7933"/>
    <w:rsid w:val="005C7C7C"/>
    <w:rsid w:val="005C7CA6"/>
    <w:rsid w:val="005C7DA1"/>
    <w:rsid w:val="005C7E87"/>
    <w:rsid w:val="005C7F12"/>
    <w:rsid w:val="005D0660"/>
    <w:rsid w:val="005D0692"/>
    <w:rsid w:val="005D084C"/>
    <w:rsid w:val="005D0C7C"/>
    <w:rsid w:val="005D0DC8"/>
    <w:rsid w:val="005D1015"/>
    <w:rsid w:val="005D1206"/>
    <w:rsid w:val="005D1244"/>
    <w:rsid w:val="005D1255"/>
    <w:rsid w:val="005D14DF"/>
    <w:rsid w:val="005D1607"/>
    <w:rsid w:val="005D1670"/>
    <w:rsid w:val="005D1715"/>
    <w:rsid w:val="005D1915"/>
    <w:rsid w:val="005D19E3"/>
    <w:rsid w:val="005D1BAA"/>
    <w:rsid w:val="005D1BF4"/>
    <w:rsid w:val="005D1C7B"/>
    <w:rsid w:val="005D1D71"/>
    <w:rsid w:val="005D1E0A"/>
    <w:rsid w:val="005D21C4"/>
    <w:rsid w:val="005D2288"/>
    <w:rsid w:val="005D22CD"/>
    <w:rsid w:val="005D25D7"/>
    <w:rsid w:val="005D2B38"/>
    <w:rsid w:val="005D2E81"/>
    <w:rsid w:val="005D2EE2"/>
    <w:rsid w:val="005D33C3"/>
    <w:rsid w:val="005D35F8"/>
    <w:rsid w:val="005D3608"/>
    <w:rsid w:val="005D3633"/>
    <w:rsid w:val="005D3716"/>
    <w:rsid w:val="005D38B7"/>
    <w:rsid w:val="005D38C2"/>
    <w:rsid w:val="005D418D"/>
    <w:rsid w:val="005D43B5"/>
    <w:rsid w:val="005D4494"/>
    <w:rsid w:val="005D4E4D"/>
    <w:rsid w:val="005D5292"/>
    <w:rsid w:val="005D5293"/>
    <w:rsid w:val="005D5417"/>
    <w:rsid w:val="005D5463"/>
    <w:rsid w:val="005D58B1"/>
    <w:rsid w:val="005D5C4B"/>
    <w:rsid w:val="005D5E52"/>
    <w:rsid w:val="005D6096"/>
    <w:rsid w:val="005D60F7"/>
    <w:rsid w:val="005D6188"/>
    <w:rsid w:val="005D61A5"/>
    <w:rsid w:val="005D62B4"/>
    <w:rsid w:val="005D64C7"/>
    <w:rsid w:val="005D651A"/>
    <w:rsid w:val="005D6949"/>
    <w:rsid w:val="005D6C8B"/>
    <w:rsid w:val="005D6DD5"/>
    <w:rsid w:val="005D7579"/>
    <w:rsid w:val="005D7711"/>
    <w:rsid w:val="005D7C6C"/>
    <w:rsid w:val="005E006F"/>
    <w:rsid w:val="005E0228"/>
    <w:rsid w:val="005E0271"/>
    <w:rsid w:val="005E08FA"/>
    <w:rsid w:val="005E0BDD"/>
    <w:rsid w:val="005E0C26"/>
    <w:rsid w:val="005E0E2D"/>
    <w:rsid w:val="005E12ED"/>
    <w:rsid w:val="005E13E8"/>
    <w:rsid w:val="005E15FE"/>
    <w:rsid w:val="005E1740"/>
    <w:rsid w:val="005E18DF"/>
    <w:rsid w:val="005E1CB9"/>
    <w:rsid w:val="005E1EE3"/>
    <w:rsid w:val="005E2290"/>
    <w:rsid w:val="005E2353"/>
    <w:rsid w:val="005E26AF"/>
    <w:rsid w:val="005E26E4"/>
    <w:rsid w:val="005E282E"/>
    <w:rsid w:val="005E28C9"/>
    <w:rsid w:val="005E28F1"/>
    <w:rsid w:val="005E29DD"/>
    <w:rsid w:val="005E3073"/>
    <w:rsid w:val="005E312B"/>
    <w:rsid w:val="005E3320"/>
    <w:rsid w:val="005E4118"/>
    <w:rsid w:val="005E4465"/>
    <w:rsid w:val="005E4565"/>
    <w:rsid w:val="005E4591"/>
    <w:rsid w:val="005E481E"/>
    <w:rsid w:val="005E493F"/>
    <w:rsid w:val="005E4993"/>
    <w:rsid w:val="005E4EAA"/>
    <w:rsid w:val="005E4FE1"/>
    <w:rsid w:val="005E4FF1"/>
    <w:rsid w:val="005E51E9"/>
    <w:rsid w:val="005E5263"/>
    <w:rsid w:val="005E529A"/>
    <w:rsid w:val="005E55AE"/>
    <w:rsid w:val="005E585B"/>
    <w:rsid w:val="005E5CFA"/>
    <w:rsid w:val="005E5DD1"/>
    <w:rsid w:val="005E5E17"/>
    <w:rsid w:val="005E6680"/>
    <w:rsid w:val="005E6689"/>
    <w:rsid w:val="005E669B"/>
    <w:rsid w:val="005E688F"/>
    <w:rsid w:val="005E6CBB"/>
    <w:rsid w:val="005E6E78"/>
    <w:rsid w:val="005E7276"/>
    <w:rsid w:val="005E730D"/>
    <w:rsid w:val="005E75B2"/>
    <w:rsid w:val="005E7634"/>
    <w:rsid w:val="005E7652"/>
    <w:rsid w:val="005E76A1"/>
    <w:rsid w:val="005E79A6"/>
    <w:rsid w:val="005E7A95"/>
    <w:rsid w:val="005E7F58"/>
    <w:rsid w:val="005E7F91"/>
    <w:rsid w:val="005F0050"/>
    <w:rsid w:val="005F023A"/>
    <w:rsid w:val="005F037C"/>
    <w:rsid w:val="005F03F9"/>
    <w:rsid w:val="005F0411"/>
    <w:rsid w:val="005F0A84"/>
    <w:rsid w:val="005F0BAE"/>
    <w:rsid w:val="005F0BE1"/>
    <w:rsid w:val="005F0F17"/>
    <w:rsid w:val="005F1306"/>
    <w:rsid w:val="005F155F"/>
    <w:rsid w:val="005F1953"/>
    <w:rsid w:val="005F1C6E"/>
    <w:rsid w:val="005F1CCF"/>
    <w:rsid w:val="005F1D12"/>
    <w:rsid w:val="005F1E02"/>
    <w:rsid w:val="005F1EBE"/>
    <w:rsid w:val="005F2069"/>
    <w:rsid w:val="005F27AB"/>
    <w:rsid w:val="005F2941"/>
    <w:rsid w:val="005F2A34"/>
    <w:rsid w:val="005F2D61"/>
    <w:rsid w:val="005F32B8"/>
    <w:rsid w:val="005F3325"/>
    <w:rsid w:val="005F337B"/>
    <w:rsid w:val="005F3759"/>
    <w:rsid w:val="005F37A0"/>
    <w:rsid w:val="005F3831"/>
    <w:rsid w:val="005F3A1A"/>
    <w:rsid w:val="005F3A1C"/>
    <w:rsid w:val="005F3B23"/>
    <w:rsid w:val="005F3CF8"/>
    <w:rsid w:val="005F3D5E"/>
    <w:rsid w:val="005F417E"/>
    <w:rsid w:val="005F4305"/>
    <w:rsid w:val="005F43DD"/>
    <w:rsid w:val="005F446C"/>
    <w:rsid w:val="005F46F0"/>
    <w:rsid w:val="005F4A1B"/>
    <w:rsid w:val="005F4C1C"/>
    <w:rsid w:val="005F4EA4"/>
    <w:rsid w:val="005F4F93"/>
    <w:rsid w:val="005F518E"/>
    <w:rsid w:val="005F52A0"/>
    <w:rsid w:val="005F55FD"/>
    <w:rsid w:val="005F5BF6"/>
    <w:rsid w:val="005F5C65"/>
    <w:rsid w:val="005F5D1C"/>
    <w:rsid w:val="005F6872"/>
    <w:rsid w:val="005F69C0"/>
    <w:rsid w:val="005F6B1F"/>
    <w:rsid w:val="005F6D0D"/>
    <w:rsid w:val="005F7344"/>
    <w:rsid w:val="005F7569"/>
    <w:rsid w:val="005F79C7"/>
    <w:rsid w:val="005F7B3B"/>
    <w:rsid w:val="005F7B78"/>
    <w:rsid w:val="0060004E"/>
    <w:rsid w:val="006003BF"/>
    <w:rsid w:val="006004C8"/>
    <w:rsid w:val="00600752"/>
    <w:rsid w:val="006007E4"/>
    <w:rsid w:val="006008DF"/>
    <w:rsid w:val="00600D20"/>
    <w:rsid w:val="00600D3B"/>
    <w:rsid w:val="00600E5C"/>
    <w:rsid w:val="00600EA4"/>
    <w:rsid w:val="00601535"/>
    <w:rsid w:val="0060178C"/>
    <w:rsid w:val="00601BA9"/>
    <w:rsid w:val="00601CD9"/>
    <w:rsid w:val="006020D8"/>
    <w:rsid w:val="006022DC"/>
    <w:rsid w:val="00602348"/>
    <w:rsid w:val="00602362"/>
    <w:rsid w:val="00602371"/>
    <w:rsid w:val="0060260F"/>
    <w:rsid w:val="00602778"/>
    <w:rsid w:val="006027FC"/>
    <w:rsid w:val="006029D5"/>
    <w:rsid w:val="00602A0A"/>
    <w:rsid w:val="00602AE9"/>
    <w:rsid w:val="00602DD0"/>
    <w:rsid w:val="00602F77"/>
    <w:rsid w:val="00603054"/>
    <w:rsid w:val="006030DB"/>
    <w:rsid w:val="006031F8"/>
    <w:rsid w:val="00603291"/>
    <w:rsid w:val="00603338"/>
    <w:rsid w:val="006036AE"/>
    <w:rsid w:val="00603AC8"/>
    <w:rsid w:val="00603B17"/>
    <w:rsid w:val="00603D31"/>
    <w:rsid w:val="00603E19"/>
    <w:rsid w:val="00603FB6"/>
    <w:rsid w:val="00603FF3"/>
    <w:rsid w:val="00604696"/>
    <w:rsid w:val="00604939"/>
    <w:rsid w:val="00604EC3"/>
    <w:rsid w:val="0060541C"/>
    <w:rsid w:val="006058EC"/>
    <w:rsid w:val="00605B2C"/>
    <w:rsid w:val="00605E03"/>
    <w:rsid w:val="0060620D"/>
    <w:rsid w:val="0060626B"/>
    <w:rsid w:val="006062B8"/>
    <w:rsid w:val="0060636E"/>
    <w:rsid w:val="006069D5"/>
    <w:rsid w:val="00606BEA"/>
    <w:rsid w:val="00606DCE"/>
    <w:rsid w:val="00607244"/>
    <w:rsid w:val="00607496"/>
    <w:rsid w:val="006074AD"/>
    <w:rsid w:val="0060782F"/>
    <w:rsid w:val="00607D53"/>
    <w:rsid w:val="00607DF0"/>
    <w:rsid w:val="00610056"/>
    <w:rsid w:val="0061005F"/>
    <w:rsid w:val="00610441"/>
    <w:rsid w:val="006105EA"/>
    <w:rsid w:val="006107D3"/>
    <w:rsid w:val="00610819"/>
    <w:rsid w:val="00610BAC"/>
    <w:rsid w:val="00610E96"/>
    <w:rsid w:val="0061177D"/>
    <w:rsid w:val="00611B8A"/>
    <w:rsid w:val="00611EF0"/>
    <w:rsid w:val="0061207E"/>
    <w:rsid w:val="006125F2"/>
    <w:rsid w:val="0061299A"/>
    <w:rsid w:val="006129BD"/>
    <w:rsid w:val="00612CFD"/>
    <w:rsid w:val="00612F6A"/>
    <w:rsid w:val="006131DE"/>
    <w:rsid w:val="006138AB"/>
    <w:rsid w:val="0061390F"/>
    <w:rsid w:val="00613D5A"/>
    <w:rsid w:val="0061413E"/>
    <w:rsid w:val="00614188"/>
    <w:rsid w:val="00614399"/>
    <w:rsid w:val="00614693"/>
    <w:rsid w:val="00614B65"/>
    <w:rsid w:val="00614BB9"/>
    <w:rsid w:val="00614C3C"/>
    <w:rsid w:val="00614C60"/>
    <w:rsid w:val="006156C2"/>
    <w:rsid w:val="0061571A"/>
    <w:rsid w:val="0061583A"/>
    <w:rsid w:val="00615A95"/>
    <w:rsid w:val="00615ADC"/>
    <w:rsid w:val="00616118"/>
    <w:rsid w:val="0061645C"/>
    <w:rsid w:val="00616560"/>
    <w:rsid w:val="00616979"/>
    <w:rsid w:val="006169CB"/>
    <w:rsid w:val="00616D22"/>
    <w:rsid w:val="00616F65"/>
    <w:rsid w:val="00616FB3"/>
    <w:rsid w:val="00617021"/>
    <w:rsid w:val="00617752"/>
    <w:rsid w:val="00617889"/>
    <w:rsid w:val="00617962"/>
    <w:rsid w:val="00617CA2"/>
    <w:rsid w:val="00617D29"/>
    <w:rsid w:val="00617E07"/>
    <w:rsid w:val="00617EDB"/>
    <w:rsid w:val="00620135"/>
    <w:rsid w:val="00620194"/>
    <w:rsid w:val="006201E5"/>
    <w:rsid w:val="006202FA"/>
    <w:rsid w:val="0062066D"/>
    <w:rsid w:val="006207BF"/>
    <w:rsid w:val="00620A4D"/>
    <w:rsid w:val="00620C19"/>
    <w:rsid w:val="00620C5E"/>
    <w:rsid w:val="006214D1"/>
    <w:rsid w:val="0062185D"/>
    <w:rsid w:val="00621910"/>
    <w:rsid w:val="00621934"/>
    <w:rsid w:val="00621C81"/>
    <w:rsid w:val="00621D11"/>
    <w:rsid w:val="00621E6A"/>
    <w:rsid w:val="00621FC6"/>
    <w:rsid w:val="0062252C"/>
    <w:rsid w:val="00622595"/>
    <w:rsid w:val="00622E63"/>
    <w:rsid w:val="00622E9D"/>
    <w:rsid w:val="00622EEF"/>
    <w:rsid w:val="006231C2"/>
    <w:rsid w:val="00623302"/>
    <w:rsid w:val="0062341C"/>
    <w:rsid w:val="0062372F"/>
    <w:rsid w:val="0062376F"/>
    <w:rsid w:val="0062377D"/>
    <w:rsid w:val="00623840"/>
    <w:rsid w:val="00623C51"/>
    <w:rsid w:val="00623D53"/>
    <w:rsid w:val="00624627"/>
    <w:rsid w:val="0062498C"/>
    <w:rsid w:val="0062518D"/>
    <w:rsid w:val="00625561"/>
    <w:rsid w:val="0062599F"/>
    <w:rsid w:val="00625EB9"/>
    <w:rsid w:val="00625EC6"/>
    <w:rsid w:val="00626564"/>
    <w:rsid w:val="00626608"/>
    <w:rsid w:val="00626659"/>
    <w:rsid w:val="0062696A"/>
    <w:rsid w:val="00626C89"/>
    <w:rsid w:val="00626F80"/>
    <w:rsid w:val="00626FC3"/>
    <w:rsid w:val="0062720A"/>
    <w:rsid w:val="006276FF"/>
    <w:rsid w:val="0062789C"/>
    <w:rsid w:val="00627A5A"/>
    <w:rsid w:val="00627BAB"/>
    <w:rsid w:val="00627D9F"/>
    <w:rsid w:val="00627E79"/>
    <w:rsid w:val="00627E9E"/>
    <w:rsid w:val="00630138"/>
    <w:rsid w:val="00630284"/>
    <w:rsid w:val="006304AF"/>
    <w:rsid w:val="0063060B"/>
    <w:rsid w:val="0063074B"/>
    <w:rsid w:val="00630D6F"/>
    <w:rsid w:val="00630D72"/>
    <w:rsid w:val="00630E5C"/>
    <w:rsid w:val="00630E8E"/>
    <w:rsid w:val="00631254"/>
    <w:rsid w:val="006318A5"/>
    <w:rsid w:val="00631A12"/>
    <w:rsid w:val="006322FE"/>
    <w:rsid w:val="00632528"/>
    <w:rsid w:val="00632604"/>
    <w:rsid w:val="00632A66"/>
    <w:rsid w:val="00632B7C"/>
    <w:rsid w:val="00632C12"/>
    <w:rsid w:val="00633B9E"/>
    <w:rsid w:val="00633E7D"/>
    <w:rsid w:val="00634344"/>
    <w:rsid w:val="006343A4"/>
    <w:rsid w:val="0063442D"/>
    <w:rsid w:val="0063445D"/>
    <w:rsid w:val="0063469B"/>
    <w:rsid w:val="00634703"/>
    <w:rsid w:val="006348D7"/>
    <w:rsid w:val="006349C9"/>
    <w:rsid w:val="006349D6"/>
    <w:rsid w:val="00634AB8"/>
    <w:rsid w:val="00635020"/>
    <w:rsid w:val="0063526E"/>
    <w:rsid w:val="00635374"/>
    <w:rsid w:val="00635376"/>
    <w:rsid w:val="006355B2"/>
    <w:rsid w:val="006357F5"/>
    <w:rsid w:val="00635833"/>
    <w:rsid w:val="006358C0"/>
    <w:rsid w:val="00635AFC"/>
    <w:rsid w:val="00635C5D"/>
    <w:rsid w:val="00635CDE"/>
    <w:rsid w:val="00635D0C"/>
    <w:rsid w:val="006362B8"/>
    <w:rsid w:val="006363D1"/>
    <w:rsid w:val="006364B6"/>
    <w:rsid w:val="006369C9"/>
    <w:rsid w:val="006370C0"/>
    <w:rsid w:val="006375AF"/>
    <w:rsid w:val="0063782B"/>
    <w:rsid w:val="00637B0C"/>
    <w:rsid w:val="00637C30"/>
    <w:rsid w:val="00637C36"/>
    <w:rsid w:val="00637E4E"/>
    <w:rsid w:val="00637FF0"/>
    <w:rsid w:val="00640179"/>
    <w:rsid w:val="006402BB"/>
    <w:rsid w:val="00640369"/>
    <w:rsid w:val="00640388"/>
    <w:rsid w:val="006403FC"/>
    <w:rsid w:val="006405FB"/>
    <w:rsid w:val="00640BBA"/>
    <w:rsid w:val="00640F5F"/>
    <w:rsid w:val="006411FD"/>
    <w:rsid w:val="00641533"/>
    <w:rsid w:val="006415A5"/>
    <w:rsid w:val="0064196F"/>
    <w:rsid w:val="00641AE0"/>
    <w:rsid w:val="00641C2F"/>
    <w:rsid w:val="00641D6E"/>
    <w:rsid w:val="00641DD1"/>
    <w:rsid w:val="00641EFF"/>
    <w:rsid w:val="00641F94"/>
    <w:rsid w:val="00641F9F"/>
    <w:rsid w:val="00642398"/>
    <w:rsid w:val="00642656"/>
    <w:rsid w:val="00642668"/>
    <w:rsid w:val="00642B50"/>
    <w:rsid w:val="00642BB0"/>
    <w:rsid w:val="0064354B"/>
    <w:rsid w:val="006435E8"/>
    <w:rsid w:val="00643BE6"/>
    <w:rsid w:val="00643D32"/>
    <w:rsid w:val="00643D74"/>
    <w:rsid w:val="00643E9B"/>
    <w:rsid w:val="0064416D"/>
    <w:rsid w:val="0064477E"/>
    <w:rsid w:val="00644ABA"/>
    <w:rsid w:val="00644C5E"/>
    <w:rsid w:val="00644E9F"/>
    <w:rsid w:val="00644F29"/>
    <w:rsid w:val="00645209"/>
    <w:rsid w:val="00645357"/>
    <w:rsid w:val="00645AB6"/>
    <w:rsid w:val="00645ACF"/>
    <w:rsid w:val="00645B04"/>
    <w:rsid w:val="00645B6B"/>
    <w:rsid w:val="00645C19"/>
    <w:rsid w:val="00645DBD"/>
    <w:rsid w:val="006462EE"/>
    <w:rsid w:val="00646366"/>
    <w:rsid w:val="00646A10"/>
    <w:rsid w:val="00646BCD"/>
    <w:rsid w:val="00646C14"/>
    <w:rsid w:val="00646D08"/>
    <w:rsid w:val="006472AE"/>
    <w:rsid w:val="00647477"/>
    <w:rsid w:val="00647A34"/>
    <w:rsid w:val="00647B96"/>
    <w:rsid w:val="006500AE"/>
    <w:rsid w:val="0065044C"/>
    <w:rsid w:val="00650AB6"/>
    <w:rsid w:val="00650B52"/>
    <w:rsid w:val="00650C13"/>
    <w:rsid w:val="00650D08"/>
    <w:rsid w:val="00651028"/>
    <w:rsid w:val="006510B8"/>
    <w:rsid w:val="0065129E"/>
    <w:rsid w:val="00651898"/>
    <w:rsid w:val="00651902"/>
    <w:rsid w:val="00651A28"/>
    <w:rsid w:val="00651F5C"/>
    <w:rsid w:val="006520EC"/>
    <w:rsid w:val="00652148"/>
    <w:rsid w:val="00652A2D"/>
    <w:rsid w:val="00652C4A"/>
    <w:rsid w:val="00653084"/>
    <w:rsid w:val="006530AE"/>
    <w:rsid w:val="00653565"/>
    <w:rsid w:val="0065361E"/>
    <w:rsid w:val="00653640"/>
    <w:rsid w:val="0065370B"/>
    <w:rsid w:val="006537CA"/>
    <w:rsid w:val="0065398C"/>
    <w:rsid w:val="00653AEA"/>
    <w:rsid w:val="00653D5D"/>
    <w:rsid w:val="006541A6"/>
    <w:rsid w:val="00654B9F"/>
    <w:rsid w:val="00654BFA"/>
    <w:rsid w:val="00654C02"/>
    <w:rsid w:val="0065507E"/>
    <w:rsid w:val="00655145"/>
    <w:rsid w:val="00655284"/>
    <w:rsid w:val="006552FF"/>
    <w:rsid w:val="00655753"/>
    <w:rsid w:val="00655B86"/>
    <w:rsid w:val="00655BC0"/>
    <w:rsid w:val="00655D7A"/>
    <w:rsid w:val="00655DC2"/>
    <w:rsid w:val="00655E14"/>
    <w:rsid w:val="00655E36"/>
    <w:rsid w:val="00655F4F"/>
    <w:rsid w:val="00655F99"/>
    <w:rsid w:val="00656533"/>
    <w:rsid w:val="00656556"/>
    <w:rsid w:val="00656C44"/>
    <w:rsid w:val="00656C6F"/>
    <w:rsid w:val="00656E88"/>
    <w:rsid w:val="006571C7"/>
    <w:rsid w:val="006578AA"/>
    <w:rsid w:val="00657D01"/>
    <w:rsid w:val="00657E73"/>
    <w:rsid w:val="00660202"/>
    <w:rsid w:val="00660700"/>
    <w:rsid w:val="006607BF"/>
    <w:rsid w:val="00660844"/>
    <w:rsid w:val="00660887"/>
    <w:rsid w:val="006609D4"/>
    <w:rsid w:val="00660DEF"/>
    <w:rsid w:val="00660ED7"/>
    <w:rsid w:val="00660F20"/>
    <w:rsid w:val="00660F73"/>
    <w:rsid w:val="00661409"/>
    <w:rsid w:val="0066149D"/>
    <w:rsid w:val="00661C48"/>
    <w:rsid w:val="00661FD2"/>
    <w:rsid w:val="0066203D"/>
    <w:rsid w:val="006624ED"/>
    <w:rsid w:val="0066280A"/>
    <w:rsid w:val="006628B9"/>
    <w:rsid w:val="006629E2"/>
    <w:rsid w:val="00662B86"/>
    <w:rsid w:val="00662C09"/>
    <w:rsid w:val="00663297"/>
    <w:rsid w:val="0066348E"/>
    <w:rsid w:val="00663627"/>
    <w:rsid w:val="00663B0B"/>
    <w:rsid w:val="00663BD4"/>
    <w:rsid w:val="00663C5C"/>
    <w:rsid w:val="006640D7"/>
    <w:rsid w:val="00664170"/>
    <w:rsid w:val="006642E5"/>
    <w:rsid w:val="0066433A"/>
    <w:rsid w:val="006643A5"/>
    <w:rsid w:val="006643BB"/>
    <w:rsid w:val="00664485"/>
    <w:rsid w:val="00664B0D"/>
    <w:rsid w:val="00665171"/>
    <w:rsid w:val="00665599"/>
    <w:rsid w:val="00665717"/>
    <w:rsid w:val="006657A1"/>
    <w:rsid w:val="00665DD5"/>
    <w:rsid w:val="006661F2"/>
    <w:rsid w:val="006664A2"/>
    <w:rsid w:val="00666517"/>
    <w:rsid w:val="006665F5"/>
    <w:rsid w:val="006667ED"/>
    <w:rsid w:val="00666990"/>
    <w:rsid w:val="00666E50"/>
    <w:rsid w:val="00667324"/>
    <w:rsid w:val="00667393"/>
    <w:rsid w:val="0066742D"/>
    <w:rsid w:val="006678E5"/>
    <w:rsid w:val="00667AA4"/>
    <w:rsid w:val="00667D58"/>
    <w:rsid w:val="00667D5C"/>
    <w:rsid w:val="00667E86"/>
    <w:rsid w:val="006701F7"/>
    <w:rsid w:val="0067042C"/>
    <w:rsid w:val="0067077F"/>
    <w:rsid w:val="00670843"/>
    <w:rsid w:val="00670887"/>
    <w:rsid w:val="006709ED"/>
    <w:rsid w:val="00670EA3"/>
    <w:rsid w:val="00670F58"/>
    <w:rsid w:val="006710F3"/>
    <w:rsid w:val="006712D2"/>
    <w:rsid w:val="0067146D"/>
    <w:rsid w:val="00671D96"/>
    <w:rsid w:val="00671F62"/>
    <w:rsid w:val="006720F6"/>
    <w:rsid w:val="006724EC"/>
    <w:rsid w:val="00672744"/>
    <w:rsid w:val="00672877"/>
    <w:rsid w:val="00672893"/>
    <w:rsid w:val="006728A9"/>
    <w:rsid w:val="006728C3"/>
    <w:rsid w:val="00672998"/>
    <w:rsid w:val="00672D6E"/>
    <w:rsid w:val="0067312E"/>
    <w:rsid w:val="00673207"/>
    <w:rsid w:val="006732BE"/>
    <w:rsid w:val="00673441"/>
    <w:rsid w:val="00673DB2"/>
    <w:rsid w:val="00673DF4"/>
    <w:rsid w:val="00673EF9"/>
    <w:rsid w:val="00673FBC"/>
    <w:rsid w:val="006740E9"/>
    <w:rsid w:val="00674263"/>
    <w:rsid w:val="00674372"/>
    <w:rsid w:val="006743BC"/>
    <w:rsid w:val="00674447"/>
    <w:rsid w:val="006745E3"/>
    <w:rsid w:val="00674791"/>
    <w:rsid w:val="00674A34"/>
    <w:rsid w:val="00674DE0"/>
    <w:rsid w:val="0067510A"/>
    <w:rsid w:val="00675171"/>
    <w:rsid w:val="00675962"/>
    <w:rsid w:val="00675AC1"/>
    <w:rsid w:val="00675D53"/>
    <w:rsid w:val="00675D70"/>
    <w:rsid w:val="00675E5D"/>
    <w:rsid w:val="00675E81"/>
    <w:rsid w:val="0067606F"/>
    <w:rsid w:val="006761B8"/>
    <w:rsid w:val="006767EB"/>
    <w:rsid w:val="00676A0E"/>
    <w:rsid w:val="00676B58"/>
    <w:rsid w:val="00676EAC"/>
    <w:rsid w:val="006775E0"/>
    <w:rsid w:val="0067783E"/>
    <w:rsid w:val="00677879"/>
    <w:rsid w:val="00677DA0"/>
    <w:rsid w:val="00677DFD"/>
    <w:rsid w:val="00680409"/>
    <w:rsid w:val="00680474"/>
    <w:rsid w:val="006804B9"/>
    <w:rsid w:val="006805C7"/>
    <w:rsid w:val="00680611"/>
    <w:rsid w:val="00680669"/>
    <w:rsid w:val="006806C3"/>
    <w:rsid w:val="006810D7"/>
    <w:rsid w:val="00681124"/>
    <w:rsid w:val="006811A0"/>
    <w:rsid w:val="00681449"/>
    <w:rsid w:val="00681595"/>
    <w:rsid w:val="006817FD"/>
    <w:rsid w:val="00681997"/>
    <w:rsid w:val="00681C56"/>
    <w:rsid w:val="00681D2E"/>
    <w:rsid w:val="00681E3C"/>
    <w:rsid w:val="0068241B"/>
    <w:rsid w:val="00682467"/>
    <w:rsid w:val="00682782"/>
    <w:rsid w:val="00682806"/>
    <w:rsid w:val="00682C87"/>
    <w:rsid w:val="006833A6"/>
    <w:rsid w:val="0068342C"/>
    <w:rsid w:val="0068379D"/>
    <w:rsid w:val="0068381B"/>
    <w:rsid w:val="00683DAA"/>
    <w:rsid w:val="00683DD7"/>
    <w:rsid w:val="00684006"/>
    <w:rsid w:val="00684284"/>
    <w:rsid w:val="00684298"/>
    <w:rsid w:val="00684408"/>
    <w:rsid w:val="0068477C"/>
    <w:rsid w:val="006847C1"/>
    <w:rsid w:val="00684814"/>
    <w:rsid w:val="006848C6"/>
    <w:rsid w:val="00684946"/>
    <w:rsid w:val="006849A8"/>
    <w:rsid w:val="00684ADA"/>
    <w:rsid w:val="0068526C"/>
    <w:rsid w:val="006852A4"/>
    <w:rsid w:val="006852D1"/>
    <w:rsid w:val="00685457"/>
    <w:rsid w:val="00685CD2"/>
    <w:rsid w:val="006860AB"/>
    <w:rsid w:val="006860C1"/>
    <w:rsid w:val="0068611D"/>
    <w:rsid w:val="0068625E"/>
    <w:rsid w:val="006863D9"/>
    <w:rsid w:val="006864DA"/>
    <w:rsid w:val="00686738"/>
    <w:rsid w:val="00686E8E"/>
    <w:rsid w:val="00686F3F"/>
    <w:rsid w:val="006870CA"/>
    <w:rsid w:val="00687175"/>
    <w:rsid w:val="00687357"/>
    <w:rsid w:val="0068744A"/>
    <w:rsid w:val="006878AE"/>
    <w:rsid w:val="0068798D"/>
    <w:rsid w:val="006879C4"/>
    <w:rsid w:val="00687A09"/>
    <w:rsid w:val="0069012A"/>
    <w:rsid w:val="00690297"/>
    <w:rsid w:val="0069071A"/>
    <w:rsid w:val="00690854"/>
    <w:rsid w:val="0069108E"/>
    <w:rsid w:val="00691186"/>
    <w:rsid w:val="006913EE"/>
    <w:rsid w:val="006916B6"/>
    <w:rsid w:val="00691ABF"/>
    <w:rsid w:val="00691F42"/>
    <w:rsid w:val="00692194"/>
    <w:rsid w:val="00692480"/>
    <w:rsid w:val="006924F7"/>
    <w:rsid w:val="006925E3"/>
    <w:rsid w:val="00692A02"/>
    <w:rsid w:val="00692A14"/>
    <w:rsid w:val="00692A42"/>
    <w:rsid w:val="00692AAD"/>
    <w:rsid w:val="00692D61"/>
    <w:rsid w:val="00692EC8"/>
    <w:rsid w:val="00693069"/>
    <w:rsid w:val="00693549"/>
    <w:rsid w:val="006937A4"/>
    <w:rsid w:val="0069390F"/>
    <w:rsid w:val="00693C4D"/>
    <w:rsid w:val="00693CD3"/>
    <w:rsid w:val="00693DA0"/>
    <w:rsid w:val="0069435F"/>
    <w:rsid w:val="006943C2"/>
    <w:rsid w:val="00694A41"/>
    <w:rsid w:val="00694AA5"/>
    <w:rsid w:val="00694B70"/>
    <w:rsid w:val="00695141"/>
    <w:rsid w:val="00695311"/>
    <w:rsid w:val="00695460"/>
    <w:rsid w:val="00695502"/>
    <w:rsid w:val="0069559B"/>
    <w:rsid w:val="006957F1"/>
    <w:rsid w:val="0069590F"/>
    <w:rsid w:val="00695C5D"/>
    <w:rsid w:val="00695C8A"/>
    <w:rsid w:val="00695D77"/>
    <w:rsid w:val="00695F2B"/>
    <w:rsid w:val="00695FA3"/>
    <w:rsid w:val="00696008"/>
    <w:rsid w:val="006960FB"/>
    <w:rsid w:val="00696153"/>
    <w:rsid w:val="0069639B"/>
    <w:rsid w:val="00696A49"/>
    <w:rsid w:val="00696B2F"/>
    <w:rsid w:val="00696CF6"/>
    <w:rsid w:val="00696E35"/>
    <w:rsid w:val="00696E73"/>
    <w:rsid w:val="0069700C"/>
    <w:rsid w:val="006972DE"/>
    <w:rsid w:val="00697353"/>
    <w:rsid w:val="006975A3"/>
    <w:rsid w:val="006975A8"/>
    <w:rsid w:val="00697817"/>
    <w:rsid w:val="00697A3C"/>
    <w:rsid w:val="00697B5D"/>
    <w:rsid w:val="006A0180"/>
    <w:rsid w:val="006A041E"/>
    <w:rsid w:val="006A0614"/>
    <w:rsid w:val="006A0A3A"/>
    <w:rsid w:val="006A0A53"/>
    <w:rsid w:val="006A0E33"/>
    <w:rsid w:val="006A0E50"/>
    <w:rsid w:val="006A0FEF"/>
    <w:rsid w:val="006A1481"/>
    <w:rsid w:val="006A16D4"/>
    <w:rsid w:val="006A1AC0"/>
    <w:rsid w:val="006A1AD5"/>
    <w:rsid w:val="006A1E1E"/>
    <w:rsid w:val="006A1F18"/>
    <w:rsid w:val="006A1F7D"/>
    <w:rsid w:val="006A208F"/>
    <w:rsid w:val="006A21FF"/>
    <w:rsid w:val="006A2314"/>
    <w:rsid w:val="006A2401"/>
    <w:rsid w:val="006A2489"/>
    <w:rsid w:val="006A2923"/>
    <w:rsid w:val="006A2AA8"/>
    <w:rsid w:val="006A2ACF"/>
    <w:rsid w:val="006A2CC0"/>
    <w:rsid w:val="006A2E95"/>
    <w:rsid w:val="006A32C5"/>
    <w:rsid w:val="006A34D2"/>
    <w:rsid w:val="006A371A"/>
    <w:rsid w:val="006A3734"/>
    <w:rsid w:val="006A3D95"/>
    <w:rsid w:val="006A3DD4"/>
    <w:rsid w:val="006A3E25"/>
    <w:rsid w:val="006A419A"/>
    <w:rsid w:val="006A41C8"/>
    <w:rsid w:val="006A4937"/>
    <w:rsid w:val="006A4A82"/>
    <w:rsid w:val="006A4BC5"/>
    <w:rsid w:val="006A4C83"/>
    <w:rsid w:val="006A4E35"/>
    <w:rsid w:val="006A508D"/>
    <w:rsid w:val="006A5315"/>
    <w:rsid w:val="006A563D"/>
    <w:rsid w:val="006A595F"/>
    <w:rsid w:val="006A5983"/>
    <w:rsid w:val="006A5989"/>
    <w:rsid w:val="006A5BB1"/>
    <w:rsid w:val="006A5C5B"/>
    <w:rsid w:val="006A5DB4"/>
    <w:rsid w:val="006A5F2C"/>
    <w:rsid w:val="006A626A"/>
    <w:rsid w:val="006A6508"/>
    <w:rsid w:val="006A6520"/>
    <w:rsid w:val="006A68AA"/>
    <w:rsid w:val="006A691F"/>
    <w:rsid w:val="006A6B93"/>
    <w:rsid w:val="006A6D84"/>
    <w:rsid w:val="006A6D9A"/>
    <w:rsid w:val="006A6DAE"/>
    <w:rsid w:val="006A6E1C"/>
    <w:rsid w:val="006A6E61"/>
    <w:rsid w:val="006A708D"/>
    <w:rsid w:val="006A740D"/>
    <w:rsid w:val="006A74B4"/>
    <w:rsid w:val="006A7657"/>
    <w:rsid w:val="006A7990"/>
    <w:rsid w:val="006A7A27"/>
    <w:rsid w:val="006A7A4E"/>
    <w:rsid w:val="006A7AE8"/>
    <w:rsid w:val="006A7B72"/>
    <w:rsid w:val="006B032F"/>
    <w:rsid w:val="006B042C"/>
    <w:rsid w:val="006B04E8"/>
    <w:rsid w:val="006B057D"/>
    <w:rsid w:val="006B0AB3"/>
    <w:rsid w:val="006B0B85"/>
    <w:rsid w:val="006B0C9E"/>
    <w:rsid w:val="006B0E41"/>
    <w:rsid w:val="006B0F99"/>
    <w:rsid w:val="006B0F9D"/>
    <w:rsid w:val="006B1327"/>
    <w:rsid w:val="006B16FA"/>
    <w:rsid w:val="006B1851"/>
    <w:rsid w:val="006B18EB"/>
    <w:rsid w:val="006B191B"/>
    <w:rsid w:val="006B1997"/>
    <w:rsid w:val="006B1B99"/>
    <w:rsid w:val="006B1BA4"/>
    <w:rsid w:val="006B1C5F"/>
    <w:rsid w:val="006B1FF2"/>
    <w:rsid w:val="006B2046"/>
    <w:rsid w:val="006B20F1"/>
    <w:rsid w:val="006B223B"/>
    <w:rsid w:val="006B224B"/>
    <w:rsid w:val="006B2598"/>
    <w:rsid w:val="006B25E2"/>
    <w:rsid w:val="006B264C"/>
    <w:rsid w:val="006B26EA"/>
    <w:rsid w:val="006B277D"/>
    <w:rsid w:val="006B28F9"/>
    <w:rsid w:val="006B29CD"/>
    <w:rsid w:val="006B2DF4"/>
    <w:rsid w:val="006B2E3B"/>
    <w:rsid w:val="006B2F1C"/>
    <w:rsid w:val="006B32E4"/>
    <w:rsid w:val="006B3474"/>
    <w:rsid w:val="006B351C"/>
    <w:rsid w:val="006B35E8"/>
    <w:rsid w:val="006B3704"/>
    <w:rsid w:val="006B3795"/>
    <w:rsid w:val="006B37A6"/>
    <w:rsid w:val="006B39F2"/>
    <w:rsid w:val="006B3D23"/>
    <w:rsid w:val="006B3EF4"/>
    <w:rsid w:val="006B3F3D"/>
    <w:rsid w:val="006B4676"/>
    <w:rsid w:val="006B476E"/>
    <w:rsid w:val="006B489C"/>
    <w:rsid w:val="006B4C36"/>
    <w:rsid w:val="006B4D42"/>
    <w:rsid w:val="006B4FAD"/>
    <w:rsid w:val="006B50CC"/>
    <w:rsid w:val="006B520E"/>
    <w:rsid w:val="006B5308"/>
    <w:rsid w:val="006B59E3"/>
    <w:rsid w:val="006B5BAD"/>
    <w:rsid w:val="006B5BE3"/>
    <w:rsid w:val="006B5D65"/>
    <w:rsid w:val="006B627C"/>
    <w:rsid w:val="006B650B"/>
    <w:rsid w:val="006B65E4"/>
    <w:rsid w:val="006B666D"/>
    <w:rsid w:val="006B69C3"/>
    <w:rsid w:val="006B6B0F"/>
    <w:rsid w:val="006B6B16"/>
    <w:rsid w:val="006B6B66"/>
    <w:rsid w:val="006B6BA5"/>
    <w:rsid w:val="006B6E96"/>
    <w:rsid w:val="006B6ECB"/>
    <w:rsid w:val="006B7098"/>
    <w:rsid w:val="006B7502"/>
    <w:rsid w:val="006B7518"/>
    <w:rsid w:val="006B7FA6"/>
    <w:rsid w:val="006C001C"/>
    <w:rsid w:val="006C0379"/>
    <w:rsid w:val="006C079C"/>
    <w:rsid w:val="006C08E3"/>
    <w:rsid w:val="006C0A33"/>
    <w:rsid w:val="006C0E24"/>
    <w:rsid w:val="006C1B03"/>
    <w:rsid w:val="006C1B31"/>
    <w:rsid w:val="006C1E9A"/>
    <w:rsid w:val="006C1F97"/>
    <w:rsid w:val="006C1FA7"/>
    <w:rsid w:val="006C1FB5"/>
    <w:rsid w:val="006C2334"/>
    <w:rsid w:val="006C29BF"/>
    <w:rsid w:val="006C2C06"/>
    <w:rsid w:val="006C3016"/>
    <w:rsid w:val="006C30DF"/>
    <w:rsid w:val="006C3115"/>
    <w:rsid w:val="006C328B"/>
    <w:rsid w:val="006C36BD"/>
    <w:rsid w:val="006C3F3B"/>
    <w:rsid w:val="006C418F"/>
    <w:rsid w:val="006C4385"/>
    <w:rsid w:val="006C43D3"/>
    <w:rsid w:val="006C46A1"/>
    <w:rsid w:val="006C4B1B"/>
    <w:rsid w:val="006C4D59"/>
    <w:rsid w:val="006C4D6B"/>
    <w:rsid w:val="006C4DF4"/>
    <w:rsid w:val="006C4E0D"/>
    <w:rsid w:val="006C52F5"/>
    <w:rsid w:val="006C531C"/>
    <w:rsid w:val="006C5439"/>
    <w:rsid w:val="006C54BF"/>
    <w:rsid w:val="006C5517"/>
    <w:rsid w:val="006C5BFB"/>
    <w:rsid w:val="006C5FAF"/>
    <w:rsid w:val="006C5FEC"/>
    <w:rsid w:val="006C6691"/>
    <w:rsid w:val="006C6723"/>
    <w:rsid w:val="006C68B5"/>
    <w:rsid w:val="006C6982"/>
    <w:rsid w:val="006C69D2"/>
    <w:rsid w:val="006C6D06"/>
    <w:rsid w:val="006C6DE1"/>
    <w:rsid w:val="006C6E30"/>
    <w:rsid w:val="006C6F8B"/>
    <w:rsid w:val="006C6FB2"/>
    <w:rsid w:val="006C73C6"/>
    <w:rsid w:val="006C74F8"/>
    <w:rsid w:val="006C751F"/>
    <w:rsid w:val="006C7561"/>
    <w:rsid w:val="006C7565"/>
    <w:rsid w:val="006C79D2"/>
    <w:rsid w:val="006C7B7D"/>
    <w:rsid w:val="006C7FAA"/>
    <w:rsid w:val="006D06A4"/>
    <w:rsid w:val="006D084B"/>
    <w:rsid w:val="006D08D8"/>
    <w:rsid w:val="006D0A89"/>
    <w:rsid w:val="006D0BD8"/>
    <w:rsid w:val="006D0C3D"/>
    <w:rsid w:val="006D0DC0"/>
    <w:rsid w:val="006D0ECC"/>
    <w:rsid w:val="006D0FC1"/>
    <w:rsid w:val="006D1210"/>
    <w:rsid w:val="006D1244"/>
    <w:rsid w:val="006D1248"/>
    <w:rsid w:val="006D14DD"/>
    <w:rsid w:val="006D1620"/>
    <w:rsid w:val="006D1877"/>
    <w:rsid w:val="006D18CB"/>
    <w:rsid w:val="006D1C54"/>
    <w:rsid w:val="006D1E78"/>
    <w:rsid w:val="006D1F52"/>
    <w:rsid w:val="006D2397"/>
    <w:rsid w:val="006D2619"/>
    <w:rsid w:val="006D2A02"/>
    <w:rsid w:val="006D2ABF"/>
    <w:rsid w:val="006D2DE9"/>
    <w:rsid w:val="006D312E"/>
    <w:rsid w:val="006D32CA"/>
    <w:rsid w:val="006D3908"/>
    <w:rsid w:val="006D393E"/>
    <w:rsid w:val="006D39F8"/>
    <w:rsid w:val="006D3D23"/>
    <w:rsid w:val="006D3DCC"/>
    <w:rsid w:val="006D3EFA"/>
    <w:rsid w:val="006D3FAF"/>
    <w:rsid w:val="006D4010"/>
    <w:rsid w:val="006D4091"/>
    <w:rsid w:val="006D45B0"/>
    <w:rsid w:val="006D46F8"/>
    <w:rsid w:val="006D4A44"/>
    <w:rsid w:val="006D4AB3"/>
    <w:rsid w:val="006D4AC7"/>
    <w:rsid w:val="006D5194"/>
    <w:rsid w:val="006D5373"/>
    <w:rsid w:val="006D5374"/>
    <w:rsid w:val="006D5577"/>
    <w:rsid w:val="006D560A"/>
    <w:rsid w:val="006D5633"/>
    <w:rsid w:val="006D5CDF"/>
    <w:rsid w:val="006D5E07"/>
    <w:rsid w:val="006D6088"/>
    <w:rsid w:val="006D621B"/>
    <w:rsid w:val="006D62E3"/>
    <w:rsid w:val="006D683D"/>
    <w:rsid w:val="006D68E0"/>
    <w:rsid w:val="006D6A1E"/>
    <w:rsid w:val="006D6A2E"/>
    <w:rsid w:val="006D6DD1"/>
    <w:rsid w:val="006D7253"/>
    <w:rsid w:val="006D75A1"/>
    <w:rsid w:val="006D7860"/>
    <w:rsid w:val="006D7A3B"/>
    <w:rsid w:val="006D7E2A"/>
    <w:rsid w:val="006E0365"/>
    <w:rsid w:val="006E0408"/>
    <w:rsid w:val="006E0B2E"/>
    <w:rsid w:val="006E0E51"/>
    <w:rsid w:val="006E0F1B"/>
    <w:rsid w:val="006E10C8"/>
    <w:rsid w:val="006E11F9"/>
    <w:rsid w:val="006E12AF"/>
    <w:rsid w:val="006E1313"/>
    <w:rsid w:val="006E18B5"/>
    <w:rsid w:val="006E1A59"/>
    <w:rsid w:val="006E1B63"/>
    <w:rsid w:val="006E1C40"/>
    <w:rsid w:val="006E1EB9"/>
    <w:rsid w:val="006E2178"/>
    <w:rsid w:val="006E220A"/>
    <w:rsid w:val="006E2559"/>
    <w:rsid w:val="006E293D"/>
    <w:rsid w:val="006E2D0B"/>
    <w:rsid w:val="006E2ED3"/>
    <w:rsid w:val="006E2FAA"/>
    <w:rsid w:val="006E3098"/>
    <w:rsid w:val="006E30E6"/>
    <w:rsid w:val="006E30E7"/>
    <w:rsid w:val="006E3227"/>
    <w:rsid w:val="006E37D2"/>
    <w:rsid w:val="006E3992"/>
    <w:rsid w:val="006E3A0F"/>
    <w:rsid w:val="006E3DB4"/>
    <w:rsid w:val="006E3DDB"/>
    <w:rsid w:val="006E42A2"/>
    <w:rsid w:val="006E4506"/>
    <w:rsid w:val="006E45DC"/>
    <w:rsid w:val="006E466E"/>
    <w:rsid w:val="006E46AE"/>
    <w:rsid w:val="006E492C"/>
    <w:rsid w:val="006E4ACF"/>
    <w:rsid w:val="006E4D8A"/>
    <w:rsid w:val="006E4E3A"/>
    <w:rsid w:val="006E5136"/>
    <w:rsid w:val="006E5520"/>
    <w:rsid w:val="006E5572"/>
    <w:rsid w:val="006E5758"/>
    <w:rsid w:val="006E590D"/>
    <w:rsid w:val="006E5D1B"/>
    <w:rsid w:val="006E5E3F"/>
    <w:rsid w:val="006E60E4"/>
    <w:rsid w:val="006E61B9"/>
    <w:rsid w:val="006E6344"/>
    <w:rsid w:val="006E6462"/>
    <w:rsid w:val="006E66B8"/>
    <w:rsid w:val="006E6EAD"/>
    <w:rsid w:val="006E742D"/>
    <w:rsid w:val="006E74B7"/>
    <w:rsid w:val="006E7744"/>
    <w:rsid w:val="006E79CF"/>
    <w:rsid w:val="006F061F"/>
    <w:rsid w:val="006F0622"/>
    <w:rsid w:val="006F07F0"/>
    <w:rsid w:val="006F0B5C"/>
    <w:rsid w:val="006F0D73"/>
    <w:rsid w:val="006F0F0D"/>
    <w:rsid w:val="006F125D"/>
    <w:rsid w:val="006F1E05"/>
    <w:rsid w:val="006F2012"/>
    <w:rsid w:val="006F21B7"/>
    <w:rsid w:val="006F2297"/>
    <w:rsid w:val="006F285E"/>
    <w:rsid w:val="006F2D1D"/>
    <w:rsid w:val="006F3212"/>
    <w:rsid w:val="006F33FB"/>
    <w:rsid w:val="006F35D6"/>
    <w:rsid w:val="006F36A2"/>
    <w:rsid w:val="006F3841"/>
    <w:rsid w:val="006F3A63"/>
    <w:rsid w:val="006F3BB8"/>
    <w:rsid w:val="006F3BFE"/>
    <w:rsid w:val="006F3CA3"/>
    <w:rsid w:val="006F4090"/>
    <w:rsid w:val="006F40C5"/>
    <w:rsid w:val="006F41DC"/>
    <w:rsid w:val="006F425B"/>
    <w:rsid w:val="006F45D8"/>
    <w:rsid w:val="006F476B"/>
    <w:rsid w:val="006F493B"/>
    <w:rsid w:val="006F49BC"/>
    <w:rsid w:val="006F4CC0"/>
    <w:rsid w:val="006F4F18"/>
    <w:rsid w:val="006F4FE0"/>
    <w:rsid w:val="006F500F"/>
    <w:rsid w:val="006F5081"/>
    <w:rsid w:val="006F524A"/>
    <w:rsid w:val="006F574F"/>
    <w:rsid w:val="006F58CC"/>
    <w:rsid w:val="006F5990"/>
    <w:rsid w:val="006F5AA4"/>
    <w:rsid w:val="006F5F7D"/>
    <w:rsid w:val="006F6166"/>
    <w:rsid w:val="006F64AE"/>
    <w:rsid w:val="006F66C9"/>
    <w:rsid w:val="006F6776"/>
    <w:rsid w:val="006F6929"/>
    <w:rsid w:val="006F6A9E"/>
    <w:rsid w:val="006F6B92"/>
    <w:rsid w:val="006F7041"/>
    <w:rsid w:val="006F71C6"/>
    <w:rsid w:val="006F754E"/>
    <w:rsid w:val="006F765D"/>
    <w:rsid w:val="006F7A8A"/>
    <w:rsid w:val="006F7D6B"/>
    <w:rsid w:val="00700142"/>
    <w:rsid w:val="007005C7"/>
    <w:rsid w:val="007009C9"/>
    <w:rsid w:val="00700B43"/>
    <w:rsid w:val="00700E82"/>
    <w:rsid w:val="00701375"/>
    <w:rsid w:val="007013F7"/>
    <w:rsid w:val="00701491"/>
    <w:rsid w:val="0070185F"/>
    <w:rsid w:val="007018F0"/>
    <w:rsid w:val="0070198F"/>
    <w:rsid w:val="00701A11"/>
    <w:rsid w:val="00701CCD"/>
    <w:rsid w:val="00701F06"/>
    <w:rsid w:val="007021C4"/>
    <w:rsid w:val="007021C5"/>
    <w:rsid w:val="00702463"/>
    <w:rsid w:val="0070270C"/>
    <w:rsid w:val="00702BA5"/>
    <w:rsid w:val="00702CF3"/>
    <w:rsid w:val="00703235"/>
    <w:rsid w:val="00703282"/>
    <w:rsid w:val="007032C7"/>
    <w:rsid w:val="00703371"/>
    <w:rsid w:val="007037C3"/>
    <w:rsid w:val="00703891"/>
    <w:rsid w:val="00703DE9"/>
    <w:rsid w:val="00703EC5"/>
    <w:rsid w:val="00703F9F"/>
    <w:rsid w:val="00704557"/>
    <w:rsid w:val="0070478B"/>
    <w:rsid w:val="0070499B"/>
    <w:rsid w:val="00704C88"/>
    <w:rsid w:val="00704ED2"/>
    <w:rsid w:val="00704FFA"/>
    <w:rsid w:val="0070596A"/>
    <w:rsid w:val="00705B7D"/>
    <w:rsid w:val="00705CD2"/>
    <w:rsid w:val="00705E0B"/>
    <w:rsid w:val="00705E9B"/>
    <w:rsid w:val="00705EB9"/>
    <w:rsid w:val="00705FD6"/>
    <w:rsid w:val="00706040"/>
    <w:rsid w:val="00706073"/>
    <w:rsid w:val="0070628D"/>
    <w:rsid w:val="00706415"/>
    <w:rsid w:val="00706466"/>
    <w:rsid w:val="00706518"/>
    <w:rsid w:val="00706621"/>
    <w:rsid w:val="007066BD"/>
    <w:rsid w:val="007068F0"/>
    <w:rsid w:val="00706C7E"/>
    <w:rsid w:val="00706E7F"/>
    <w:rsid w:val="007077C4"/>
    <w:rsid w:val="007077EC"/>
    <w:rsid w:val="007078B0"/>
    <w:rsid w:val="00710277"/>
    <w:rsid w:val="00710493"/>
    <w:rsid w:val="007109C0"/>
    <w:rsid w:val="00710A65"/>
    <w:rsid w:val="00710C1A"/>
    <w:rsid w:val="00710FFA"/>
    <w:rsid w:val="00711165"/>
    <w:rsid w:val="0071117A"/>
    <w:rsid w:val="00711DB8"/>
    <w:rsid w:val="00711F0C"/>
    <w:rsid w:val="00711FE8"/>
    <w:rsid w:val="00712618"/>
    <w:rsid w:val="007126E2"/>
    <w:rsid w:val="007128A0"/>
    <w:rsid w:val="00712A4F"/>
    <w:rsid w:val="00712E6D"/>
    <w:rsid w:val="00712FC8"/>
    <w:rsid w:val="007130DF"/>
    <w:rsid w:val="00713555"/>
    <w:rsid w:val="0071365E"/>
    <w:rsid w:val="0071378A"/>
    <w:rsid w:val="00713868"/>
    <w:rsid w:val="007139A4"/>
    <w:rsid w:val="00713A3F"/>
    <w:rsid w:val="007141D9"/>
    <w:rsid w:val="00714224"/>
    <w:rsid w:val="007146AB"/>
    <w:rsid w:val="00714828"/>
    <w:rsid w:val="00715423"/>
    <w:rsid w:val="00715478"/>
    <w:rsid w:val="00715566"/>
    <w:rsid w:val="007156CA"/>
    <w:rsid w:val="0071578A"/>
    <w:rsid w:val="007159FA"/>
    <w:rsid w:val="00715A42"/>
    <w:rsid w:val="007161B6"/>
    <w:rsid w:val="0071621C"/>
    <w:rsid w:val="007166F1"/>
    <w:rsid w:val="00716726"/>
    <w:rsid w:val="00716770"/>
    <w:rsid w:val="0071698E"/>
    <w:rsid w:val="00716E6F"/>
    <w:rsid w:val="00717266"/>
    <w:rsid w:val="00717C23"/>
    <w:rsid w:val="007200FF"/>
    <w:rsid w:val="007201DF"/>
    <w:rsid w:val="007202EE"/>
    <w:rsid w:val="0072038D"/>
    <w:rsid w:val="007204EB"/>
    <w:rsid w:val="007208CC"/>
    <w:rsid w:val="007209D5"/>
    <w:rsid w:val="00720DB7"/>
    <w:rsid w:val="00720DDE"/>
    <w:rsid w:val="00720EA2"/>
    <w:rsid w:val="00720FD6"/>
    <w:rsid w:val="00721536"/>
    <w:rsid w:val="00721607"/>
    <w:rsid w:val="00721872"/>
    <w:rsid w:val="00722003"/>
    <w:rsid w:val="0072246A"/>
    <w:rsid w:val="00722592"/>
    <w:rsid w:val="00722598"/>
    <w:rsid w:val="00722720"/>
    <w:rsid w:val="00722C45"/>
    <w:rsid w:val="00722DEE"/>
    <w:rsid w:val="00722E0E"/>
    <w:rsid w:val="00722F77"/>
    <w:rsid w:val="00723290"/>
    <w:rsid w:val="007233CB"/>
    <w:rsid w:val="0072354E"/>
    <w:rsid w:val="007235DE"/>
    <w:rsid w:val="0072377E"/>
    <w:rsid w:val="00723904"/>
    <w:rsid w:val="0072390E"/>
    <w:rsid w:val="007239AA"/>
    <w:rsid w:val="00723B08"/>
    <w:rsid w:val="00723BFB"/>
    <w:rsid w:val="00723F09"/>
    <w:rsid w:val="00723F3A"/>
    <w:rsid w:val="0072416C"/>
    <w:rsid w:val="0072472B"/>
    <w:rsid w:val="007247F7"/>
    <w:rsid w:val="00724818"/>
    <w:rsid w:val="00724856"/>
    <w:rsid w:val="00724978"/>
    <w:rsid w:val="00724A33"/>
    <w:rsid w:val="00724A4E"/>
    <w:rsid w:val="00724C1A"/>
    <w:rsid w:val="00724EC9"/>
    <w:rsid w:val="00724ECB"/>
    <w:rsid w:val="00724FE9"/>
    <w:rsid w:val="00725132"/>
    <w:rsid w:val="00725313"/>
    <w:rsid w:val="0072563D"/>
    <w:rsid w:val="007256FA"/>
    <w:rsid w:val="00725701"/>
    <w:rsid w:val="00725FE2"/>
    <w:rsid w:val="00726102"/>
    <w:rsid w:val="0072622E"/>
    <w:rsid w:val="0072626D"/>
    <w:rsid w:val="007264D8"/>
    <w:rsid w:val="0072650C"/>
    <w:rsid w:val="0072663B"/>
    <w:rsid w:val="0072673A"/>
    <w:rsid w:val="007267A9"/>
    <w:rsid w:val="00726F43"/>
    <w:rsid w:val="007270F0"/>
    <w:rsid w:val="00727323"/>
    <w:rsid w:val="00727357"/>
    <w:rsid w:val="007278F4"/>
    <w:rsid w:val="00727A09"/>
    <w:rsid w:val="00727AD6"/>
    <w:rsid w:val="007300A1"/>
    <w:rsid w:val="007300C6"/>
    <w:rsid w:val="00730223"/>
    <w:rsid w:val="0073085E"/>
    <w:rsid w:val="00730D28"/>
    <w:rsid w:val="00730D69"/>
    <w:rsid w:val="00730D97"/>
    <w:rsid w:val="0073100F"/>
    <w:rsid w:val="00731024"/>
    <w:rsid w:val="007311BA"/>
    <w:rsid w:val="00731310"/>
    <w:rsid w:val="00731784"/>
    <w:rsid w:val="00731B96"/>
    <w:rsid w:val="007322C3"/>
    <w:rsid w:val="0073234E"/>
    <w:rsid w:val="0073248C"/>
    <w:rsid w:val="0073257C"/>
    <w:rsid w:val="00732647"/>
    <w:rsid w:val="007326BD"/>
    <w:rsid w:val="0073287E"/>
    <w:rsid w:val="00732AE3"/>
    <w:rsid w:val="00732B57"/>
    <w:rsid w:val="00732EB7"/>
    <w:rsid w:val="00733476"/>
    <w:rsid w:val="007335F6"/>
    <w:rsid w:val="00733753"/>
    <w:rsid w:val="00733A79"/>
    <w:rsid w:val="00733B86"/>
    <w:rsid w:val="00733F43"/>
    <w:rsid w:val="007347E1"/>
    <w:rsid w:val="00734BBD"/>
    <w:rsid w:val="00734C42"/>
    <w:rsid w:val="00734CB0"/>
    <w:rsid w:val="00734EF9"/>
    <w:rsid w:val="00734F1D"/>
    <w:rsid w:val="007351AA"/>
    <w:rsid w:val="00735308"/>
    <w:rsid w:val="00735514"/>
    <w:rsid w:val="007356D6"/>
    <w:rsid w:val="00735895"/>
    <w:rsid w:val="00735F19"/>
    <w:rsid w:val="007361C5"/>
    <w:rsid w:val="00736431"/>
    <w:rsid w:val="007366B2"/>
    <w:rsid w:val="00736842"/>
    <w:rsid w:val="00736BC6"/>
    <w:rsid w:val="00736C09"/>
    <w:rsid w:val="00736C3A"/>
    <w:rsid w:val="00736E2C"/>
    <w:rsid w:val="00736E9C"/>
    <w:rsid w:val="0073704E"/>
    <w:rsid w:val="00737221"/>
    <w:rsid w:val="00737461"/>
    <w:rsid w:val="007374B1"/>
    <w:rsid w:val="007374CA"/>
    <w:rsid w:val="00737686"/>
    <w:rsid w:val="007376CA"/>
    <w:rsid w:val="0073791D"/>
    <w:rsid w:val="007379D5"/>
    <w:rsid w:val="00737B5A"/>
    <w:rsid w:val="00737B96"/>
    <w:rsid w:val="00737BEF"/>
    <w:rsid w:val="007400D6"/>
    <w:rsid w:val="00740649"/>
    <w:rsid w:val="0074068B"/>
    <w:rsid w:val="0074069B"/>
    <w:rsid w:val="007407D0"/>
    <w:rsid w:val="007408AD"/>
    <w:rsid w:val="00740E53"/>
    <w:rsid w:val="00740F35"/>
    <w:rsid w:val="00741106"/>
    <w:rsid w:val="0074111B"/>
    <w:rsid w:val="00741257"/>
    <w:rsid w:val="00741259"/>
    <w:rsid w:val="007412D5"/>
    <w:rsid w:val="007412F6"/>
    <w:rsid w:val="007414B3"/>
    <w:rsid w:val="00741B00"/>
    <w:rsid w:val="00741D48"/>
    <w:rsid w:val="00741D54"/>
    <w:rsid w:val="00741D5A"/>
    <w:rsid w:val="00742217"/>
    <w:rsid w:val="00742B0E"/>
    <w:rsid w:val="00742CDA"/>
    <w:rsid w:val="00742E8E"/>
    <w:rsid w:val="00742FCA"/>
    <w:rsid w:val="00743114"/>
    <w:rsid w:val="00743481"/>
    <w:rsid w:val="007437F1"/>
    <w:rsid w:val="00743954"/>
    <w:rsid w:val="00743AFD"/>
    <w:rsid w:val="00743DC9"/>
    <w:rsid w:val="0074429D"/>
    <w:rsid w:val="007445AC"/>
    <w:rsid w:val="00744779"/>
    <w:rsid w:val="007448F8"/>
    <w:rsid w:val="0074521B"/>
    <w:rsid w:val="007453DE"/>
    <w:rsid w:val="00745519"/>
    <w:rsid w:val="007455A8"/>
    <w:rsid w:val="007456FB"/>
    <w:rsid w:val="00745918"/>
    <w:rsid w:val="00745B75"/>
    <w:rsid w:val="00745D14"/>
    <w:rsid w:val="00745DD1"/>
    <w:rsid w:val="00745E68"/>
    <w:rsid w:val="00745F4D"/>
    <w:rsid w:val="007466D7"/>
    <w:rsid w:val="0074683B"/>
    <w:rsid w:val="00746AA8"/>
    <w:rsid w:val="00746B61"/>
    <w:rsid w:val="00746C69"/>
    <w:rsid w:val="007474CA"/>
    <w:rsid w:val="007475BB"/>
    <w:rsid w:val="00747796"/>
    <w:rsid w:val="00747981"/>
    <w:rsid w:val="007479F3"/>
    <w:rsid w:val="00747A20"/>
    <w:rsid w:val="00747F8F"/>
    <w:rsid w:val="00750082"/>
    <w:rsid w:val="0075011F"/>
    <w:rsid w:val="00750405"/>
    <w:rsid w:val="007506DF"/>
    <w:rsid w:val="0075085F"/>
    <w:rsid w:val="0075088F"/>
    <w:rsid w:val="007508F8"/>
    <w:rsid w:val="0075091B"/>
    <w:rsid w:val="00750921"/>
    <w:rsid w:val="00750EF8"/>
    <w:rsid w:val="007514F0"/>
    <w:rsid w:val="00751E74"/>
    <w:rsid w:val="00752041"/>
    <w:rsid w:val="00752128"/>
    <w:rsid w:val="0075245A"/>
    <w:rsid w:val="00752A25"/>
    <w:rsid w:val="00752B4C"/>
    <w:rsid w:val="00752D4E"/>
    <w:rsid w:val="00752E9B"/>
    <w:rsid w:val="00752FEA"/>
    <w:rsid w:val="007530B2"/>
    <w:rsid w:val="007530DC"/>
    <w:rsid w:val="00753212"/>
    <w:rsid w:val="00753298"/>
    <w:rsid w:val="0075352D"/>
    <w:rsid w:val="007536C7"/>
    <w:rsid w:val="007538FA"/>
    <w:rsid w:val="0075392A"/>
    <w:rsid w:val="00753CAC"/>
    <w:rsid w:val="00753CBC"/>
    <w:rsid w:val="00753EB1"/>
    <w:rsid w:val="00753F0F"/>
    <w:rsid w:val="00753F57"/>
    <w:rsid w:val="00753FFB"/>
    <w:rsid w:val="0075401A"/>
    <w:rsid w:val="007542D5"/>
    <w:rsid w:val="00754712"/>
    <w:rsid w:val="00754831"/>
    <w:rsid w:val="0075497D"/>
    <w:rsid w:val="00754BD6"/>
    <w:rsid w:val="00754BF6"/>
    <w:rsid w:val="00754CD2"/>
    <w:rsid w:val="00754D72"/>
    <w:rsid w:val="00755113"/>
    <w:rsid w:val="00755363"/>
    <w:rsid w:val="00755A14"/>
    <w:rsid w:val="00755AB2"/>
    <w:rsid w:val="00756415"/>
    <w:rsid w:val="007566CE"/>
    <w:rsid w:val="007568E8"/>
    <w:rsid w:val="00756935"/>
    <w:rsid w:val="00756C70"/>
    <w:rsid w:val="00756E53"/>
    <w:rsid w:val="0075723A"/>
    <w:rsid w:val="0075753E"/>
    <w:rsid w:val="00757541"/>
    <w:rsid w:val="007576D8"/>
    <w:rsid w:val="00757757"/>
    <w:rsid w:val="00757A2A"/>
    <w:rsid w:val="00757B69"/>
    <w:rsid w:val="00757DD1"/>
    <w:rsid w:val="007600F4"/>
    <w:rsid w:val="00760239"/>
    <w:rsid w:val="007603AE"/>
    <w:rsid w:val="0076054B"/>
    <w:rsid w:val="007605BF"/>
    <w:rsid w:val="00760871"/>
    <w:rsid w:val="00760A22"/>
    <w:rsid w:val="00760AD3"/>
    <w:rsid w:val="00760EF8"/>
    <w:rsid w:val="007612AB"/>
    <w:rsid w:val="0076168F"/>
    <w:rsid w:val="007617EB"/>
    <w:rsid w:val="00761C44"/>
    <w:rsid w:val="00761C48"/>
    <w:rsid w:val="00762024"/>
    <w:rsid w:val="007622BF"/>
    <w:rsid w:val="007627F2"/>
    <w:rsid w:val="00762833"/>
    <w:rsid w:val="00762BA6"/>
    <w:rsid w:val="00762F50"/>
    <w:rsid w:val="00763199"/>
    <w:rsid w:val="00763264"/>
    <w:rsid w:val="007636A1"/>
    <w:rsid w:val="0076378E"/>
    <w:rsid w:val="007639B1"/>
    <w:rsid w:val="00763F41"/>
    <w:rsid w:val="00763F91"/>
    <w:rsid w:val="00764132"/>
    <w:rsid w:val="0076427E"/>
    <w:rsid w:val="00764559"/>
    <w:rsid w:val="007645D2"/>
    <w:rsid w:val="0076465D"/>
    <w:rsid w:val="007646E0"/>
    <w:rsid w:val="0076485F"/>
    <w:rsid w:val="00764AC9"/>
    <w:rsid w:val="00764E1A"/>
    <w:rsid w:val="00764E49"/>
    <w:rsid w:val="00764E8A"/>
    <w:rsid w:val="0076539A"/>
    <w:rsid w:val="007653AE"/>
    <w:rsid w:val="00765766"/>
    <w:rsid w:val="00765CF5"/>
    <w:rsid w:val="00765E0C"/>
    <w:rsid w:val="00765F4A"/>
    <w:rsid w:val="00766205"/>
    <w:rsid w:val="007664F6"/>
    <w:rsid w:val="007667E1"/>
    <w:rsid w:val="007669A2"/>
    <w:rsid w:val="00766D0D"/>
    <w:rsid w:val="00766DAD"/>
    <w:rsid w:val="007673FE"/>
    <w:rsid w:val="0076758C"/>
    <w:rsid w:val="0076769E"/>
    <w:rsid w:val="007679C9"/>
    <w:rsid w:val="00767DBC"/>
    <w:rsid w:val="00767E04"/>
    <w:rsid w:val="00767F7B"/>
    <w:rsid w:val="0077005C"/>
    <w:rsid w:val="00770189"/>
    <w:rsid w:val="007701F3"/>
    <w:rsid w:val="0077044F"/>
    <w:rsid w:val="0077061A"/>
    <w:rsid w:val="00770637"/>
    <w:rsid w:val="007707AE"/>
    <w:rsid w:val="00770848"/>
    <w:rsid w:val="00770BD7"/>
    <w:rsid w:val="00770C41"/>
    <w:rsid w:val="00770CF9"/>
    <w:rsid w:val="00771036"/>
    <w:rsid w:val="0077115F"/>
    <w:rsid w:val="007713E5"/>
    <w:rsid w:val="00771601"/>
    <w:rsid w:val="007716E4"/>
    <w:rsid w:val="00771AD7"/>
    <w:rsid w:val="0077251A"/>
    <w:rsid w:val="00772623"/>
    <w:rsid w:val="007729E8"/>
    <w:rsid w:val="00772C5A"/>
    <w:rsid w:val="00772E13"/>
    <w:rsid w:val="00773425"/>
    <w:rsid w:val="00773539"/>
    <w:rsid w:val="007736AE"/>
    <w:rsid w:val="00773A35"/>
    <w:rsid w:val="00773C70"/>
    <w:rsid w:val="00773DE3"/>
    <w:rsid w:val="00774093"/>
    <w:rsid w:val="0077409D"/>
    <w:rsid w:val="007741B5"/>
    <w:rsid w:val="00774396"/>
    <w:rsid w:val="00774A2D"/>
    <w:rsid w:val="00774AAB"/>
    <w:rsid w:val="00774AD0"/>
    <w:rsid w:val="00774FB6"/>
    <w:rsid w:val="0077500A"/>
    <w:rsid w:val="00775315"/>
    <w:rsid w:val="0077537E"/>
    <w:rsid w:val="007754E9"/>
    <w:rsid w:val="007755CF"/>
    <w:rsid w:val="00775722"/>
    <w:rsid w:val="007758AA"/>
    <w:rsid w:val="007758C0"/>
    <w:rsid w:val="00775D6A"/>
    <w:rsid w:val="00775FE8"/>
    <w:rsid w:val="00776111"/>
    <w:rsid w:val="0077623C"/>
    <w:rsid w:val="0077645E"/>
    <w:rsid w:val="00776561"/>
    <w:rsid w:val="00776AC0"/>
    <w:rsid w:val="00776AF7"/>
    <w:rsid w:val="00776BCB"/>
    <w:rsid w:val="00776C01"/>
    <w:rsid w:val="00776FAE"/>
    <w:rsid w:val="00777273"/>
    <w:rsid w:val="007773BF"/>
    <w:rsid w:val="00777559"/>
    <w:rsid w:val="0077766C"/>
    <w:rsid w:val="0077772E"/>
    <w:rsid w:val="007777A3"/>
    <w:rsid w:val="00777B40"/>
    <w:rsid w:val="00780191"/>
    <w:rsid w:val="0078057E"/>
    <w:rsid w:val="00780584"/>
    <w:rsid w:val="007805CF"/>
    <w:rsid w:val="007809B5"/>
    <w:rsid w:val="00780B45"/>
    <w:rsid w:val="00780D0B"/>
    <w:rsid w:val="00780E80"/>
    <w:rsid w:val="007811E6"/>
    <w:rsid w:val="00781590"/>
    <w:rsid w:val="0078178E"/>
    <w:rsid w:val="007817C4"/>
    <w:rsid w:val="007819C7"/>
    <w:rsid w:val="00781DED"/>
    <w:rsid w:val="00781F02"/>
    <w:rsid w:val="0078204C"/>
    <w:rsid w:val="007821F7"/>
    <w:rsid w:val="00782201"/>
    <w:rsid w:val="00782211"/>
    <w:rsid w:val="00782384"/>
    <w:rsid w:val="00782580"/>
    <w:rsid w:val="007827F9"/>
    <w:rsid w:val="0078288C"/>
    <w:rsid w:val="00782991"/>
    <w:rsid w:val="00782B57"/>
    <w:rsid w:val="00783014"/>
    <w:rsid w:val="007830D6"/>
    <w:rsid w:val="0078349B"/>
    <w:rsid w:val="007836DA"/>
    <w:rsid w:val="00783A5E"/>
    <w:rsid w:val="00783A61"/>
    <w:rsid w:val="00783D8B"/>
    <w:rsid w:val="00783FD8"/>
    <w:rsid w:val="00784508"/>
    <w:rsid w:val="007845BB"/>
    <w:rsid w:val="00784724"/>
    <w:rsid w:val="00784796"/>
    <w:rsid w:val="00784B52"/>
    <w:rsid w:val="00784BB4"/>
    <w:rsid w:val="007851D6"/>
    <w:rsid w:val="007852A7"/>
    <w:rsid w:val="007854CB"/>
    <w:rsid w:val="00785627"/>
    <w:rsid w:val="00785750"/>
    <w:rsid w:val="00785CC0"/>
    <w:rsid w:val="00785D2F"/>
    <w:rsid w:val="00785E5B"/>
    <w:rsid w:val="0078633A"/>
    <w:rsid w:val="007863F4"/>
    <w:rsid w:val="0078668D"/>
    <w:rsid w:val="0078671A"/>
    <w:rsid w:val="007868CB"/>
    <w:rsid w:val="00786AC0"/>
    <w:rsid w:val="00786C2D"/>
    <w:rsid w:val="00786CA0"/>
    <w:rsid w:val="00786CF7"/>
    <w:rsid w:val="00786EAD"/>
    <w:rsid w:val="00786F12"/>
    <w:rsid w:val="0078713E"/>
    <w:rsid w:val="00787185"/>
    <w:rsid w:val="00787225"/>
    <w:rsid w:val="00787E2B"/>
    <w:rsid w:val="00787EC9"/>
    <w:rsid w:val="007900D6"/>
    <w:rsid w:val="007901AB"/>
    <w:rsid w:val="00790390"/>
    <w:rsid w:val="00790777"/>
    <w:rsid w:val="00790BF4"/>
    <w:rsid w:val="00790CD0"/>
    <w:rsid w:val="00790DF5"/>
    <w:rsid w:val="0079198D"/>
    <w:rsid w:val="00791BD0"/>
    <w:rsid w:val="00791D82"/>
    <w:rsid w:val="00791E01"/>
    <w:rsid w:val="00791ECD"/>
    <w:rsid w:val="00791EF0"/>
    <w:rsid w:val="007924A5"/>
    <w:rsid w:val="0079256F"/>
    <w:rsid w:val="0079273E"/>
    <w:rsid w:val="00792A45"/>
    <w:rsid w:val="0079307C"/>
    <w:rsid w:val="007934EE"/>
    <w:rsid w:val="007936A4"/>
    <w:rsid w:val="00793877"/>
    <w:rsid w:val="00793D52"/>
    <w:rsid w:val="00793DC9"/>
    <w:rsid w:val="00793F0D"/>
    <w:rsid w:val="00793F12"/>
    <w:rsid w:val="00793F66"/>
    <w:rsid w:val="00794389"/>
    <w:rsid w:val="007946EC"/>
    <w:rsid w:val="007948E4"/>
    <w:rsid w:val="00794C01"/>
    <w:rsid w:val="007957E1"/>
    <w:rsid w:val="007959D9"/>
    <w:rsid w:val="00795A62"/>
    <w:rsid w:val="00795A8E"/>
    <w:rsid w:val="00795B55"/>
    <w:rsid w:val="00795EF3"/>
    <w:rsid w:val="007960FA"/>
    <w:rsid w:val="0079614B"/>
    <w:rsid w:val="007967DD"/>
    <w:rsid w:val="00796887"/>
    <w:rsid w:val="00796D0F"/>
    <w:rsid w:val="00796DB7"/>
    <w:rsid w:val="00797102"/>
    <w:rsid w:val="0079711F"/>
    <w:rsid w:val="00797254"/>
    <w:rsid w:val="00797598"/>
    <w:rsid w:val="007976B9"/>
    <w:rsid w:val="007976F2"/>
    <w:rsid w:val="0079790F"/>
    <w:rsid w:val="00797D3F"/>
    <w:rsid w:val="007A000E"/>
    <w:rsid w:val="007A0140"/>
    <w:rsid w:val="007A1049"/>
    <w:rsid w:val="007A1716"/>
    <w:rsid w:val="007A17A4"/>
    <w:rsid w:val="007A192F"/>
    <w:rsid w:val="007A1DD1"/>
    <w:rsid w:val="007A1F4F"/>
    <w:rsid w:val="007A2098"/>
    <w:rsid w:val="007A22C5"/>
    <w:rsid w:val="007A22C9"/>
    <w:rsid w:val="007A22FE"/>
    <w:rsid w:val="007A24C0"/>
    <w:rsid w:val="007A29D8"/>
    <w:rsid w:val="007A2B64"/>
    <w:rsid w:val="007A2D2C"/>
    <w:rsid w:val="007A2D6F"/>
    <w:rsid w:val="007A2E2F"/>
    <w:rsid w:val="007A2E62"/>
    <w:rsid w:val="007A3250"/>
    <w:rsid w:val="007A38EE"/>
    <w:rsid w:val="007A3910"/>
    <w:rsid w:val="007A3D8C"/>
    <w:rsid w:val="007A419F"/>
    <w:rsid w:val="007A469C"/>
    <w:rsid w:val="007A48CF"/>
    <w:rsid w:val="007A4960"/>
    <w:rsid w:val="007A4B09"/>
    <w:rsid w:val="007A4D47"/>
    <w:rsid w:val="007A4DDE"/>
    <w:rsid w:val="007A4F70"/>
    <w:rsid w:val="007A4FC9"/>
    <w:rsid w:val="007A50A3"/>
    <w:rsid w:val="007A515A"/>
    <w:rsid w:val="007A5337"/>
    <w:rsid w:val="007A5862"/>
    <w:rsid w:val="007A5C5A"/>
    <w:rsid w:val="007A5E44"/>
    <w:rsid w:val="007A5F33"/>
    <w:rsid w:val="007A60F3"/>
    <w:rsid w:val="007A62A6"/>
    <w:rsid w:val="007A76D4"/>
    <w:rsid w:val="007A7796"/>
    <w:rsid w:val="007A798E"/>
    <w:rsid w:val="007A7B22"/>
    <w:rsid w:val="007A7B3A"/>
    <w:rsid w:val="007A7B70"/>
    <w:rsid w:val="007A7D4D"/>
    <w:rsid w:val="007B0152"/>
    <w:rsid w:val="007B0188"/>
    <w:rsid w:val="007B037D"/>
    <w:rsid w:val="007B0E50"/>
    <w:rsid w:val="007B11B6"/>
    <w:rsid w:val="007B1B0C"/>
    <w:rsid w:val="007B2629"/>
    <w:rsid w:val="007B27AF"/>
    <w:rsid w:val="007B2A91"/>
    <w:rsid w:val="007B2A96"/>
    <w:rsid w:val="007B2B16"/>
    <w:rsid w:val="007B2DCD"/>
    <w:rsid w:val="007B2EF7"/>
    <w:rsid w:val="007B3099"/>
    <w:rsid w:val="007B3B59"/>
    <w:rsid w:val="007B40AC"/>
    <w:rsid w:val="007B40FA"/>
    <w:rsid w:val="007B437E"/>
    <w:rsid w:val="007B4701"/>
    <w:rsid w:val="007B49E1"/>
    <w:rsid w:val="007B4A89"/>
    <w:rsid w:val="007B4AFD"/>
    <w:rsid w:val="007B4D55"/>
    <w:rsid w:val="007B4FAF"/>
    <w:rsid w:val="007B53D0"/>
    <w:rsid w:val="007B5583"/>
    <w:rsid w:val="007B586C"/>
    <w:rsid w:val="007B58C6"/>
    <w:rsid w:val="007B5AF1"/>
    <w:rsid w:val="007B5C96"/>
    <w:rsid w:val="007B5DD0"/>
    <w:rsid w:val="007B5F93"/>
    <w:rsid w:val="007B5FE3"/>
    <w:rsid w:val="007B6234"/>
    <w:rsid w:val="007B6434"/>
    <w:rsid w:val="007B674B"/>
    <w:rsid w:val="007B6880"/>
    <w:rsid w:val="007B68B2"/>
    <w:rsid w:val="007B6A4B"/>
    <w:rsid w:val="007B6F2F"/>
    <w:rsid w:val="007B7162"/>
    <w:rsid w:val="007B7B58"/>
    <w:rsid w:val="007C0287"/>
    <w:rsid w:val="007C0318"/>
    <w:rsid w:val="007C060A"/>
    <w:rsid w:val="007C06C8"/>
    <w:rsid w:val="007C092A"/>
    <w:rsid w:val="007C0C9E"/>
    <w:rsid w:val="007C0F06"/>
    <w:rsid w:val="007C0F80"/>
    <w:rsid w:val="007C11C7"/>
    <w:rsid w:val="007C142C"/>
    <w:rsid w:val="007C163A"/>
    <w:rsid w:val="007C188F"/>
    <w:rsid w:val="007C1A1B"/>
    <w:rsid w:val="007C1C27"/>
    <w:rsid w:val="007C1C2D"/>
    <w:rsid w:val="007C1E97"/>
    <w:rsid w:val="007C2010"/>
    <w:rsid w:val="007C21BA"/>
    <w:rsid w:val="007C2344"/>
    <w:rsid w:val="007C2467"/>
    <w:rsid w:val="007C25CB"/>
    <w:rsid w:val="007C2F2E"/>
    <w:rsid w:val="007C301B"/>
    <w:rsid w:val="007C3023"/>
    <w:rsid w:val="007C309E"/>
    <w:rsid w:val="007C357A"/>
    <w:rsid w:val="007C375C"/>
    <w:rsid w:val="007C375D"/>
    <w:rsid w:val="007C3D2A"/>
    <w:rsid w:val="007C3F49"/>
    <w:rsid w:val="007C44F4"/>
    <w:rsid w:val="007C4620"/>
    <w:rsid w:val="007C46EE"/>
    <w:rsid w:val="007C4ABB"/>
    <w:rsid w:val="007C4DC0"/>
    <w:rsid w:val="007C4DF8"/>
    <w:rsid w:val="007C4EB5"/>
    <w:rsid w:val="007C50B3"/>
    <w:rsid w:val="007C5309"/>
    <w:rsid w:val="007C537F"/>
    <w:rsid w:val="007C54E6"/>
    <w:rsid w:val="007C55AB"/>
    <w:rsid w:val="007C56C3"/>
    <w:rsid w:val="007C5CE5"/>
    <w:rsid w:val="007C5D41"/>
    <w:rsid w:val="007C5E85"/>
    <w:rsid w:val="007C6C53"/>
    <w:rsid w:val="007C6D8F"/>
    <w:rsid w:val="007C6EB0"/>
    <w:rsid w:val="007C7276"/>
    <w:rsid w:val="007C74A9"/>
    <w:rsid w:val="007C7546"/>
    <w:rsid w:val="007C761B"/>
    <w:rsid w:val="007C7817"/>
    <w:rsid w:val="007C7945"/>
    <w:rsid w:val="007C7989"/>
    <w:rsid w:val="007C7A19"/>
    <w:rsid w:val="007C7B33"/>
    <w:rsid w:val="007C7C9E"/>
    <w:rsid w:val="007C7E89"/>
    <w:rsid w:val="007C7FA2"/>
    <w:rsid w:val="007D006A"/>
    <w:rsid w:val="007D0269"/>
    <w:rsid w:val="007D0396"/>
    <w:rsid w:val="007D0662"/>
    <w:rsid w:val="007D0896"/>
    <w:rsid w:val="007D0BFB"/>
    <w:rsid w:val="007D1085"/>
    <w:rsid w:val="007D12BD"/>
    <w:rsid w:val="007D1411"/>
    <w:rsid w:val="007D14CE"/>
    <w:rsid w:val="007D1760"/>
    <w:rsid w:val="007D1CBE"/>
    <w:rsid w:val="007D1D23"/>
    <w:rsid w:val="007D1D50"/>
    <w:rsid w:val="007D21B5"/>
    <w:rsid w:val="007D2486"/>
    <w:rsid w:val="007D255D"/>
    <w:rsid w:val="007D2685"/>
    <w:rsid w:val="007D28D3"/>
    <w:rsid w:val="007D3293"/>
    <w:rsid w:val="007D32D8"/>
    <w:rsid w:val="007D36C5"/>
    <w:rsid w:val="007D3A08"/>
    <w:rsid w:val="007D3B9B"/>
    <w:rsid w:val="007D4289"/>
    <w:rsid w:val="007D46B4"/>
    <w:rsid w:val="007D4C44"/>
    <w:rsid w:val="007D4CDD"/>
    <w:rsid w:val="007D4F4A"/>
    <w:rsid w:val="007D4F7C"/>
    <w:rsid w:val="007D52CB"/>
    <w:rsid w:val="007D5569"/>
    <w:rsid w:val="007D5898"/>
    <w:rsid w:val="007D58E3"/>
    <w:rsid w:val="007D59A1"/>
    <w:rsid w:val="007D5C87"/>
    <w:rsid w:val="007D5CFE"/>
    <w:rsid w:val="007D5E7F"/>
    <w:rsid w:val="007D6133"/>
    <w:rsid w:val="007D62B0"/>
    <w:rsid w:val="007D651B"/>
    <w:rsid w:val="007D6736"/>
    <w:rsid w:val="007D6820"/>
    <w:rsid w:val="007D693A"/>
    <w:rsid w:val="007D6B96"/>
    <w:rsid w:val="007D6C8C"/>
    <w:rsid w:val="007D6D13"/>
    <w:rsid w:val="007D6FEA"/>
    <w:rsid w:val="007D7046"/>
    <w:rsid w:val="007D7130"/>
    <w:rsid w:val="007D7323"/>
    <w:rsid w:val="007D73DB"/>
    <w:rsid w:val="007D7569"/>
    <w:rsid w:val="007D7610"/>
    <w:rsid w:val="007D7922"/>
    <w:rsid w:val="007D7949"/>
    <w:rsid w:val="007D7AF8"/>
    <w:rsid w:val="007D7EC1"/>
    <w:rsid w:val="007E0387"/>
    <w:rsid w:val="007E0468"/>
    <w:rsid w:val="007E0532"/>
    <w:rsid w:val="007E059E"/>
    <w:rsid w:val="007E060C"/>
    <w:rsid w:val="007E0BC5"/>
    <w:rsid w:val="007E0DA8"/>
    <w:rsid w:val="007E1429"/>
    <w:rsid w:val="007E1597"/>
    <w:rsid w:val="007E1D71"/>
    <w:rsid w:val="007E2123"/>
    <w:rsid w:val="007E21EF"/>
    <w:rsid w:val="007E2273"/>
    <w:rsid w:val="007E2405"/>
    <w:rsid w:val="007E2573"/>
    <w:rsid w:val="007E25F6"/>
    <w:rsid w:val="007E2915"/>
    <w:rsid w:val="007E2A07"/>
    <w:rsid w:val="007E2E88"/>
    <w:rsid w:val="007E2F6D"/>
    <w:rsid w:val="007E3183"/>
    <w:rsid w:val="007E31FF"/>
    <w:rsid w:val="007E3693"/>
    <w:rsid w:val="007E37DB"/>
    <w:rsid w:val="007E392E"/>
    <w:rsid w:val="007E3B9A"/>
    <w:rsid w:val="007E3D9F"/>
    <w:rsid w:val="007E3E1B"/>
    <w:rsid w:val="007E3E49"/>
    <w:rsid w:val="007E40C3"/>
    <w:rsid w:val="007E431A"/>
    <w:rsid w:val="007E4448"/>
    <w:rsid w:val="007E4B49"/>
    <w:rsid w:val="007E4D48"/>
    <w:rsid w:val="007E4D95"/>
    <w:rsid w:val="007E52DA"/>
    <w:rsid w:val="007E58EA"/>
    <w:rsid w:val="007E5C50"/>
    <w:rsid w:val="007E5E76"/>
    <w:rsid w:val="007E641D"/>
    <w:rsid w:val="007E66AA"/>
    <w:rsid w:val="007E66B9"/>
    <w:rsid w:val="007E6966"/>
    <w:rsid w:val="007E6B2B"/>
    <w:rsid w:val="007E6BE9"/>
    <w:rsid w:val="007E6C20"/>
    <w:rsid w:val="007E6E6F"/>
    <w:rsid w:val="007E7013"/>
    <w:rsid w:val="007E7231"/>
    <w:rsid w:val="007E73B7"/>
    <w:rsid w:val="007E76CA"/>
    <w:rsid w:val="007E7890"/>
    <w:rsid w:val="007E7941"/>
    <w:rsid w:val="007E7AB8"/>
    <w:rsid w:val="007E7FB1"/>
    <w:rsid w:val="007F03BF"/>
    <w:rsid w:val="007F04E6"/>
    <w:rsid w:val="007F05DB"/>
    <w:rsid w:val="007F0662"/>
    <w:rsid w:val="007F0A15"/>
    <w:rsid w:val="007F0BC8"/>
    <w:rsid w:val="007F0CA3"/>
    <w:rsid w:val="007F1048"/>
    <w:rsid w:val="007F1400"/>
    <w:rsid w:val="007F1440"/>
    <w:rsid w:val="007F14FC"/>
    <w:rsid w:val="007F1873"/>
    <w:rsid w:val="007F1BD5"/>
    <w:rsid w:val="007F2993"/>
    <w:rsid w:val="007F2C4E"/>
    <w:rsid w:val="007F2CAF"/>
    <w:rsid w:val="007F2D97"/>
    <w:rsid w:val="007F2F2A"/>
    <w:rsid w:val="007F2F44"/>
    <w:rsid w:val="007F3018"/>
    <w:rsid w:val="007F3031"/>
    <w:rsid w:val="007F3121"/>
    <w:rsid w:val="007F36CC"/>
    <w:rsid w:val="007F36E7"/>
    <w:rsid w:val="007F3ACB"/>
    <w:rsid w:val="007F3B84"/>
    <w:rsid w:val="007F3BB9"/>
    <w:rsid w:val="007F3FBB"/>
    <w:rsid w:val="007F4002"/>
    <w:rsid w:val="007F4271"/>
    <w:rsid w:val="007F4621"/>
    <w:rsid w:val="007F4680"/>
    <w:rsid w:val="007F484A"/>
    <w:rsid w:val="007F4932"/>
    <w:rsid w:val="007F4D72"/>
    <w:rsid w:val="007F4D7B"/>
    <w:rsid w:val="007F4F28"/>
    <w:rsid w:val="007F4FD6"/>
    <w:rsid w:val="007F4FFB"/>
    <w:rsid w:val="007F53E2"/>
    <w:rsid w:val="007F55B8"/>
    <w:rsid w:val="007F570C"/>
    <w:rsid w:val="007F5BFC"/>
    <w:rsid w:val="007F6065"/>
    <w:rsid w:val="007F60FA"/>
    <w:rsid w:val="007F61AC"/>
    <w:rsid w:val="007F62E3"/>
    <w:rsid w:val="007F6543"/>
    <w:rsid w:val="007F6683"/>
    <w:rsid w:val="007F66EC"/>
    <w:rsid w:val="007F6A97"/>
    <w:rsid w:val="007F6D80"/>
    <w:rsid w:val="007F6F9F"/>
    <w:rsid w:val="007F7055"/>
    <w:rsid w:val="007F76F8"/>
    <w:rsid w:val="007F7C79"/>
    <w:rsid w:val="007F7EA7"/>
    <w:rsid w:val="0080019F"/>
    <w:rsid w:val="008002FC"/>
    <w:rsid w:val="0080033B"/>
    <w:rsid w:val="008006C9"/>
    <w:rsid w:val="00800854"/>
    <w:rsid w:val="008009E2"/>
    <w:rsid w:val="00800D6C"/>
    <w:rsid w:val="00801077"/>
    <w:rsid w:val="008012FD"/>
    <w:rsid w:val="00801485"/>
    <w:rsid w:val="00801A0D"/>
    <w:rsid w:val="00801BEE"/>
    <w:rsid w:val="00801D8B"/>
    <w:rsid w:val="00801FB2"/>
    <w:rsid w:val="00802030"/>
    <w:rsid w:val="00802054"/>
    <w:rsid w:val="00802277"/>
    <w:rsid w:val="008023D0"/>
    <w:rsid w:val="00802533"/>
    <w:rsid w:val="008026BB"/>
    <w:rsid w:val="00802EFF"/>
    <w:rsid w:val="008032B3"/>
    <w:rsid w:val="008034DD"/>
    <w:rsid w:val="00803604"/>
    <w:rsid w:val="00803727"/>
    <w:rsid w:val="008039BC"/>
    <w:rsid w:val="00803A88"/>
    <w:rsid w:val="00803A99"/>
    <w:rsid w:val="00803B0B"/>
    <w:rsid w:val="00803DE5"/>
    <w:rsid w:val="008040A5"/>
    <w:rsid w:val="00804120"/>
    <w:rsid w:val="008041A8"/>
    <w:rsid w:val="00804376"/>
    <w:rsid w:val="008045EF"/>
    <w:rsid w:val="00804617"/>
    <w:rsid w:val="0080466B"/>
    <w:rsid w:val="00804784"/>
    <w:rsid w:val="00804B6C"/>
    <w:rsid w:val="00804BB7"/>
    <w:rsid w:val="00804E4B"/>
    <w:rsid w:val="00805337"/>
    <w:rsid w:val="00805359"/>
    <w:rsid w:val="008054CF"/>
    <w:rsid w:val="00805C61"/>
    <w:rsid w:val="00805CA8"/>
    <w:rsid w:val="00805E35"/>
    <w:rsid w:val="008063F6"/>
    <w:rsid w:val="00806676"/>
    <w:rsid w:val="0080678A"/>
    <w:rsid w:val="008067CE"/>
    <w:rsid w:val="00806973"/>
    <w:rsid w:val="00806C96"/>
    <w:rsid w:val="008071C2"/>
    <w:rsid w:val="00807219"/>
    <w:rsid w:val="00807391"/>
    <w:rsid w:val="00807718"/>
    <w:rsid w:val="00807761"/>
    <w:rsid w:val="00807804"/>
    <w:rsid w:val="00807A32"/>
    <w:rsid w:val="00807B2A"/>
    <w:rsid w:val="00807B9A"/>
    <w:rsid w:val="00807BA4"/>
    <w:rsid w:val="00807BE7"/>
    <w:rsid w:val="00810395"/>
    <w:rsid w:val="008104C8"/>
    <w:rsid w:val="00810825"/>
    <w:rsid w:val="00810F32"/>
    <w:rsid w:val="00810F6C"/>
    <w:rsid w:val="00811091"/>
    <w:rsid w:val="00811213"/>
    <w:rsid w:val="008113B9"/>
    <w:rsid w:val="008114F4"/>
    <w:rsid w:val="00811BD5"/>
    <w:rsid w:val="00811DBD"/>
    <w:rsid w:val="00811FA0"/>
    <w:rsid w:val="00811FE1"/>
    <w:rsid w:val="00811FF0"/>
    <w:rsid w:val="008123EE"/>
    <w:rsid w:val="00812534"/>
    <w:rsid w:val="00812AC5"/>
    <w:rsid w:val="00812BB9"/>
    <w:rsid w:val="00812CE3"/>
    <w:rsid w:val="00812F1A"/>
    <w:rsid w:val="00812F4B"/>
    <w:rsid w:val="008132CD"/>
    <w:rsid w:val="008133C8"/>
    <w:rsid w:val="0081344C"/>
    <w:rsid w:val="008138C2"/>
    <w:rsid w:val="00813BA8"/>
    <w:rsid w:val="00813C56"/>
    <w:rsid w:val="008141E1"/>
    <w:rsid w:val="00814512"/>
    <w:rsid w:val="0081466B"/>
    <w:rsid w:val="008148DB"/>
    <w:rsid w:val="00814AD2"/>
    <w:rsid w:val="00814E3C"/>
    <w:rsid w:val="00814F67"/>
    <w:rsid w:val="0081512F"/>
    <w:rsid w:val="008151FD"/>
    <w:rsid w:val="00815381"/>
    <w:rsid w:val="00815398"/>
    <w:rsid w:val="008154D4"/>
    <w:rsid w:val="00815505"/>
    <w:rsid w:val="00815649"/>
    <w:rsid w:val="00815800"/>
    <w:rsid w:val="0081585A"/>
    <w:rsid w:val="00815915"/>
    <w:rsid w:val="00815A85"/>
    <w:rsid w:val="00815AB1"/>
    <w:rsid w:val="0081634B"/>
    <w:rsid w:val="00816418"/>
    <w:rsid w:val="008164F0"/>
    <w:rsid w:val="00816663"/>
    <w:rsid w:val="008166EE"/>
    <w:rsid w:val="00816835"/>
    <w:rsid w:val="0081688C"/>
    <w:rsid w:val="008168A6"/>
    <w:rsid w:val="00816900"/>
    <w:rsid w:val="00816A57"/>
    <w:rsid w:val="00816CFC"/>
    <w:rsid w:val="00817236"/>
    <w:rsid w:val="008173CA"/>
    <w:rsid w:val="0081743D"/>
    <w:rsid w:val="00817A01"/>
    <w:rsid w:val="00817B8D"/>
    <w:rsid w:val="00817F98"/>
    <w:rsid w:val="008203EB"/>
    <w:rsid w:val="008205B5"/>
    <w:rsid w:val="008205BD"/>
    <w:rsid w:val="0082065B"/>
    <w:rsid w:val="00820835"/>
    <w:rsid w:val="008208CD"/>
    <w:rsid w:val="008209D9"/>
    <w:rsid w:val="00820C38"/>
    <w:rsid w:val="00820C3C"/>
    <w:rsid w:val="00820C88"/>
    <w:rsid w:val="00820ED5"/>
    <w:rsid w:val="00820F9E"/>
    <w:rsid w:val="00820FB0"/>
    <w:rsid w:val="008210BB"/>
    <w:rsid w:val="008210D6"/>
    <w:rsid w:val="008211FD"/>
    <w:rsid w:val="008213EE"/>
    <w:rsid w:val="0082147D"/>
    <w:rsid w:val="00821945"/>
    <w:rsid w:val="00821E3E"/>
    <w:rsid w:val="00821EB1"/>
    <w:rsid w:val="00822113"/>
    <w:rsid w:val="00822195"/>
    <w:rsid w:val="008221D5"/>
    <w:rsid w:val="008222CE"/>
    <w:rsid w:val="008223C5"/>
    <w:rsid w:val="008225BF"/>
    <w:rsid w:val="008226CC"/>
    <w:rsid w:val="00822724"/>
    <w:rsid w:val="0082282E"/>
    <w:rsid w:val="00822FA4"/>
    <w:rsid w:val="008230A6"/>
    <w:rsid w:val="0082325D"/>
    <w:rsid w:val="008233DB"/>
    <w:rsid w:val="0082368A"/>
    <w:rsid w:val="008236F2"/>
    <w:rsid w:val="008237B0"/>
    <w:rsid w:val="008238B4"/>
    <w:rsid w:val="008242AC"/>
    <w:rsid w:val="008244B4"/>
    <w:rsid w:val="00824649"/>
    <w:rsid w:val="00824705"/>
    <w:rsid w:val="0082480A"/>
    <w:rsid w:val="008249F6"/>
    <w:rsid w:val="00824A4C"/>
    <w:rsid w:val="00824C2F"/>
    <w:rsid w:val="00824C8A"/>
    <w:rsid w:val="008252ED"/>
    <w:rsid w:val="00825304"/>
    <w:rsid w:val="008253B2"/>
    <w:rsid w:val="008253D5"/>
    <w:rsid w:val="00825549"/>
    <w:rsid w:val="00825604"/>
    <w:rsid w:val="00825C08"/>
    <w:rsid w:val="00825E1C"/>
    <w:rsid w:val="00825E94"/>
    <w:rsid w:val="00826B6F"/>
    <w:rsid w:val="00826C88"/>
    <w:rsid w:val="00826FB1"/>
    <w:rsid w:val="0082710B"/>
    <w:rsid w:val="00827313"/>
    <w:rsid w:val="00827383"/>
    <w:rsid w:val="008273AB"/>
    <w:rsid w:val="008274C7"/>
    <w:rsid w:val="008274D1"/>
    <w:rsid w:val="008278EF"/>
    <w:rsid w:val="00827922"/>
    <w:rsid w:val="00827C5D"/>
    <w:rsid w:val="00827CA0"/>
    <w:rsid w:val="00827E74"/>
    <w:rsid w:val="00830143"/>
    <w:rsid w:val="00830263"/>
    <w:rsid w:val="00830354"/>
    <w:rsid w:val="00830576"/>
    <w:rsid w:val="00830587"/>
    <w:rsid w:val="00830751"/>
    <w:rsid w:val="00830883"/>
    <w:rsid w:val="0083112D"/>
    <w:rsid w:val="0083159D"/>
    <w:rsid w:val="008315F1"/>
    <w:rsid w:val="008318D4"/>
    <w:rsid w:val="00831CC3"/>
    <w:rsid w:val="00831CF7"/>
    <w:rsid w:val="00831E2E"/>
    <w:rsid w:val="008321EB"/>
    <w:rsid w:val="008323D9"/>
    <w:rsid w:val="00832633"/>
    <w:rsid w:val="00832790"/>
    <w:rsid w:val="00832794"/>
    <w:rsid w:val="008329AA"/>
    <w:rsid w:val="00832F08"/>
    <w:rsid w:val="00833252"/>
    <w:rsid w:val="008332E3"/>
    <w:rsid w:val="008333C5"/>
    <w:rsid w:val="008333F0"/>
    <w:rsid w:val="00833615"/>
    <w:rsid w:val="00833653"/>
    <w:rsid w:val="00833C85"/>
    <w:rsid w:val="00833CD8"/>
    <w:rsid w:val="00833D1D"/>
    <w:rsid w:val="00834095"/>
    <w:rsid w:val="008345CF"/>
    <w:rsid w:val="0083485C"/>
    <w:rsid w:val="008349F3"/>
    <w:rsid w:val="00834B44"/>
    <w:rsid w:val="00834E48"/>
    <w:rsid w:val="00834F32"/>
    <w:rsid w:val="0083518C"/>
    <w:rsid w:val="00835418"/>
    <w:rsid w:val="0083596C"/>
    <w:rsid w:val="00835A94"/>
    <w:rsid w:val="00835C59"/>
    <w:rsid w:val="00835F15"/>
    <w:rsid w:val="00836024"/>
    <w:rsid w:val="00836128"/>
    <w:rsid w:val="0083617B"/>
    <w:rsid w:val="0083643F"/>
    <w:rsid w:val="008369CF"/>
    <w:rsid w:val="00837277"/>
    <w:rsid w:val="00837AB4"/>
    <w:rsid w:val="00837C34"/>
    <w:rsid w:val="00837DE7"/>
    <w:rsid w:val="00837E01"/>
    <w:rsid w:val="00837F43"/>
    <w:rsid w:val="00840155"/>
    <w:rsid w:val="00840157"/>
    <w:rsid w:val="0084094F"/>
    <w:rsid w:val="00840A2B"/>
    <w:rsid w:val="00840C23"/>
    <w:rsid w:val="00840C43"/>
    <w:rsid w:val="00840CA9"/>
    <w:rsid w:val="00840F04"/>
    <w:rsid w:val="00841EE9"/>
    <w:rsid w:val="00841FC2"/>
    <w:rsid w:val="00842766"/>
    <w:rsid w:val="0084292C"/>
    <w:rsid w:val="00842D95"/>
    <w:rsid w:val="00843058"/>
    <w:rsid w:val="00843079"/>
    <w:rsid w:val="008433CA"/>
    <w:rsid w:val="008436DD"/>
    <w:rsid w:val="00843AB3"/>
    <w:rsid w:val="00843C73"/>
    <w:rsid w:val="0084408D"/>
    <w:rsid w:val="008442FA"/>
    <w:rsid w:val="008444F1"/>
    <w:rsid w:val="00844867"/>
    <w:rsid w:val="00844A80"/>
    <w:rsid w:val="00844C1D"/>
    <w:rsid w:val="00844F69"/>
    <w:rsid w:val="008450CB"/>
    <w:rsid w:val="00845361"/>
    <w:rsid w:val="00845395"/>
    <w:rsid w:val="008453BE"/>
    <w:rsid w:val="00845624"/>
    <w:rsid w:val="00845687"/>
    <w:rsid w:val="00846269"/>
    <w:rsid w:val="00846578"/>
    <w:rsid w:val="008465B2"/>
    <w:rsid w:val="008468A4"/>
    <w:rsid w:val="008468E5"/>
    <w:rsid w:val="00846B71"/>
    <w:rsid w:val="00846BB1"/>
    <w:rsid w:val="00846D1B"/>
    <w:rsid w:val="00846E1D"/>
    <w:rsid w:val="00846FB5"/>
    <w:rsid w:val="008471E9"/>
    <w:rsid w:val="00847863"/>
    <w:rsid w:val="00847977"/>
    <w:rsid w:val="00850043"/>
    <w:rsid w:val="00850177"/>
    <w:rsid w:val="008502B1"/>
    <w:rsid w:val="008502FB"/>
    <w:rsid w:val="00850430"/>
    <w:rsid w:val="008506AE"/>
    <w:rsid w:val="00850713"/>
    <w:rsid w:val="008507C1"/>
    <w:rsid w:val="00850C3E"/>
    <w:rsid w:val="00850C83"/>
    <w:rsid w:val="00850D51"/>
    <w:rsid w:val="00850E0F"/>
    <w:rsid w:val="00850E2F"/>
    <w:rsid w:val="008510A6"/>
    <w:rsid w:val="00851479"/>
    <w:rsid w:val="00851503"/>
    <w:rsid w:val="008515BB"/>
    <w:rsid w:val="008515E5"/>
    <w:rsid w:val="00851BFD"/>
    <w:rsid w:val="00852292"/>
    <w:rsid w:val="00852827"/>
    <w:rsid w:val="00852F05"/>
    <w:rsid w:val="00852F1C"/>
    <w:rsid w:val="00852F6D"/>
    <w:rsid w:val="008531D9"/>
    <w:rsid w:val="00853652"/>
    <w:rsid w:val="0085369E"/>
    <w:rsid w:val="00853C03"/>
    <w:rsid w:val="00853FC4"/>
    <w:rsid w:val="00854380"/>
    <w:rsid w:val="0085486A"/>
    <w:rsid w:val="00854B43"/>
    <w:rsid w:val="00854F2A"/>
    <w:rsid w:val="00855276"/>
    <w:rsid w:val="00855304"/>
    <w:rsid w:val="008558B3"/>
    <w:rsid w:val="00855C25"/>
    <w:rsid w:val="00855C7A"/>
    <w:rsid w:val="00855DDB"/>
    <w:rsid w:val="00856038"/>
    <w:rsid w:val="0085619F"/>
    <w:rsid w:val="0085627B"/>
    <w:rsid w:val="00856893"/>
    <w:rsid w:val="008568AC"/>
    <w:rsid w:val="00856B32"/>
    <w:rsid w:val="00856DB6"/>
    <w:rsid w:val="00857035"/>
    <w:rsid w:val="00857091"/>
    <w:rsid w:val="008572BC"/>
    <w:rsid w:val="008573AF"/>
    <w:rsid w:val="0085758D"/>
    <w:rsid w:val="0085764D"/>
    <w:rsid w:val="008576F3"/>
    <w:rsid w:val="00857703"/>
    <w:rsid w:val="0085776A"/>
    <w:rsid w:val="00857A9E"/>
    <w:rsid w:val="00857BBF"/>
    <w:rsid w:val="00857EF5"/>
    <w:rsid w:val="00860137"/>
    <w:rsid w:val="00860334"/>
    <w:rsid w:val="00860874"/>
    <w:rsid w:val="00860CEC"/>
    <w:rsid w:val="008612C2"/>
    <w:rsid w:val="0086137B"/>
    <w:rsid w:val="0086137F"/>
    <w:rsid w:val="00861BAD"/>
    <w:rsid w:val="00861BC4"/>
    <w:rsid w:val="00861D37"/>
    <w:rsid w:val="008624CD"/>
    <w:rsid w:val="0086279E"/>
    <w:rsid w:val="008628E2"/>
    <w:rsid w:val="00862949"/>
    <w:rsid w:val="00862E91"/>
    <w:rsid w:val="00863262"/>
    <w:rsid w:val="0086339D"/>
    <w:rsid w:val="00863542"/>
    <w:rsid w:val="00863602"/>
    <w:rsid w:val="008637D1"/>
    <w:rsid w:val="0086394F"/>
    <w:rsid w:val="00863F0F"/>
    <w:rsid w:val="00864004"/>
    <w:rsid w:val="00864010"/>
    <w:rsid w:val="00864449"/>
    <w:rsid w:val="0086447C"/>
    <w:rsid w:val="00864972"/>
    <w:rsid w:val="00865081"/>
    <w:rsid w:val="008650A3"/>
    <w:rsid w:val="008652B5"/>
    <w:rsid w:val="00865473"/>
    <w:rsid w:val="008656A3"/>
    <w:rsid w:val="008659B8"/>
    <w:rsid w:val="008659DB"/>
    <w:rsid w:val="00865DC8"/>
    <w:rsid w:val="00865EED"/>
    <w:rsid w:val="0086605B"/>
    <w:rsid w:val="00866253"/>
    <w:rsid w:val="00866424"/>
    <w:rsid w:val="00866517"/>
    <w:rsid w:val="008666E9"/>
    <w:rsid w:val="0086673A"/>
    <w:rsid w:val="00866760"/>
    <w:rsid w:val="00866846"/>
    <w:rsid w:val="00866915"/>
    <w:rsid w:val="008669C3"/>
    <w:rsid w:val="00866ABF"/>
    <w:rsid w:val="00866AD3"/>
    <w:rsid w:val="00866E84"/>
    <w:rsid w:val="00867239"/>
    <w:rsid w:val="008672D0"/>
    <w:rsid w:val="00867594"/>
    <w:rsid w:val="008677E1"/>
    <w:rsid w:val="008679D9"/>
    <w:rsid w:val="00867A01"/>
    <w:rsid w:val="00867B80"/>
    <w:rsid w:val="00867DC6"/>
    <w:rsid w:val="008704E3"/>
    <w:rsid w:val="00870518"/>
    <w:rsid w:val="00870555"/>
    <w:rsid w:val="00870786"/>
    <w:rsid w:val="008707C9"/>
    <w:rsid w:val="008708F6"/>
    <w:rsid w:val="00870A21"/>
    <w:rsid w:val="00870B70"/>
    <w:rsid w:val="00870C92"/>
    <w:rsid w:val="00870E08"/>
    <w:rsid w:val="008711EC"/>
    <w:rsid w:val="008713DD"/>
    <w:rsid w:val="0087149B"/>
    <w:rsid w:val="00871E2F"/>
    <w:rsid w:val="00871E32"/>
    <w:rsid w:val="00871E36"/>
    <w:rsid w:val="00871ECD"/>
    <w:rsid w:val="008720D4"/>
    <w:rsid w:val="008721E1"/>
    <w:rsid w:val="0087229A"/>
    <w:rsid w:val="008722C3"/>
    <w:rsid w:val="008726C8"/>
    <w:rsid w:val="0087283C"/>
    <w:rsid w:val="0087289F"/>
    <w:rsid w:val="00873204"/>
    <w:rsid w:val="00873279"/>
    <w:rsid w:val="00873568"/>
    <w:rsid w:val="00873AE7"/>
    <w:rsid w:val="00873B37"/>
    <w:rsid w:val="00873CD5"/>
    <w:rsid w:val="00873DFD"/>
    <w:rsid w:val="00873E66"/>
    <w:rsid w:val="00874641"/>
    <w:rsid w:val="00874808"/>
    <w:rsid w:val="0087485B"/>
    <w:rsid w:val="00874CAB"/>
    <w:rsid w:val="00875170"/>
    <w:rsid w:val="008752CE"/>
    <w:rsid w:val="008752EF"/>
    <w:rsid w:val="0087542B"/>
    <w:rsid w:val="008756CB"/>
    <w:rsid w:val="00875A2F"/>
    <w:rsid w:val="00875BC2"/>
    <w:rsid w:val="00875F0C"/>
    <w:rsid w:val="0087621C"/>
    <w:rsid w:val="00876C93"/>
    <w:rsid w:val="00876D40"/>
    <w:rsid w:val="00876E45"/>
    <w:rsid w:val="0087726E"/>
    <w:rsid w:val="008772F2"/>
    <w:rsid w:val="008773E5"/>
    <w:rsid w:val="0087742E"/>
    <w:rsid w:val="008777B9"/>
    <w:rsid w:val="0087783D"/>
    <w:rsid w:val="00877BCD"/>
    <w:rsid w:val="00877E70"/>
    <w:rsid w:val="00877FC2"/>
    <w:rsid w:val="0088021B"/>
    <w:rsid w:val="008805E2"/>
    <w:rsid w:val="00880722"/>
    <w:rsid w:val="00880920"/>
    <w:rsid w:val="00880AC9"/>
    <w:rsid w:val="00880BBD"/>
    <w:rsid w:val="00880CC2"/>
    <w:rsid w:val="00880DDC"/>
    <w:rsid w:val="00880E4A"/>
    <w:rsid w:val="00880ECE"/>
    <w:rsid w:val="00881289"/>
    <w:rsid w:val="00881955"/>
    <w:rsid w:val="008819AD"/>
    <w:rsid w:val="00881A2B"/>
    <w:rsid w:val="00881B75"/>
    <w:rsid w:val="00881C51"/>
    <w:rsid w:val="00881EAB"/>
    <w:rsid w:val="00881FAA"/>
    <w:rsid w:val="008827A1"/>
    <w:rsid w:val="008827AD"/>
    <w:rsid w:val="00882A80"/>
    <w:rsid w:val="00882B2F"/>
    <w:rsid w:val="00882CA4"/>
    <w:rsid w:val="008831AD"/>
    <w:rsid w:val="008832A7"/>
    <w:rsid w:val="008832F6"/>
    <w:rsid w:val="0088333F"/>
    <w:rsid w:val="008833EB"/>
    <w:rsid w:val="00883429"/>
    <w:rsid w:val="0088376A"/>
    <w:rsid w:val="008837AB"/>
    <w:rsid w:val="00883C00"/>
    <w:rsid w:val="00883E20"/>
    <w:rsid w:val="008840BE"/>
    <w:rsid w:val="008840D7"/>
    <w:rsid w:val="008845A7"/>
    <w:rsid w:val="008845C5"/>
    <w:rsid w:val="008848C5"/>
    <w:rsid w:val="008849BF"/>
    <w:rsid w:val="00884BC7"/>
    <w:rsid w:val="00884EC2"/>
    <w:rsid w:val="008850FD"/>
    <w:rsid w:val="008851E5"/>
    <w:rsid w:val="008852D8"/>
    <w:rsid w:val="0088595D"/>
    <w:rsid w:val="00885B58"/>
    <w:rsid w:val="00885C20"/>
    <w:rsid w:val="00885D48"/>
    <w:rsid w:val="00885DAA"/>
    <w:rsid w:val="00885E68"/>
    <w:rsid w:val="00885F53"/>
    <w:rsid w:val="00886221"/>
    <w:rsid w:val="0088645F"/>
    <w:rsid w:val="0088668F"/>
    <w:rsid w:val="008867CD"/>
    <w:rsid w:val="00886E33"/>
    <w:rsid w:val="0088730B"/>
    <w:rsid w:val="00887604"/>
    <w:rsid w:val="00887DB6"/>
    <w:rsid w:val="00887E38"/>
    <w:rsid w:val="00887E60"/>
    <w:rsid w:val="0089002C"/>
    <w:rsid w:val="00890774"/>
    <w:rsid w:val="00890D76"/>
    <w:rsid w:val="00890D99"/>
    <w:rsid w:val="00890EDC"/>
    <w:rsid w:val="00890F24"/>
    <w:rsid w:val="0089135E"/>
    <w:rsid w:val="00891375"/>
    <w:rsid w:val="0089143F"/>
    <w:rsid w:val="008918BD"/>
    <w:rsid w:val="0089214E"/>
    <w:rsid w:val="0089254C"/>
    <w:rsid w:val="008925FB"/>
    <w:rsid w:val="008928B9"/>
    <w:rsid w:val="00892994"/>
    <w:rsid w:val="00892C08"/>
    <w:rsid w:val="00892C52"/>
    <w:rsid w:val="0089302E"/>
    <w:rsid w:val="00893080"/>
    <w:rsid w:val="00893376"/>
    <w:rsid w:val="008933A6"/>
    <w:rsid w:val="00893592"/>
    <w:rsid w:val="00893844"/>
    <w:rsid w:val="00893B3C"/>
    <w:rsid w:val="00893BDC"/>
    <w:rsid w:val="00893F36"/>
    <w:rsid w:val="00894011"/>
    <w:rsid w:val="008941B2"/>
    <w:rsid w:val="00894206"/>
    <w:rsid w:val="008942AA"/>
    <w:rsid w:val="0089453F"/>
    <w:rsid w:val="00894674"/>
    <w:rsid w:val="0089490D"/>
    <w:rsid w:val="00894912"/>
    <w:rsid w:val="008953D9"/>
    <w:rsid w:val="008959C6"/>
    <w:rsid w:val="008959E7"/>
    <w:rsid w:val="0089632F"/>
    <w:rsid w:val="00896369"/>
    <w:rsid w:val="008965B3"/>
    <w:rsid w:val="00896752"/>
    <w:rsid w:val="008967ED"/>
    <w:rsid w:val="008968E3"/>
    <w:rsid w:val="0089699C"/>
    <w:rsid w:val="008969CE"/>
    <w:rsid w:val="00896BEA"/>
    <w:rsid w:val="00896D5C"/>
    <w:rsid w:val="00896E90"/>
    <w:rsid w:val="00896F0E"/>
    <w:rsid w:val="00896FAD"/>
    <w:rsid w:val="0089710E"/>
    <w:rsid w:val="008971F6"/>
    <w:rsid w:val="008972CA"/>
    <w:rsid w:val="008972F4"/>
    <w:rsid w:val="00897677"/>
    <w:rsid w:val="0089772F"/>
    <w:rsid w:val="00897805"/>
    <w:rsid w:val="00897A6A"/>
    <w:rsid w:val="00897D50"/>
    <w:rsid w:val="00897D55"/>
    <w:rsid w:val="00897D81"/>
    <w:rsid w:val="00897D90"/>
    <w:rsid w:val="00897DA1"/>
    <w:rsid w:val="008A0240"/>
    <w:rsid w:val="008A0844"/>
    <w:rsid w:val="008A08FC"/>
    <w:rsid w:val="008A0D08"/>
    <w:rsid w:val="008A0E64"/>
    <w:rsid w:val="008A0ECB"/>
    <w:rsid w:val="008A0EDA"/>
    <w:rsid w:val="008A142C"/>
    <w:rsid w:val="008A14B5"/>
    <w:rsid w:val="008A1585"/>
    <w:rsid w:val="008A15E6"/>
    <w:rsid w:val="008A18CE"/>
    <w:rsid w:val="008A19D1"/>
    <w:rsid w:val="008A1A41"/>
    <w:rsid w:val="008A1D14"/>
    <w:rsid w:val="008A1DBA"/>
    <w:rsid w:val="008A1F0C"/>
    <w:rsid w:val="008A22DA"/>
    <w:rsid w:val="008A2656"/>
    <w:rsid w:val="008A2D32"/>
    <w:rsid w:val="008A2D7C"/>
    <w:rsid w:val="008A2D99"/>
    <w:rsid w:val="008A316B"/>
    <w:rsid w:val="008A31F9"/>
    <w:rsid w:val="008A325F"/>
    <w:rsid w:val="008A3367"/>
    <w:rsid w:val="008A3480"/>
    <w:rsid w:val="008A34F0"/>
    <w:rsid w:val="008A360E"/>
    <w:rsid w:val="008A3867"/>
    <w:rsid w:val="008A398A"/>
    <w:rsid w:val="008A3C71"/>
    <w:rsid w:val="008A47C5"/>
    <w:rsid w:val="008A48BC"/>
    <w:rsid w:val="008A4928"/>
    <w:rsid w:val="008A4BEE"/>
    <w:rsid w:val="008A4DDA"/>
    <w:rsid w:val="008A4F2E"/>
    <w:rsid w:val="008A4F5C"/>
    <w:rsid w:val="008A50CB"/>
    <w:rsid w:val="008A5113"/>
    <w:rsid w:val="008A52CD"/>
    <w:rsid w:val="008A5728"/>
    <w:rsid w:val="008A5DB0"/>
    <w:rsid w:val="008A5E9E"/>
    <w:rsid w:val="008A6424"/>
    <w:rsid w:val="008A64E5"/>
    <w:rsid w:val="008A6814"/>
    <w:rsid w:val="008A6A7E"/>
    <w:rsid w:val="008A6BF0"/>
    <w:rsid w:val="008A6C80"/>
    <w:rsid w:val="008A6F38"/>
    <w:rsid w:val="008A7626"/>
    <w:rsid w:val="008A76A7"/>
    <w:rsid w:val="008A7C1B"/>
    <w:rsid w:val="008A7EFF"/>
    <w:rsid w:val="008B0171"/>
    <w:rsid w:val="008B05EB"/>
    <w:rsid w:val="008B068B"/>
    <w:rsid w:val="008B06FE"/>
    <w:rsid w:val="008B09A5"/>
    <w:rsid w:val="008B0A97"/>
    <w:rsid w:val="008B0B41"/>
    <w:rsid w:val="008B0ECE"/>
    <w:rsid w:val="008B1134"/>
    <w:rsid w:val="008B11C6"/>
    <w:rsid w:val="008B12BA"/>
    <w:rsid w:val="008B1954"/>
    <w:rsid w:val="008B1996"/>
    <w:rsid w:val="008B1BDC"/>
    <w:rsid w:val="008B1D6A"/>
    <w:rsid w:val="008B1FB5"/>
    <w:rsid w:val="008B2295"/>
    <w:rsid w:val="008B2422"/>
    <w:rsid w:val="008B2452"/>
    <w:rsid w:val="008B26C1"/>
    <w:rsid w:val="008B273F"/>
    <w:rsid w:val="008B28BC"/>
    <w:rsid w:val="008B2906"/>
    <w:rsid w:val="008B2E87"/>
    <w:rsid w:val="008B3035"/>
    <w:rsid w:val="008B35D5"/>
    <w:rsid w:val="008B39FC"/>
    <w:rsid w:val="008B3B89"/>
    <w:rsid w:val="008B3D63"/>
    <w:rsid w:val="008B3E05"/>
    <w:rsid w:val="008B3E7E"/>
    <w:rsid w:val="008B3FAF"/>
    <w:rsid w:val="008B4349"/>
    <w:rsid w:val="008B4479"/>
    <w:rsid w:val="008B449A"/>
    <w:rsid w:val="008B45F3"/>
    <w:rsid w:val="008B4698"/>
    <w:rsid w:val="008B4C3A"/>
    <w:rsid w:val="008B4C78"/>
    <w:rsid w:val="008B505C"/>
    <w:rsid w:val="008B5191"/>
    <w:rsid w:val="008B52E0"/>
    <w:rsid w:val="008B52EE"/>
    <w:rsid w:val="008B54BC"/>
    <w:rsid w:val="008B56F0"/>
    <w:rsid w:val="008B59C7"/>
    <w:rsid w:val="008B6124"/>
    <w:rsid w:val="008B67F6"/>
    <w:rsid w:val="008B687F"/>
    <w:rsid w:val="008B688B"/>
    <w:rsid w:val="008B6F00"/>
    <w:rsid w:val="008B700C"/>
    <w:rsid w:val="008B7153"/>
    <w:rsid w:val="008B7517"/>
    <w:rsid w:val="008B79CA"/>
    <w:rsid w:val="008B7A2B"/>
    <w:rsid w:val="008B7E14"/>
    <w:rsid w:val="008C029E"/>
    <w:rsid w:val="008C04BA"/>
    <w:rsid w:val="008C054E"/>
    <w:rsid w:val="008C09F6"/>
    <w:rsid w:val="008C0CC1"/>
    <w:rsid w:val="008C0D0F"/>
    <w:rsid w:val="008C118E"/>
    <w:rsid w:val="008C13B7"/>
    <w:rsid w:val="008C1703"/>
    <w:rsid w:val="008C172F"/>
    <w:rsid w:val="008C1839"/>
    <w:rsid w:val="008C191E"/>
    <w:rsid w:val="008C2071"/>
    <w:rsid w:val="008C249B"/>
    <w:rsid w:val="008C2594"/>
    <w:rsid w:val="008C2942"/>
    <w:rsid w:val="008C2F83"/>
    <w:rsid w:val="008C318B"/>
    <w:rsid w:val="008C31DA"/>
    <w:rsid w:val="008C356C"/>
    <w:rsid w:val="008C386C"/>
    <w:rsid w:val="008C3CCF"/>
    <w:rsid w:val="008C3FF1"/>
    <w:rsid w:val="008C4057"/>
    <w:rsid w:val="008C40D1"/>
    <w:rsid w:val="008C43DC"/>
    <w:rsid w:val="008C4505"/>
    <w:rsid w:val="008C4758"/>
    <w:rsid w:val="008C485D"/>
    <w:rsid w:val="008C4902"/>
    <w:rsid w:val="008C492E"/>
    <w:rsid w:val="008C4973"/>
    <w:rsid w:val="008C49F5"/>
    <w:rsid w:val="008C4AF1"/>
    <w:rsid w:val="008C4CDB"/>
    <w:rsid w:val="008C5178"/>
    <w:rsid w:val="008C5295"/>
    <w:rsid w:val="008C54FC"/>
    <w:rsid w:val="008C55AC"/>
    <w:rsid w:val="008C5C98"/>
    <w:rsid w:val="008C6083"/>
    <w:rsid w:val="008C614B"/>
    <w:rsid w:val="008C6623"/>
    <w:rsid w:val="008C67E4"/>
    <w:rsid w:val="008C6801"/>
    <w:rsid w:val="008C6ABD"/>
    <w:rsid w:val="008C6B87"/>
    <w:rsid w:val="008C6CE9"/>
    <w:rsid w:val="008C72CD"/>
    <w:rsid w:val="008C72FA"/>
    <w:rsid w:val="008C75B3"/>
    <w:rsid w:val="008C7A5A"/>
    <w:rsid w:val="008C7BD3"/>
    <w:rsid w:val="008D000F"/>
    <w:rsid w:val="008D016E"/>
    <w:rsid w:val="008D0324"/>
    <w:rsid w:val="008D034B"/>
    <w:rsid w:val="008D0395"/>
    <w:rsid w:val="008D041E"/>
    <w:rsid w:val="008D0A6D"/>
    <w:rsid w:val="008D0CE9"/>
    <w:rsid w:val="008D0E3C"/>
    <w:rsid w:val="008D0E7B"/>
    <w:rsid w:val="008D1277"/>
    <w:rsid w:val="008D15D1"/>
    <w:rsid w:val="008D174D"/>
    <w:rsid w:val="008D177D"/>
    <w:rsid w:val="008D17E8"/>
    <w:rsid w:val="008D1D1F"/>
    <w:rsid w:val="008D1D3C"/>
    <w:rsid w:val="008D1E3B"/>
    <w:rsid w:val="008D1F7A"/>
    <w:rsid w:val="008D22E4"/>
    <w:rsid w:val="008D2461"/>
    <w:rsid w:val="008D25B7"/>
    <w:rsid w:val="008D2661"/>
    <w:rsid w:val="008D2A58"/>
    <w:rsid w:val="008D2BC8"/>
    <w:rsid w:val="008D2DB1"/>
    <w:rsid w:val="008D2F28"/>
    <w:rsid w:val="008D2F87"/>
    <w:rsid w:val="008D309F"/>
    <w:rsid w:val="008D30F9"/>
    <w:rsid w:val="008D34D0"/>
    <w:rsid w:val="008D380B"/>
    <w:rsid w:val="008D387A"/>
    <w:rsid w:val="008D3C43"/>
    <w:rsid w:val="008D3EDA"/>
    <w:rsid w:val="008D402C"/>
    <w:rsid w:val="008D4136"/>
    <w:rsid w:val="008D43C8"/>
    <w:rsid w:val="008D463C"/>
    <w:rsid w:val="008D4BA2"/>
    <w:rsid w:val="008D4E6B"/>
    <w:rsid w:val="008D4ED8"/>
    <w:rsid w:val="008D4F86"/>
    <w:rsid w:val="008D4F9A"/>
    <w:rsid w:val="008D509F"/>
    <w:rsid w:val="008D5255"/>
    <w:rsid w:val="008D52A5"/>
    <w:rsid w:val="008D5308"/>
    <w:rsid w:val="008D5375"/>
    <w:rsid w:val="008D5511"/>
    <w:rsid w:val="008D568A"/>
    <w:rsid w:val="008D5706"/>
    <w:rsid w:val="008D57DD"/>
    <w:rsid w:val="008D6060"/>
    <w:rsid w:val="008D61BF"/>
    <w:rsid w:val="008D6408"/>
    <w:rsid w:val="008D654F"/>
    <w:rsid w:val="008D65DE"/>
    <w:rsid w:val="008D6737"/>
    <w:rsid w:val="008D6989"/>
    <w:rsid w:val="008D6A5F"/>
    <w:rsid w:val="008D6BC6"/>
    <w:rsid w:val="008D6E85"/>
    <w:rsid w:val="008D6EBF"/>
    <w:rsid w:val="008D7027"/>
    <w:rsid w:val="008D730F"/>
    <w:rsid w:val="008D73B4"/>
    <w:rsid w:val="008D74D6"/>
    <w:rsid w:val="008D77AE"/>
    <w:rsid w:val="008D7CD5"/>
    <w:rsid w:val="008D7F6C"/>
    <w:rsid w:val="008D7F97"/>
    <w:rsid w:val="008E000A"/>
    <w:rsid w:val="008E0201"/>
    <w:rsid w:val="008E0218"/>
    <w:rsid w:val="008E024D"/>
    <w:rsid w:val="008E0303"/>
    <w:rsid w:val="008E0338"/>
    <w:rsid w:val="008E0344"/>
    <w:rsid w:val="008E0452"/>
    <w:rsid w:val="008E04AE"/>
    <w:rsid w:val="008E0A37"/>
    <w:rsid w:val="008E0E42"/>
    <w:rsid w:val="008E0EAF"/>
    <w:rsid w:val="008E113D"/>
    <w:rsid w:val="008E1386"/>
    <w:rsid w:val="008E13CC"/>
    <w:rsid w:val="008E1466"/>
    <w:rsid w:val="008E16D7"/>
    <w:rsid w:val="008E177E"/>
    <w:rsid w:val="008E1795"/>
    <w:rsid w:val="008E1A65"/>
    <w:rsid w:val="008E1D8C"/>
    <w:rsid w:val="008E2085"/>
    <w:rsid w:val="008E2561"/>
    <w:rsid w:val="008E265B"/>
    <w:rsid w:val="008E2DFD"/>
    <w:rsid w:val="008E2F5C"/>
    <w:rsid w:val="008E345B"/>
    <w:rsid w:val="008E352F"/>
    <w:rsid w:val="008E35C0"/>
    <w:rsid w:val="008E35CC"/>
    <w:rsid w:val="008E365D"/>
    <w:rsid w:val="008E36D6"/>
    <w:rsid w:val="008E381D"/>
    <w:rsid w:val="008E3824"/>
    <w:rsid w:val="008E3E61"/>
    <w:rsid w:val="008E41F4"/>
    <w:rsid w:val="008E4542"/>
    <w:rsid w:val="008E4556"/>
    <w:rsid w:val="008E45F9"/>
    <w:rsid w:val="008E4BA8"/>
    <w:rsid w:val="008E4E01"/>
    <w:rsid w:val="008E4E88"/>
    <w:rsid w:val="008E5045"/>
    <w:rsid w:val="008E589C"/>
    <w:rsid w:val="008E58A8"/>
    <w:rsid w:val="008E590D"/>
    <w:rsid w:val="008E59C3"/>
    <w:rsid w:val="008E5BE6"/>
    <w:rsid w:val="008E6333"/>
    <w:rsid w:val="008E639D"/>
    <w:rsid w:val="008E648A"/>
    <w:rsid w:val="008E6A5F"/>
    <w:rsid w:val="008E6ABC"/>
    <w:rsid w:val="008E6DE3"/>
    <w:rsid w:val="008E6DF4"/>
    <w:rsid w:val="008E6EFA"/>
    <w:rsid w:val="008E6F39"/>
    <w:rsid w:val="008E7099"/>
    <w:rsid w:val="008E71A2"/>
    <w:rsid w:val="008E71D5"/>
    <w:rsid w:val="008E7519"/>
    <w:rsid w:val="008E76CB"/>
    <w:rsid w:val="008E7823"/>
    <w:rsid w:val="008E79EA"/>
    <w:rsid w:val="008E7D4C"/>
    <w:rsid w:val="008E7D72"/>
    <w:rsid w:val="008E7DA2"/>
    <w:rsid w:val="008E7F1B"/>
    <w:rsid w:val="008F0458"/>
    <w:rsid w:val="008F04A7"/>
    <w:rsid w:val="008F0823"/>
    <w:rsid w:val="008F08AC"/>
    <w:rsid w:val="008F08E0"/>
    <w:rsid w:val="008F0A94"/>
    <w:rsid w:val="008F0C13"/>
    <w:rsid w:val="008F0C1D"/>
    <w:rsid w:val="008F0CDF"/>
    <w:rsid w:val="008F0F14"/>
    <w:rsid w:val="008F0F69"/>
    <w:rsid w:val="008F11EF"/>
    <w:rsid w:val="008F14D5"/>
    <w:rsid w:val="008F1653"/>
    <w:rsid w:val="008F1911"/>
    <w:rsid w:val="008F1B5C"/>
    <w:rsid w:val="008F1E38"/>
    <w:rsid w:val="008F1EFA"/>
    <w:rsid w:val="008F2129"/>
    <w:rsid w:val="008F239D"/>
    <w:rsid w:val="008F277E"/>
    <w:rsid w:val="008F28B1"/>
    <w:rsid w:val="008F2A62"/>
    <w:rsid w:val="008F2EE8"/>
    <w:rsid w:val="008F2F6B"/>
    <w:rsid w:val="008F2FE9"/>
    <w:rsid w:val="008F30A3"/>
    <w:rsid w:val="008F30AD"/>
    <w:rsid w:val="008F3140"/>
    <w:rsid w:val="008F33F4"/>
    <w:rsid w:val="008F3543"/>
    <w:rsid w:val="008F3B17"/>
    <w:rsid w:val="008F3CFF"/>
    <w:rsid w:val="008F3D7A"/>
    <w:rsid w:val="008F3DE6"/>
    <w:rsid w:val="008F3F30"/>
    <w:rsid w:val="008F4007"/>
    <w:rsid w:val="008F4139"/>
    <w:rsid w:val="008F4395"/>
    <w:rsid w:val="008F44A9"/>
    <w:rsid w:val="008F4F08"/>
    <w:rsid w:val="008F51C5"/>
    <w:rsid w:val="008F5299"/>
    <w:rsid w:val="008F5348"/>
    <w:rsid w:val="008F53AB"/>
    <w:rsid w:val="008F5566"/>
    <w:rsid w:val="008F580A"/>
    <w:rsid w:val="008F5840"/>
    <w:rsid w:val="008F587A"/>
    <w:rsid w:val="008F5A08"/>
    <w:rsid w:val="008F5ACD"/>
    <w:rsid w:val="008F5B4B"/>
    <w:rsid w:val="008F5BF7"/>
    <w:rsid w:val="008F5D3D"/>
    <w:rsid w:val="008F5D9C"/>
    <w:rsid w:val="008F60B3"/>
    <w:rsid w:val="008F60FD"/>
    <w:rsid w:val="008F61C8"/>
    <w:rsid w:val="008F6422"/>
    <w:rsid w:val="008F64A3"/>
    <w:rsid w:val="008F6663"/>
    <w:rsid w:val="008F66D1"/>
    <w:rsid w:val="008F70F9"/>
    <w:rsid w:val="008F72D8"/>
    <w:rsid w:val="008F737A"/>
    <w:rsid w:val="008F743B"/>
    <w:rsid w:val="008F763B"/>
    <w:rsid w:val="008F76F5"/>
    <w:rsid w:val="008F7986"/>
    <w:rsid w:val="008F7B2E"/>
    <w:rsid w:val="009000BC"/>
    <w:rsid w:val="009001B1"/>
    <w:rsid w:val="009001CC"/>
    <w:rsid w:val="00900200"/>
    <w:rsid w:val="0090074D"/>
    <w:rsid w:val="0090078D"/>
    <w:rsid w:val="00900A99"/>
    <w:rsid w:val="00900CC0"/>
    <w:rsid w:val="00900F1B"/>
    <w:rsid w:val="00900F1F"/>
    <w:rsid w:val="00901099"/>
    <w:rsid w:val="009015C3"/>
    <w:rsid w:val="00901649"/>
    <w:rsid w:val="009019CC"/>
    <w:rsid w:val="00901A38"/>
    <w:rsid w:val="00901A8A"/>
    <w:rsid w:val="00901AD3"/>
    <w:rsid w:val="00901BA2"/>
    <w:rsid w:val="00901ED0"/>
    <w:rsid w:val="009021B0"/>
    <w:rsid w:val="009023FE"/>
    <w:rsid w:val="00902D56"/>
    <w:rsid w:val="00902EE4"/>
    <w:rsid w:val="00902F62"/>
    <w:rsid w:val="009031B9"/>
    <w:rsid w:val="0090331C"/>
    <w:rsid w:val="0090351E"/>
    <w:rsid w:val="00903F4B"/>
    <w:rsid w:val="00903FC1"/>
    <w:rsid w:val="009041BB"/>
    <w:rsid w:val="00904424"/>
    <w:rsid w:val="00904888"/>
    <w:rsid w:val="00904F50"/>
    <w:rsid w:val="0090512A"/>
    <w:rsid w:val="00905420"/>
    <w:rsid w:val="0090549E"/>
    <w:rsid w:val="0090553F"/>
    <w:rsid w:val="009059C2"/>
    <w:rsid w:val="00905A53"/>
    <w:rsid w:val="00905CB6"/>
    <w:rsid w:val="009060E3"/>
    <w:rsid w:val="00906866"/>
    <w:rsid w:val="00906A8B"/>
    <w:rsid w:val="00906B60"/>
    <w:rsid w:val="00906B68"/>
    <w:rsid w:val="0090702A"/>
    <w:rsid w:val="0090734A"/>
    <w:rsid w:val="009073AB"/>
    <w:rsid w:val="0090755B"/>
    <w:rsid w:val="0090774B"/>
    <w:rsid w:val="009077E4"/>
    <w:rsid w:val="00907B5A"/>
    <w:rsid w:val="00907B9D"/>
    <w:rsid w:val="00907BEE"/>
    <w:rsid w:val="00907FA0"/>
    <w:rsid w:val="00910088"/>
    <w:rsid w:val="0091013B"/>
    <w:rsid w:val="00910BDF"/>
    <w:rsid w:val="00910BF2"/>
    <w:rsid w:val="00910C05"/>
    <w:rsid w:val="00910EC4"/>
    <w:rsid w:val="00911172"/>
    <w:rsid w:val="009112AF"/>
    <w:rsid w:val="00911352"/>
    <w:rsid w:val="00911C8C"/>
    <w:rsid w:val="00911D69"/>
    <w:rsid w:val="00912130"/>
    <w:rsid w:val="0091217C"/>
    <w:rsid w:val="00912332"/>
    <w:rsid w:val="0091236C"/>
    <w:rsid w:val="009128F5"/>
    <w:rsid w:val="00912A60"/>
    <w:rsid w:val="00912CE2"/>
    <w:rsid w:val="00912D8F"/>
    <w:rsid w:val="00912F46"/>
    <w:rsid w:val="00913059"/>
    <w:rsid w:val="00913451"/>
    <w:rsid w:val="009134F6"/>
    <w:rsid w:val="00913578"/>
    <w:rsid w:val="009135EB"/>
    <w:rsid w:val="009137D5"/>
    <w:rsid w:val="009139C6"/>
    <w:rsid w:val="009139CA"/>
    <w:rsid w:val="00913CA0"/>
    <w:rsid w:val="00913FBE"/>
    <w:rsid w:val="009140B8"/>
    <w:rsid w:val="00914379"/>
    <w:rsid w:val="00914386"/>
    <w:rsid w:val="00914456"/>
    <w:rsid w:val="0091460A"/>
    <w:rsid w:val="0091464F"/>
    <w:rsid w:val="00914F1E"/>
    <w:rsid w:val="009150F4"/>
    <w:rsid w:val="0091515C"/>
    <w:rsid w:val="009152B2"/>
    <w:rsid w:val="00915319"/>
    <w:rsid w:val="009158CA"/>
    <w:rsid w:val="0091594A"/>
    <w:rsid w:val="00915B2B"/>
    <w:rsid w:val="00915C52"/>
    <w:rsid w:val="00915D17"/>
    <w:rsid w:val="00915E7D"/>
    <w:rsid w:val="00916018"/>
    <w:rsid w:val="0091647D"/>
    <w:rsid w:val="009164D8"/>
    <w:rsid w:val="00916506"/>
    <w:rsid w:val="00916773"/>
    <w:rsid w:val="00916A31"/>
    <w:rsid w:val="00916C6B"/>
    <w:rsid w:val="00916D2F"/>
    <w:rsid w:val="00916E37"/>
    <w:rsid w:val="009171BB"/>
    <w:rsid w:val="009172C5"/>
    <w:rsid w:val="00917537"/>
    <w:rsid w:val="009175BE"/>
    <w:rsid w:val="00917611"/>
    <w:rsid w:val="00917704"/>
    <w:rsid w:val="00917A45"/>
    <w:rsid w:val="00917A76"/>
    <w:rsid w:val="00917DFD"/>
    <w:rsid w:val="00917EF4"/>
    <w:rsid w:val="00917FDC"/>
    <w:rsid w:val="0092050B"/>
    <w:rsid w:val="00920686"/>
    <w:rsid w:val="009207F5"/>
    <w:rsid w:val="00920B9A"/>
    <w:rsid w:val="00920DAB"/>
    <w:rsid w:val="00920DC2"/>
    <w:rsid w:val="00920E7C"/>
    <w:rsid w:val="00920E8B"/>
    <w:rsid w:val="009210CD"/>
    <w:rsid w:val="00921112"/>
    <w:rsid w:val="00921173"/>
    <w:rsid w:val="009213BD"/>
    <w:rsid w:val="0092158C"/>
    <w:rsid w:val="00921772"/>
    <w:rsid w:val="00921881"/>
    <w:rsid w:val="009218CF"/>
    <w:rsid w:val="00921BBF"/>
    <w:rsid w:val="00921DF8"/>
    <w:rsid w:val="00921E90"/>
    <w:rsid w:val="0092224D"/>
    <w:rsid w:val="0092241C"/>
    <w:rsid w:val="00922E29"/>
    <w:rsid w:val="0092309B"/>
    <w:rsid w:val="00923109"/>
    <w:rsid w:val="0092317A"/>
    <w:rsid w:val="0092333B"/>
    <w:rsid w:val="009233AE"/>
    <w:rsid w:val="009234D9"/>
    <w:rsid w:val="00923AA2"/>
    <w:rsid w:val="00923C2A"/>
    <w:rsid w:val="00923DAD"/>
    <w:rsid w:val="00923DFF"/>
    <w:rsid w:val="00923E0F"/>
    <w:rsid w:val="00923F06"/>
    <w:rsid w:val="00924434"/>
    <w:rsid w:val="009244AC"/>
    <w:rsid w:val="009249E0"/>
    <w:rsid w:val="00924D3D"/>
    <w:rsid w:val="009252EB"/>
    <w:rsid w:val="00925392"/>
    <w:rsid w:val="00925469"/>
    <w:rsid w:val="009254D2"/>
    <w:rsid w:val="00925503"/>
    <w:rsid w:val="009255DE"/>
    <w:rsid w:val="009256FA"/>
    <w:rsid w:val="00925D26"/>
    <w:rsid w:val="00925D37"/>
    <w:rsid w:val="0092694B"/>
    <w:rsid w:val="00926AF2"/>
    <w:rsid w:val="00926CF7"/>
    <w:rsid w:val="009274DB"/>
    <w:rsid w:val="0092799E"/>
    <w:rsid w:val="00927B0F"/>
    <w:rsid w:val="00927B46"/>
    <w:rsid w:val="00927C16"/>
    <w:rsid w:val="00927D6E"/>
    <w:rsid w:val="00927EC0"/>
    <w:rsid w:val="00930086"/>
    <w:rsid w:val="00930116"/>
    <w:rsid w:val="00930178"/>
    <w:rsid w:val="00930361"/>
    <w:rsid w:val="00930631"/>
    <w:rsid w:val="009307A0"/>
    <w:rsid w:val="0093092B"/>
    <w:rsid w:val="0093125B"/>
    <w:rsid w:val="009312CF"/>
    <w:rsid w:val="0093165D"/>
    <w:rsid w:val="00931938"/>
    <w:rsid w:val="009319AB"/>
    <w:rsid w:val="00931B1C"/>
    <w:rsid w:val="00932286"/>
    <w:rsid w:val="0093231F"/>
    <w:rsid w:val="00932469"/>
    <w:rsid w:val="00932651"/>
    <w:rsid w:val="00932653"/>
    <w:rsid w:val="009326F3"/>
    <w:rsid w:val="00932857"/>
    <w:rsid w:val="00932A05"/>
    <w:rsid w:val="00932A42"/>
    <w:rsid w:val="0093309C"/>
    <w:rsid w:val="009330AD"/>
    <w:rsid w:val="009332E8"/>
    <w:rsid w:val="00933575"/>
    <w:rsid w:val="00933922"/>
    <w:rsid w:val="00933A0F"/>
    <w:rsid w:val="00933BF0"/>
    <w:rsid w:val="00933D88"/>
    <w:rsid w:val="00933E1D"/>
    <w:rsid w:val="00934004"/>
    <w:rsid w:val="0093413B"/>
    <w:rsid w:val="009341B9"/>
    <w:rsid w:val="0093432C"/>
    <w:rsid w:val="009343D9"/>
    <w:rsid w:val="00934A0B"/>
    <w:rsid w:val="00934B80"/>
    <w:rsid w:val="00934C73"/>
    <w:rsid w:val="00934D22"/>
    <w:rsid w:val="00934F47"/>
    <w:rsid w:val="009350F2"/>
    <w:rsid w:val="00935162"/>
    <w:rsid w:val="00935414"/>
    <w:rsid w:val="00935575"/>
    <w:rsid w:val="009355AC"/>
    <w:rsid w:val="009357A9"/>
    <w:rsid w:val="00935A1B"/>
    <w:rsid w:val="00935A82"/>
    <w:rsid w:val="00935C5B"/>
    <w:rsid w:val="00935C7D"/>
    <w:rsid w:val="00935D1B"/>
    <w:rsid w:val="00935E0E"/>
    <w:rsid w:val="0093642B"/>
    <w:rsid w:val="0093645A"/>
    <w:rsid w:val="00936702"/>
    <w:rsid w:val="00936738"/>
    <w:rsid w:val="00936ADE"/>
    <w:rsid w:val="00936B6A"/>
    <w:rsid w:val="00936D5D"/>
    <w:rsid w:val="00936F37"/>
    <w:rsid w:val="00936FEB"/>
    <w:rsid w:val="00937055"/>
    <w:rsid w:val="009372BC"/>
    <w:rsid w:val="009376B0"/>
    <w:rsid w:val="009377A2"/>
    <w:rsid w:val="009377C0"/>
    <w:rsid w:val="0093780E"/>
    <w:rsid w:val="009378C4"/>
    <w:rsid w:val="00937DD8"/>
    <w:rsid w:val="00937EA0"/>
    <w:rsid w:val="00937FD5"/>
    <w:rsid w:val="00940196"/>
    <w:rsid w:val="00940314"/>
    <w:rsid w:val="00940767"/>
    <w:rsid w:val="00940945"/>
    <w:rsid w:val="00940BC4"/>
    <w:rsid w:val="0094115C"/>
    <w:rsid w:val="00941406"/>
    <w:rsid w:val="00941555"/>
    <w:rsid w:val="009416EF"/>
    <w:rsid w:val="0094183A"/>
    <w:rsid w:val="0094189D"/>
    <w:rsid w:val="00941A38"/>
    <w:rsid w:val="00941D54"/>
    <w:rsid w:val="00942083"/>
    <w:rsid w:val="0094217A"/>
    <w:rsid w:val="0094219C"/>
    <w:rsid w:val="00942285"/>
    <w:rsid w:val="00942291"/>
    <w:rsid w:val="00942383"/>
    <w:rsid w:val="0094258F"/>
    <w:rsid w:val="009427FE"/>
    <w:rsid w:val="009429CF"/>
    <w:rsid w:val="00942BBD"/>
    <w:rsid w:val="00942D56"/>
    <w:rsid w:val="009437AE"/>
    <w:rsid w:val="00943EF2"/>
    <w:rsid w:val="00943FE2"/>
    <w:rsid w:val="00944055"/>
    <w:rsid w:val="00944307"/>
    <w:rsid w:val="009443EF"/>
    <w:rsid w:val="0094448E"/>
    <w:rsid w:val="00944553"/>
    <w:rsid w:val="00944596"/>
    <w:rsid w:val="00944952"/>
    <w:rsid w:val="009449BA"/>
    <w:rsid w:val="009449C2"/>
    <w:rsid w:val="00944CD3"/>
    <w:rsid w:val="00945019"/>
    <w:rsid w:val="009452DE"/>
    <w:rsid w:val="009454F9"/>
    <w:rsid w:val="0094582B"/>
    <w:rsid w:val="00945A46"/>
    <w:rsid w:val="00945ED3"/>
    <w:rsid w:val="00945F0F"/>
    <w:rsid w:val="00946490"/>
    <w:rsid w:val="00946755"/>
    <w:rsid w:val="0094679C"/>
    <w:rsid w:val="00946A1B"/>
    <w:rsid w:val="00946C50"/>
    <w:rsid w:val="00946C98"/>
    <w:rsid w:val="00946D6E"/>
    <w:rsid w:val="00947057"/>
    <w:rsid w:val="00947295"/>
    <w:rsid w:val="009472C6"/>
    <w:rsid w:val="00947305"/>
    <w:rsid w:val="0094738A"/>
    <w:rsid w:val="0094746B"/>
    <w:rsid w:val="009474F3"/>
    <w:rsid w:val="0094750D"/>
    <w:rsid w:val="009475A2"/>
    <w:rsid w:val="00947812"/>
    <w:rsid w:val="009479BF"/>
    <w:rsid w:val="00947AAB"/>
    <w:rsid w:val="00947BDB"/>
    <w:rsid w:val="00947E78"/>
    <w:rsid w:val="00950929"/>
    <w:rsid w:val="00950C6A"/>
    <w:rsid w:val="00950ECD"/>
    <w:rsid w:val="00950F29"/>
    <w:rsid w:val="00951090"/>
    <w:rsid w:val="009519CA"/>
    <w:rsid w:val="00951D93"/>
    <w:rsid w:val="00951EB7"/>
    <w:rsid w:val="00952231"/>
    <w:rsid w:val="00952274"/>
    <w:rsid w:val="009525BC"/>
    <w:rsid w:val="00952775"/>
    <w:rsid w:val="00952CA3"/>
    <w:rsid w:val="0095328E"/>
    <w:rsid w:val="009534F3"/>
    <w:rsid w:val="00953668"/>
    <w:rsid w:val="009537A7"/>
    <w:rsid w:val="00953CED"/>
    <w:rsid w:val="009541A5"/>
    <w:rsid w:val="00954B07"/>
    <w:rsid w:val="00954DE5"/>
    <w:rsid w:val="009550B6"/>
    <w:rsid w:val="0095515F"/>
    <w:rsid w:val="009551DB"/>
    <w:rsid w:val="0095525E"/>
    <w:rsid w:val="00955730"/>
    <w:rsid w:val="00955E0D"/>
    <w:rsid w:val="00955E17"/>
    <w:rsid w:val="00956267"/>
    <w:rsid w:val="009562EE"/>
    <w:rsid w:val="00956384"/>
    <w:rsid w:val="0095662E"/>
    <w:rsid w:val="00956B73"/>
    <w:rsid w:val="00957249"/>
    <w:rsid w:val="0095728D"/>
    <w:rsid w:val="009572D7"/>
    <w:rsid w:val="00957318"/>
    <w:rsid w:val="00957325"/>
    <w:rsid w:val="00957372"/>
    <w:rsid w:val="00957628"/>
    <w:rsid w:val="00957AE8"/>
    <w:rsid w:val="00957E10"/>
    <w:rsid w:val="00960019"/>
    <w:rsid w:val="009600F2"/>
    <w:rsid w:val="0096016E"/>
    <w:rsid w:val="0096019C"/>
    <w:rsid w:val="009601B1"/>
    <w:rsid w:val="00960317"/>
    <w:rsid w:val="0096052E"/>
    <w:rsid w:val="0096053E"/>
    <w:rsid w:val="0096058B"/>
    <w:rsid w:val="00960597"/>
    <w:rsid w:val="009606AE"/>
    <w:rsid w:val="009609BE"/>
    <w:rsid w:val="00960B31"/>
    <w:rsid w:val="00960D03"/>
    <w:rsid w:val="009613B8"/>
    <w:rsid w:val="00961488"/>
    <w:rsid w:val="009614F4"/>
    <w:rsid w:val="00961554"/>
    <w:rsid w:val="0096172B"/>
    <w:rsid w:val="0096173C"/>
    <w:rsid w:val="009619A9"/>
    <w:rsid w:val="00961A4B"/>
    <w:rsid w:val="00961B79"/>
    <w:rsid w:val="00962516"/>
    <w:rsid w:val="00962645"/>
    <w:rsid w:val="00962A59"/>
    <w:rsid w:val="00962BA2"/>
    <w:rsid w:val="00962C29"/>
    <w:rsid w:val="00962CB0"/>
    <w:rsid w:val="00962CD2"/>
    <w:rsid w:val="00962E15"/>
    <w:rsid w:val="009631B5"/>
    <w:rsid w:val="00963427"/>
    <w:rsid w:val="0096348C"/>
    <w:rsid w:val="00963565"/>
    <w:rsid w:val="009636D7"/>
    <w:rsid w:val="00963739"/>
    <w:rsid w:val="0096378A"/>
    <w:rsid w:val="0096393D"/>
    <w:rsid w:val="00963C35"/>
    <w:rsid w:val="00963DFA"/>
    <w:rsid w:val="00963EA0"/>
    <w:rsid w:val="00963F1F"/>
    <w:rsid w:val="00963F7D"/>
    <w:rsid w:val="009642CB"/>
    <w:rsid w:val="0096453D"/>
    <w:rsid w:val="00964785"/>
    <w:rsid w:val="009648F4"/>
    <w:rsid w:val="00964C21"/>
    <w:rsid w:val="00964E1F"/>
    <w:rsid w:val="00964F63"/>
    <w:rsid w:val="00965066"/>
    <w:rsid w:val="00965326"/>
    <w:rsid w:val="009654FC"/>
    <w:rsid w:val="00965596"/>
    <w:rsid w:val="0096568C"/>
    <w:rsid w:val="0096568D"/>
    <w:rsid w:val="009656F8"/>
    <w:rsid w:val="00965E30"/>
    <w:rsid w:val="00965F00"/>
    <w:rsid w:val="009662FA"/>
    <w:rsid w:val="0096677E"/>
    <w:rsid w:val="00966932"/>
    <w:rsid w:val="009677A7"/>
    <w:rsid w:val="0096799D"/>
    <w:rsid w:val="00967AA1"/>
    <w:rsid w:val="00967DED"/>
    <w:rsid w:val="00967FBA"/>
    <w:rsid w:val="00967FCF"/>
    <w:rsid w:val="00970175"/>
    <w:rsid w:val="009703E1"/>
    <w:rsid w:val="00970A74"/>
    <w:rsid w:val="0097147C"/>
    <w:rsid w:val="0097158A"/>
    <w:rsid w:val="00971695"/>
    <w:rsid w:val="00971759"/>
    <w:rsid w:val="009717EF"/>
    <w:rsid w:val="00971880"/>
    <w:rsid w:val="00971899"/>
    <w:rsid w:val="00971D2A"/>
    <w:rsid w:val="0097231E"/>
    <w:rsid w:val="009723E1"/>
    <w:rsid w:val="009724F5"/>
    <w:rsid w:val="0097252D"/>
    <w:rsid w:val="009727BC"/>
    <w:rsid w:val="0097312B"/>
    <w:rsid w:val="00973A03"/>
    <w:rsid w:val="00973E10"/>
    <w:rsid w:val="009742C4"/>
    <w:rsid w:val="009743A3"/>
    <w:rsid w:val="009743F0"/>
    <w:rsid w:val="009745FD"/>
    <w:rsid w:val="00974839"/>
    <w:rsid w:val="00974CB5"/>
    <w:rsid w:val="00975477"/>
    <w:rsid w:val="0097554A"/>
    <w:rsid w:val="00975962"/>
    <w:rsid w:val="00975A04"/>
    <w:rsid w:val="00976444"/>
    <w:rsid w:val="009764B1"/>
    <w:rsid w:val="00976631"/>
    <w:rsid w:val="00976695"/>
    <w:rsid w:val="009772AF"/>
    <w:rsid w:val="00977624"/>
    <w:rsid w:val="009776BF"/>
    <w:rsid w:val="009778D6"/>
    <w:rsid w:val="00977908"/>
    <w:rsid w:val="00977B98"/>
    <w:rsid w:val="00977DA2"/>
    <w:rsid w:val="00977E84"/>
    <w:rsid w:val="00977F61"/>
    <w:rsid w:val="009803D5"/>
    <w:rsid w:val="0098063F"/>
    <w:rsid w:val="00980866"/>
    <w:rsid w:val="00980A1C"/>
    <w:rsid w:val="00980AE2"/>
    <w:rsid w:val="00980BA8"/>
    <w:rsid w:val="00980BDD"/>
    <w:rsid w:val="00980FFE"/>
    <w:rsid w:val="00981355"/>
    <w:rsid w:val="009813E9"/>
    <w:rsid w:val="00981673"/>
    <w:rsid w:val="00981A2A"/>
    <w:rsid w:val="00981ADB"/>
    <w:rsid w:val="00982049"/>
    <w:rsid w:val="009827B4"/>
    <w:rsid w:val="00982898"/>
    <w:rsid w:val="00982999"/>
    <w:rsid w:val="00982B82"/>
    <w:rsid w:val="00982B9D"/>
    <w:rsid w:val="00982EF6"/>
    <w:rsid w:val="0098322F"/>
    <w:rsid w:val="00983262"/>
    <w:rsid w:val="009833D4"/>
    <w:rsid w:val="00983678"/>
    <w:rsid w:val="00983787"/>
    <w:rsid w:val="0098380F"/>
    <w:rsid w:val="009838BE"/>
    <w:rsid w:val="00983AE1"/>
    <w:rsid w:val="00983C57"/>
    <w:rsid w:val="00983D6C"/>
    <w:rsid w:val="00983EEC"/>
    <w:rsid w:val="0098419B"/>
    <w:rsid w:val="0098436D"/>
    <w:rsid w:val="00984417"/>
    <w:rsid w:val="0098441F"/>
    <w:rsid w:val="00985134"/>
    <w:rsid w:val="0098517F"/>
    <w:rsid w:val="00985371"/>
    <w:rsid w:val="0098562F"/>
    <w:rsid w:val="009856D7"/>
    <w:rsid w:val="00985996"/>
    <w:rsid w:val="009859CE"/>
    <w:rsid w:val="00985AF1"/>
    <w:rsid w:val="00985B74"/>
    <w:rsid w:val="00985C76"/>
    <w:rsid w:val="00985F98"/>
    <w:rsid w:val="00986039"/>
    <w:rsid w:val="00986C0F"/>
    <w:rsid w:val="00986C68"/>
    <w:rsid w:val="00986DEF"/>
    <w:rsid w:val="00986FAA"/>
    <w:rsid w:val="0098778D"/>
    <w:rsid w:val="009879CD"/>
    <w:rsid w:val="00987AD2"/>
    <w:rsid w:val="00987BDA"/>
    <w:rsid w:val="00987D53"/>
    <w:rsid w:val="00987FF6"/>
    <w:rsid w:val="009901D1"/>
    <w:rsid w:val="00990322"/>
    <w:rsid w:val="00990457"/>
    <w:rsid w:val="009906D5"/>
    <w:rsid w:val="0099078F"/>
    <w:rsid w:val="00990868"/>
    <w:rsid w:val="00990B73"/>
    <w:rsid w:val="00990C2D"/>
    <w:rsid w:val="00990CAC"/>
    <w:rsid w:val="00990D00"/>
    <w:rsid w:val="00990D30"/>
    <w:rsid w:val="00990E05"/>
    <w:rsid w:val="00990FA1"/>
    <w:rsid w:val="009910FB"/>
    <w:rsid w:val="009914BC"/>
    <w:rsid w:val="009918E2"/>
    <w:rsid w:val="00991BF4"/>
    <w:rsid w:val="00991C55"/>
    <w:rsid w:val="00991CA3"/>
    <w:rsid w:val="00991D0D"/>
    <w:rsid w:val="00991E0D"/>
    <w:rsid w:val="00991EA3"/>
    <w:rsid w:val="009920CB"/>
    <w:rsid w:val="009920D8"/>
    <w:rsid w:val="009925CA"/>
    <w:rsid w:val="009925F7"/>
    <w:rsid w:val="009926D6"/>
    <w:rsid w:val="00992A75"/>
    <w:rsid w:val="00992DE4"/>
    <w:rsid w:val="009931A1"/>
    <w:rsid w:val="009933BA"/>
    <w:rsid w:val="0099362F"/>
    <w:rsid w:val="009939B7"/>
    <w:rsid w:val="009939EE"/>
    <w:rsid w:val="00993A46"/>
    <w:rsid w:val="00994017"/>
    <w:rsid w:val="0099421B"/>
    <w:rsid w:val="00994316"/>
    <w:rsid w:val="009943DB"/>
    <w:rsid w:val="00994729"/>
    <w:rsid w:val="009947C0"/>
    <w:rsid w:val="00994F36"/>
    <w:rsid w:val="00995353"/>
    <w:rsid w:val="00995386"/>
    <w:rsid w:val="009953D1"/>
    <w:rsid w:val="0099572C"/>
    <w:rsid w:val="00995762"/>
    <w:rsid w:val="00995910"/>
    <w:rsid w:val="00995A47"/>
    <w:rsid w:val="00995D87"/>
    <w:rsid w:val="00995F34"/>
    <w:rsid w:val="0099668F"/>
    <w:rsid w:val="009966FF"/>
    <w:rsid w:val="00996866"/>
    <w:rsid w:val="00996A37"/>
    <w:rsid w:val="00996B87"/>
    <w:rsid w:val="00996C31"/>
    <w:rsid w:val="00996C97"/>
    <w:rsid w:val="00996FD8"/>
    <w:rsid w:val="00997182"/>
    <w:rsid w:val="00997302"/>
    <w:rsid w:val="00997641"/>
    <w:rsid w:val="00997A58"/>
    <w:rsid w:val="00997D39"/>
    <w:rsid w:val="00997D89"/>
    <w:rsid w:val="009A0261"/>
    <w:rsid w:val="009A031A"/>
    <w:rsid w:val="009A0590"/>
    <w:rsid w:val="009A08F4"/>
    <w:rsid w:val="009A0DAD"/>
    <w:rsid w:val="009A0E95"/>
    <w:rsid w:val="009A0E9E"/>
    <w:rsid w:val="009A0F6C"/>
    <w:rsid w:val="009A1233"/>
    <w:rsid w:val="009A1499"/>
    <w:rsid w:val="009A14F0"/>
    <w:rsid w:val="009A1609"/>
    <w:rsid w:val="009A168E"/>
    <w:rsid w:val="009A1E41"/>
    <w:rsid w:val="009A1E44"/>
    <w:rsid w:val="009A1FCC"/>
    <w:rsid w:val="009A24F8"/>
    <w:rsid w:val="009A26BA"/>
    <w:rsid w:val="009A29AC"/>
    <w:rsid w:val="009A29F1"/>
    <w:rsid w:val="009A2D08"/>
    <w:rsid w:val="009A2E37"/>
    <w:rsid w:val="009A2E5D"/>
    <w:rsid w:val="009A31CE"/>
    <w:rsid w:val="009A3496"/>
    <w:rsid w:val="009A375F"/>
    <w:rsid w:val="009A37B0"/>
    <w:rsid w:val="009A3DA7"/>
    <w:rsid w:val="009A3E05"/>
    <w:rsid w:val="009A3E21"/>
    <w:rsid w:val="009A3F20"/>
    <w:rsid w:val="009A43DF"/>
    <w:rsid w:val="009A4420"/>
    <w:rsid w:val="009A4736"/>
    <w:rsid w:val="009A4888"/>
    <w:rsid w:val="009A48F9"/>
    <w:rsid w:val="009A4A90"/>
    <w:rsid w:val="009A4AB5"/>
    <w:rsid w:val="009A4CC0"/>
    <w:rsid w:val="009A4F97"/>
    <w:rsid w:val="009A512E"/>
    <w:rsid w:val="009A5834"/>
    <w:rsid w:val="009A5851"/>
    <w:rsid w:val="009A58F8"/>
    <w:rsid w:val="009A5B60"/>
    <w:rsid w:val="009A6567"/>
    <w:rsid w:val="009A66D7"/>
    <w:rsid w:val="009A68CF"/>
    <w:rsid w:val="009A69F9"/>
    <w:rsid w:val="009A6CDC"/>
    <w:rsid w:val="009A6DA8"/>
    <w:rsid w:val="009A6DC8"/>
    <w:rsid w:val="009A6E92"/>
    <w:rsid w:val="009A7760"/>
    <w:rsid w:val="009A78C3"/>
    <w:rsid w:val="009A79F8"/>
    <w:rsid w:val="009A7CD7"/>
    <w:rsid w:val="009B01FA"/>
    <w:rsid w:val="009B0221"/>
    <w:rsid w:val="009B04F7"/>
    <w:rsid w:val="009B0698"/>
    <w:rsid w:val="009B0C78"/>
    <w:rsid w:val="009B0D6F"/>
    <w:rsid w:val="009B0EF6"/>
    <w:rsid w:val="009B0F6C"/>
    <w:rsid w:val="009B10CF"/>
    <w:rsid w:val="009B11A0"/>
    <w:rsid w:val="009B152F"/>
    <w:rsid w:val="009B15BB"/>
    <w:rsid w:val="009B1606"/>
    <w:rsid w:val="009B1876"/>
    <w:rsid w:val="009B1AE1"/>
    <w:rsid w:val="009B25A7"/>
    <w:rsid w:val="009B2673"/>
    <w:rsid w:val="009B26AF"/>
    <w:rsid w:val="009B26F3"/>
    <w:rsid w:val="009B28F8"/>
    <w:rsid w:val="009B299E"/>
    <w:rsid w:val="009B2C33"/>
    <w:rsid w:val="009B3156"/>
    <w:rsid w:val="009B34F5"/>
    <w:rsid w:val="009B4060"/>
    <w:rsid w:val="009B40FB"/>
    <w:rsid w:val="009B41C6"/>
    <w:rsid w:val="009B4674"/>
    <w:rsid w:val="009B46BB"/>
    <w:rsid w:val="009B4C0A"/>
    <w:rsid w:val="009B4CA8"/>
    <w:rsid w:val="009B53E9"/>
    <w:rsid w:val="009B5479"/>
    <w:rsid w:val="009B5654"/>
    <w:rsid w:val="009B5745"/>
    <w:rsid w:val="009B5B41"/>
    <w:rsid w:val="009B5E89"/>
    <w:rsid w:val="009B64CB"/>
    <w:rsid w:val="009B6BF0"/>
    <w:rsid w:val="009B6C76"/>
    <w:rsid w:val="009B6F69"/>
    <w:rsid w:val="009B707E"/>
    <w:rsid w:val="009B7693"/>
    <w:rsid w:val="009B7749"/>
    <w:rsid w:val="009B7BB8"/>
    <w:rsid w:val="009B7F90"/>
    <w:rsid w:val="009C02ED"/>
    <w:rsid w:val="009C0447"/>
    <w:rsid w:val="009C04CB"/>
    <w:rsid w:val="009C0596"/>
    <w:rsid w:val="009C07AD"/>
    <w:rsid w:val="009C0849"/>
    <w:rsid w:val="009C09CE"/>
    <w:rsid w:val="009C09FA"/>
    <w:rsid w:val="009C0C6B"/>
    <w:rsid w:val="009C0EAD"/>
    <w:rsid w:val="009C1139"/>
    <w:rsid w:val="009C1388"/>
    <w:rsid w:val="009C13EE"/>
    <w:rsid w:val="009C1492"/>
    <w:rsid w:val="009C15BF"/>
    <w:rsid w:val="009C1879"/>
    <w:rsid w:val="009C195F"/>
    <w:rsid w:val="009C1993"/>
    <w:rsid w:val="009C1A7F"/>
    <w:rsid w:val="009C1D1D"/>
    <w:rsid w:val="009C1D41"/>
    <w:rsid w:val="009C2149"/>
    <w:rsid w:val="009C214E"/>
    <w:rsid w:val="009C24A8"/>
    <w:rsid w:val="009C26A4"/>
    <w:rsid w:val="009C2959"/>
    <w:rsid w:val="009C33ED"/>
    <w:rsid w:val="009C356A"/>
    <w:rsid w:val="009C3901"/>
    <w:rsid w:val="009C3B60"/>
    <w:rsid w:val="009C3C98"/>
    <w:rsid w:val="009C3E5B"/>
    <w:rsid w:val="009C3E87"/>
    <w:rsid w:val="009C404A"/>
    <w:rsid w:val="009C41B5"/>
    <w:rsid w:val="009C44BF"/>
    <w:rsid w:val="009C4AA3"/>
    <w:rsid w:val="009C4AC7"/>
    <w:rsid w:val="009C5024"/>
    <w:rsid w:val="009C529D"/>
    <w:rsid w:val="009C5316"/>
    <w:rsid w:val="009C53C6"/>
    <w:rsid w:val="009C56B1"/>
    <w:rsid w:val="009C5885"/>
    <w:rsid w:val="009C5A1D"/>
    <w:rsid w:val="009C5DC9"/>
    <w:rsid w:val="009C5EE2"/>
    <w:rsid w:val="009C631C"/>
    <w:rsid w:val="009C645B"/>
    <w:rsid w:val="009C65B1"/>
    <w:rsid w:val="009C66F2"/>
    <w:rsid w:val="009C6EEB"/>
    <w:rsid w:val="009C726B"/>
    <w:rsid w:val="009C73D6"/>
    <w:rsid w:val="009C74F9"/>
    <w:rsid w:val="009C7AEE"/>
    <w:rsid w:val="009C7B21"/>
    <w:rsid w:val="009C7DD4"/>
    <w:rsid w:val="009D016B"/>
    <w:rsid w:val="009D01D2"/>
    <w:rsid w:val="009D03BD"/>
    <w:rsid w:val="009D0427"/>
    <w:rsid w:val="009D050C"/>
    <w:rsid w:val="009D0743"/>
    <w:rsid w:val="009D0A4E"/>
    <w:rsid w:val="009D0B65"/>
    <w:rsid w:val="009D0C80"/>
    <w:rsid w:val="009D0CBB"/>
    <w:rsid w:val="009D0F87"/>
    <w:rsid w:val="009D1220"/>
    <w:rsid w:val="009D14DA"/>
    <w:rsid w:val="009D172E"/>
    <w:rsid w:val="009D17D2"/>
    <w:rsid w:val="009D19E4"/>
    <w:rsid w:val="009D1C05"/>
    <w:rsid w:val="009D1EC8"/>
    <w:rsid w:val="009D201D"/>
    <w:rsid w:val="009D2092"/>
    <w:rsid w:val="009D20CC"/>
    <w:rsid w:val="009D2433"/>
    <w:rsid w:val="009D252D"/>
    <w:rsid w:val="009D25D2"/>
    <w:rsid w:val="009D2791"/>
    <w:rsid w:val="009D27DA"/>
    <w:rsid w:val="009D2947"/>
    <w:rsid w:val="009D2BE9"/>
    <w:rsid w:val="009D2EB8"/>
    <w:rsid w:val="009D3039"/>
    <w:rsid w:val="009D3043"/>
    <w:rsid w:val="009D30BD"/>
    <w:rsid w:val="009D30F3"/>
    <w:rsid w:val="009D31DA"/>
    <w:rsid w:val="009D326E"/>
    <w:rsid w:val="009D32EB"/>
    <w:rsid w:val="009D3530"/>
    <w:rsid w:val="009D37D3"/>
    <w:rsid w:val="009D389A"/>
    <w:rsid w:val="009D39D0"/>
    <w:rsid w:val="009D3AF2"/>
    <w:rsid w:val="009D3B2A"/>
    <w:rsid w:val="009D3ED8"/>
    <w:rsid w:val="009D4667"/>
    <w:rsid w:val="009D47C3"/>
    <w:rsid w:val="009D4936"/>
    <w:rsid w:val="009D49D3"/>
    <w:rsid w:val="009D4D4B"/>
    <w:rsid w:val="009D5541"/>
    <w:rsid w:val="009D5AA3"/>
    <w:rsid w:val="009D5B84"/>
    <w:rsid w:val="009D5C8D"/>
    <w:rsid w:val="009D5E33"/>
    <w:rsid w:val="009D6039"/>
    <w:rsid w:val="009D610F"/>
    <w:rsid w:val="009D6A62"/>
    <w:rsid w:val="009D6BFE"/>
    <w:rsid w:val="009D701C"/>
    <w:rsid w:val="009D7293"/>
    <w:rsid w:val="009D7361"/>
    <w:rsid w:val="009D7692"/>
    <w:rsid w:val="009D77DF"/>
    <w:rsid w:val="009D784D"/>
    <w:rsid w:val="009D7B65"/>
    <w:rsid w:val="009D7F77"/>
    <w:rsid w:val="009E0058"/>
    <w:rsid w:val="009E0790"/>
    <w:rsid w:val="009E0826"/>
    <w:rsid w:val="009E09F0"/>
    <w:rsid w:val="009E0E2E"/>
    <w:rsid w:val="009E1022"/>
    <w:rsid w:val="009E1193"/>
    <w:rsid w:val="009E1210"/>
    <w:rsid w:val="009E128E"/>
    <w:rsid w:val="009E1686"/>
    <w:rsid w:val="009E17E4"/>
    <w:rsid w:val="009E19CD"/>
    <w:rsid w:val="009E1E19"/>
    <w:rsid w:val="009E24C2"/>
    <w:rsid w:val="009E27D6"/>
    <w:rsid w:val="009E2915"/>
    <w:rsid w:val="009E2BB9"/>
    <w:rsid w:val="009E2C4F"/>
    <w:rsid w:val="009E2D23"/>
    <w:rsid w:val="009E2E42"/>
    <w:rsid w:val="009E3024"/>
    <w:rsid w:val="009E31CC"/>
    <w:rsid w:val="009E31E3"/>
    <w:rsid w:val="009E34F6"/>
    <w:rsid w:val="009E3613"/>
    <w:rsid w:val="009E3758"/>
    <w:rsid w:val="009E3A9A"/>
    <w:rsid w:val="009E3E8E"/>
    <w:rsid w:val="009E3EC6"/>
    <w:rsid w:val="009E3FBA"/>
    <w:rsid w:val="009E4077"/>
    <w:rsid w:val="009E40D9"/>
    <w:rsid w:val="009E44B5"/>
    <w:rsid w:val="009E4654"/>
    <w:rsid w:val="009E47F9"/>
    <w:rsid w:val="009E4919"/>
    <w:rsid w:val="009E4A6F"/>
    <w:rsid w:val="009E4AD9"/>
    <w:rsid w:val="009E4CB8"/>
    <w:rsid w:val="009E4E63"/>
    <w:rsid w:val="009E5172"/>
    <w:rsid w:val="009E51A8"/>
    <w:rsid w:val="009E5265"/>
    <w:rsid w:val="009E53E8"/>
    <w:rsid w:val="009E53F0"/>
    <w:rsid w:val="009E54FD"/>
    <w:rsid w:val="009E5567"/>
    <w:rsid w:val="009E563C"/>
    <w:rsid w:val="009E5804"/>
    <w:rsid w:val="009E581B"/>
    <w:rsid w:val="009E587F"/>
    <w:rsid w:val="009E5DB7"/>
    <w:rsid w:val="009E5DF1"/>
    <w:rsid w:val="009E5EE9"/>
    <w:rsid w:val="009E5F3B"/>
    <w:rsid w:val="009E67DB"/>
    <w:rsid w:val="009E6D78"/>
    <w:rsid w:val="009E7096"/>
    <w:rsid w:val="009E7501"/>
    <w:rsid w:val="009E7615"/>
    <w:rsid w:val="009E7BEB"/>
    <w:rsid w:val="009E7D08"/>
    <w:rsid w:val="009E7FED"/>
    <w:rsid w:val="009F00D0"/>
    <w:rsid w:val="009F0187"/>
    <w:rsid w:val="009F01BB"/>
    <w:rsid w:val="009F03E1"/>
    <w:rsid w:val="009F0B1D"/>
    <w:rsid w:val="009F0B68"/>
    <w:rsid w:val="009F0F9A"/>
    <w:rsid w:val="009F1572"/>
    <w:rsid w:val="009F16B3"/>
    <w:rsid w:val="009F1747"/>
    <w:rsid w:val="009F17FD"/>
    <w:rsid w:val="009F1819"/>
    <w:rsid w:val="009F1A21"/>
    <w:rsid w:val="009F1B33"/>
    <w:rsid w:val="009F204D"/>
    <w:rsid w:val="009F2052"/>
    <w:rsid w:val="009F2258"/>
    <w:rsid w:val="009F2491"/>
    <w:rsid w:val="009F2557"/>
    <w:rsid w:val="009F25DD"/>
    <w:rsid w:val="009F2871"/>
    <w:rsid w:val="009F2A73"/>
    <w:rsid w:val="009F2B6E"/>
    <w:rsid w:val="009F2CFA"/>
    <w:rsid w:val="009F30CF"/>
    <w:rsid w:val="009F32CD"/>
    <w:rsid w:val="009F369B"/>
    <w:rsid w:val="009F3A4B"/>
    <w:rsid w:val="009F4490"/>
    <w:rsid w:val="009F45A6"/>
    <w:rsid w:val="009F494B"/>
    <w:rsid w:val="009F4EEC"/>
    <w:rsid w:val="009F4F8F"/>
    <w:rsid w:val="009F5142"/>
    <w:rsid w:val="009F51B6"/>
    <w:rsid w:val="009F5295"/>
    <w:rsid w:val="009F5367"/>
    <w:rsid w:val="009F5BE0"/>
    <w:rsid w:val="009F5C35"/>
    <w:rsid w:val="009F5CF5"/>
    <w:rsid w:val="009F5DDB"/>
    <w:rsid w:val="009F62CB"/>
    <w:rsid w:val="009F64A2"/>
    <w:rsid w:val="009F6926"/>
    <w:rsid w:val="009F6936"/>
    <w:rsid w:val="009F6960"/>
    <w:rsid w:val="009F6996"/>
    <w:rsid w:val="009F6B55"/>
    <w:rsid w:val="009F724E"/>
    <w:rsid w:val="009F731D"/>
    <w:rsid w:val="009F7382"/>
    <w:rsid w:val="009F741A"/>
    <w:rsid w:val="009F7462"/>
    <w:rsid w:val="009F759F"/>
    <w:rsid w:val="009F78B0"/>
    <w:rsid w:val="009F7998"/>
    <w:rsid w:val="009F7B32"/>
    <w:rsid w:val="009F7C55"/>
    <w:rsid w:val="009F7D75"/>
    <w:rsid w:val="009F7DDD"/>
    <w:rsid w:val="00A000BA"/>
    <w:rsid w:val="00A002AC"/>
    <w:rsid w:val="00A00348"/>
    <w:rsid w:val="00A003DE"/>
    <w:rsid w:val="00A004C4"/>
    <w:rsid w:val="00A007F4"/>
    <w:rsid w:val="00A00916"/>
    <w:rsid w:val="00A009EF"/>
    <w:rsid w:val="00A00A89"/>
    <w:rsid w:val="00A01315"/>
    <w:rsid w:val="00A014A1"/>
    <w:rsid w:val="00A01512"/>
    <w:rsid w:val="00A01671"/>
    <w:rsid w:val="00A01D76"/>
    <w:rsid w:val="00A02142"/>
    <w:rsid w:val="00A0247E"/>
    <w:rsid w:val="00A0265D"/>
    <w:rsid w:val="00A0272F"/>
    <w:rsid w:val="00A030FE"/>
    <w:rsid w:val="00A0331F"/>
    <w:rsid w:val="00A03754"/>
    <w:rsid w:val="00A03920"/>
    <w:rsid w:val="00A03946"/>
    <w:rsid w:val="00A03BBA"/>
    <w:rsid w:val="00A03D02"/>
    <w:rsid w:val="00A03EC1"/>
    <w:rsid w:val="00A03F3E"/>
    <w:rsid w:val="00A04019"/>
    <w:rsid w:val="00A042D9"/>
    <w:rsid w:val="00A043C6"/>
    <w:rsid w:val="00A04657"/>
    <w:rsid w:val="00A04740"/>
    <w:rsid w:val="00A04756"/>
    <w:rsid w:val="00A0481A"/>
    <w:rsid w:val="00A04C3D"/>
    <w:rsid w:val="00A05225"/>
    <w:rsid w:val="00A05458"/>
    <w:rsid w:val="00A0555A"/>
    <w:rsid w:val="00A0559B"/>
    <w:rsid w:val="00A055EF"/>
    <w:rsid w:val="00A057A4"/>
    <w:rsid w:val="00A05C5E"/>
    <w:rsid w:val="00A05CDB"/>
    <w:rsid w:val="00A05D13"/>
    <w:rsid w:val="00A05D8D"/>
    <w:rsid w:val="00A061BB"/>
    <w:rsid w:val="00A06581"/>
    <w:rsid w:val="00A06636"/>
    <w:rsid w:val="00A06AE9"/>
    <w:rsid w:val="00A0758D"/>
    <w:rsid w:val="00A078BA"/>
    <w:rsid w:val="00A079AA"/>
    <w:rsid w:val="00A07A76"/>
    <w:rsid w:val="00A07E47"/>
    <w:rsid w:val="00A1034B"/>
    <w:rsid w:val="00A103E4"/>
    <w:rsid w:val="00A105FC"/>
    <w:rsid w:val="00A1090A"/>
    <w:rsid w:val="00A10CAC"/>
    <w:rsid w:val="00A10CCE"/>
    <w:rsid w:val="00A10F90"/>
    <w:rsid w:val="00A113EB"/>
    <w:rsid w:val="00A1146B"/>
    <w:rsid w:val="00A11565"/>
    <w:rsid w:val="00A117BB"/>
    <w:rsid w:val="00A11AD3"/>
    <w:rsid w:val="00A11C59"/>
    <w:rsid w:val="00A11CB0"/>
    <w:rsid w:val="00A11D01"/>
    <w:rsid w:val="00A1223D"/>
    <w:rsid w:val="00A12248"/>
    <w:rsid w:val="00A124A0"/>
    <w:rsid w:val="00A12568"/>
    <w:rsid w:val="00A125CB"/>
    <w:rsid w:val="00A1282A"/>
    <w:rsid w:val="00A12A08"/>
    <w:rsid w:val="00A12B00"/>
    <w:rsid w:val="00A12C05"/>
    <w:rsid w:val="00A12D50"/>
    <w:rsid w:val="00A12EAC"/>
    <w:rsid w:val="00A13121"/>
    <w:rsid w:val="00A131F2"/>
    <w:rsid w:val="00A132FC"/>
    <w:rsid w:val="00A13335"/>
    <w:rsid w:val="00A135B1"/>
    <w:rsid w:val="00A13D76"/>
    <w:rsid w:val="00A13E9D"/>
    <w:rsid w:val="00A13F8C"/>
    <w:rsid w:val="00A1426C"/>
    <w:rsid w:val="00A1427B"/>
    <w:rsid w:val="00A142AD"/>
    <w:rsid w:val="00A1435C"/>
    <w:rsid w:val="00A1444D"/>
    <w:rsid w:val="00A14764"/>
    <w:rsid w:val="00A149CF"/>
    <w:rsid w:val="00A14B26"/>
    <w:rsid w:val="00A14E1F"/>
    <w:rsid w:val="00A14EFE"/>
    <w:rsid w:val="00A14FD7"/>
    <w:rsid w:val="00A152E6"/>
    <w:rsid w:val="00A155AF"/>
    <w:rsid w:val="00A15A68"/>
    <w:rsid w:val="00A15AC4"/>
    <w:rsid w:val="00A15AC7"/>
    <w:rsid w:val="00A15B10"/>
    <w:rsid w:val="00A15E01"/>
    <w:rsid w:val="00A15FA1"/>
    <w:rsid w:val="00A16254"/>
    <w:rsid w:val="00A1653F"/>
    <w:rsid w:val="00A16778"/>
    <w:rsid w:val="00A16A58"/>
    <w:rsid w:val="00A16A7E"/>
    <w:rsid w:val="00A16ADE"/>
    <w:rsid w:val="00A16FC1"/>
    <w:rsid w:val="00A1708F"/>
    <w:rsid w:val="00A171AB"/>
    <w:rsid w:val="00A17904"/>
    <w:rsid w:val="00A17C3D"/>
    <w:rsid w:val="00A17CA0"/>
    <w:rsid w:val="00A17F16"/>
    <w:rsid w:val="00A17FE3"/>
    <w:rsid w:val="00A200BD"/>
    <w:rsid w:val="00A2031C"/>
    <w:rsid w:val="00A207C2"/>
    <w:rsid w:val="00A20AD2"/>
    <w:rsid w:val="00A20C52"/>
    <w:rsid w:val="00A21008"/>
    <w:rsid w:val="00A213CC"/>
    <w:rsid w:val="00A214C3"/>
    <w:rsid w:val="00A215E1"/>
    <w:rsid w:val="00A2190D"/>
    <w:rsid w:val="00A224E9"/>
    <w:rsid w:val="00A225C1"/>
    <w:rsid w:val="00A22700"/>
    <w:rsid w:val="00A229A6"/>
    <w:rsid w:val="00A22C75"/>
    <w:rsid w:val="00A22CBB"/>
    <w:rsid w:val="00A2306E"/>
    <w:rsid w:val="00A23350"/>
    <w:rsid w:val="00A233A2"/>
    <w:rsid w:val="00A23A46"/>
    <w:rsid w:val="00A23A86"/>
    <w:rsid w:val="00A23D1C"/>
    <w:rsid w:val="00A23DB9"/>
    <w:rsid w:val="00A24042"/>
    <w:rsid w:val="00A24195"/>
    <w:rsid w:val="00A2438E"/>
    <w:rsid w:val="00A246B7"/>
    <w:rsid w:val="00A2475D"/>
    <w:rsid w:val="00A24880"/>
    <w:rsid w:val="00A24B60"/>
    <w:rsid w:val="00A24B65"/>
    <w:rsid w:val="00A24C17"/>
    <w:rsid w:val="00A2501E"/>
    <w:rsid w:val="00A252B9"/>
    <w:rsid w:val="00A25435"/>
    <w:rsid w:val="00A25613"/>
    <w:rsid w:val="00A25922"/>
    <w:rsid w:val="00A25F8D"/>
    <w:rsid w:val="00A2633B"/>
    <w:rsid w:val="00A263A5"/>
    <w:rsid w:val="00A2672B"/>
    <w:rsid w:val="00A2691B"/>
    <w:rsid w:val="00A26A0E"/>
    <w:rsid w:val="00A26E58"/>
    <w:rsid w:val="00A26F93"/>
    <w:rsid w:val="00A27162"/>
    <w:rsid w:val="00A27374"/>
    <w:rsid w:val="00A274E3"/>
    <w:rsid w:val="00A27819"/>
    <w:rsid w:val="00A27A53"/>
    <w:rsid w:val="00A27BCA"/>
    <w:rsid w:val="00A27D0A"/>
    <w:rsid w:val="00A30576"/>
    <w:rsid w:val="00A307FC"/>
    <w:rsid w:val="00A309D8"/>
    <w:rsid w:val="00A30B82"/>
    <w:rsid w:val="00A31026"/>
    <w:rsid w:val="00A313F6"/>
    <w:rsid w:val="00A31716"/>
    <w:rsid w:val="00A317DE"/>
    <w:rsid w:val="00A31842"/>
    <w:rsid w:val="00A31A65"/>
    <w:rsid w:val="00A31E62"/>
    <w:rsid w:val="00A32366"/>
    <w:rsid w:val="00A323E4"/>
    <w:rsid w:val="00A32790"/>
    <w:rsid w:val="00A32CD5"/>
    <w:rsid w:val="00A32E95"/>
    <w:rsid w:val="00A331A7"/>
    <w:rsid w:val="00A33348"/>
    <w:rsid w:val="00A33391"/>
    <w:rsid w:val="00A333BF"/>
    <w:rsid w:val="00A3376D"/>
    <w:rsid w:val="00A33832"/>
    <w:rsid w:val="00A33EA6"/>
    <w:rsid w:val="00A33FA1"/>
    <w:rsid w:val="00A344BC"/>
    <w:rsid w:val="00A348D7"/>
    <w:rsid w:val="00A34E17"/>
    <w:rsid w:val="00A34E4F"/>
    <w:rsid w:val="00A34E65"/>
    <w:rsid w:val="00A34ED9"/>
    <w:rsid w:val="00A34EE5"/>
    <w:rsid w:val="00A34F55"/>
    <w:rsid w:val="00A35259"/>
    <w:rsid w:val="00A355E2"/>
    <w:rsid w:val="00A35698"/>
    <w:rsid w:val="00A35ACB"/>
    <w:rsid w:val="00A35E8C"/>
    <w:rsid w:val="00A35FF2"/>
    <w:rsid w:val="00A3604E"/>
    <w:rsid w:val="00A360E3"/>
    <w:rsid w:val="00A36464"/>
    <w:rsid w:val="00A36631"/>
    <w:rsid w:val="00A36915"/>
    <w:rsid w:val="00A36925"/>
    <w:rsid w:val="00A36939"/>
    <w:rsid w:val="00A36951"/>
    <w:rsid w:val="00A36BA4"/>
    <w:rsid w:val="00A36E68"/>
    <w:rsid w:val="00A36FB3"/>
    <w:rsid w:val="00A370A4"/>
    <w:rsid w:val="00A373B6"/>
    <w:rsid w:val="00A37457"/>
    <w:rsid w:val="00A374D5"/>
    <w:rsid w:val="00A3763B"/>
    <w:rsid w:val="00A376B0"/>
    <w:rsid w:val="00A37C57"/>
    <w:rsid w:val="00A37D79"/>
    <w:rsid w:val="00A37E0F"/>
    <w:rsid w:val="00A37FFB"/>
    <w:rsid w:val="00A401A2"/>
    <w:rsid w:val="00A40220"/>
    <w:rsid w:val="00A4035B"/>
    <w:rsid w:val="00A406CF"/>
    <w:rsid w:val="00A40772"/>
    <w:rsid w:val="00A40E03"/>
    <w:rsid w:val="00A41061"/>
    <w:rsid w:val="00A414B3"/>
    <w:rsid w:val="00A414BD"/>
    <w:rsid w:val="00A419DF"/>
    <w:rsid w:val="00A41CB8"/>
    <w:rsid w:val="00A41FC5"/>
    <w:rsid w:val="00A426BA"/>
    <w:rsid w:val="00A427B1"/>
    <w:rsid w:val="00A4284B"/>
    <w:rsid w:val="00A42A6C"/>
    <w:rsid w:val="00A42BB4"/>
    <w:rsid w:val="00A42F86"/>
    <w:rsid w:val="00A434DC"/>
    <w:rsid w:val="00A43E56"/>
    <w:rsid w:val="00A44099"/>
    <w:rsid w:val="00A440DB"/>
    <w:rsid w:val="00A44101"/>
    <w:rsid w:val="00A44196"/>
    <w:rsid w:val="00A44893"/>
    <w:rsid w:val="00A448A6"/>
    <w:rsid w:val="00A44B8A"/>
    <w:rsid w:val="00A44CC4"/>
    <w:rsid w:val="00A44D87"/>
    <w:rsid w:val="00A44D88"/>
    <w:rsid w:val="00A44EEF"/>
    <w:rsid w:val="00A44F88"/>
    <w:rsid w:val="00A45011"/>
    <w:rsid w:val="00A45046"/>
    <w:rsid w:val="00A452EC"/>
    <w:rsid w:val="00A454B3"/>
    <w:rsid w:val="00A45A9B"/>
    <w:rsid w:val="00A45F21"/>
    <w:rsid w:val="00A46078"/>
    <w:rsid w:val="00A46263"/>
    <w:rsid w:val="00A46312"/>
    <w:rsid w:val="00A4631E"/>
    <w:rsid w:val="00A4633E"/>
    <w:rsid w:val="00A46357"/>
    <w:rsid w:val="00A46572"/>
    <w:rsid w:val="00A46A97"/>
    <w:rsid w:val="00A46B6B"/>
    <w:rsid w:val="00A46D80"/>
    <w:rsid w:val="00A46EAD"/>
    <w:rsid w:val="00A472C1"/>
    <w:rsid w:val="00A47501"/>
    <w:rsid w:val="00A47520"/>
    <w:rsid w:val="00A476B2"/>
    <w:rsid w:val="00A47BD1"/>
    <w:rsid w:val="00A47C4D"/>
    <w:rsid w:val="00A50122"/>
    <w:rsid w:val="00A50229"/>
    <w:rsid w:val="00A50269"/>
    <w:rsid w:val="00A502B5"/>
    <w:rsid w:val="00A504A7"/>
    <w:rsid w:val="00A5077F"/>
    <w:rsid w:val="00A507CB"/>
    <w:rsid w:val="00A50C9B"/>
    <w:rsid w:val="00A50D07"/>
    <w:rsid w:val="00A50EDE"/>
    <w:rsid w:val="00A50EE4"/>
    <w:rsid w:val="00A50F9F"/>
    <w:rsid w:val="00A510B7"/>
    <w:rsid w:val="00A5113D"/>
    <w:rsid w:val="00A511EE"/>
    <w:rsid w:val="00A511F7"/>
    <w:rsid w:val="00A513EF"/>
    <w:rsid w:val="00A51502"/>
    <w:rsid w:val="00A516B6"/>
    <w:rsid w:val="00A5182B"/>
    <w:rsid w:val="00A519FA"/>
    <w:rsid w:val="00A51A20"/>
    <w:rsid w:val="00A51E93"/>
    <w:rsid w:val="00A51EB7"/>
    <w:rsid w:val="00A51F2F"/>
    <w:rsid w:val="00A520A4"/>
    <w:rsid w:val="00A521D6"/>
    <w:rsid w:val="00A52988"/>
    <w:rsid w:val="00A52A77"/>
    <w:rsid w:val="00A52AC6"/>
    <w:rsid w:val="00A52B1E"/>
    <w:rsid w:val="00A52BDE"/>
    <w:rsid w:val="00A52D8A"/>
    <w:rsid w:val="00A52DCF"/>
    <w:rsid w:val="00A53419"/>
    <w:rsid w:val="00A5346E"/>
    <w:rsid w:val="00A535F3"/>
    <w:rsid w:val="00A53772"/>
    <w:rsid w:val="00A537C3"/>
    <w:rsid w:val="00A53ACE"/>
    <w:rsid w:val="00A53D0D"/>
    <w:rsid w:val="00A53E37"/>
    <w:rsid w:val="00A540CD"/>
    <w:rsid w:val="00A5425A"/>
    <w:rsid w:val="00A54603"/>
    <w:rsid w:val="00A5461F"/>
    <w:rsid w:val="00A54652"/>
    <w:rsid w:val="00A5478F"/>
    <w:rsid w:val="00A54DA5"/>
    <w:rsid w:val="00A55003"/>
    <w:rsid w:val="00A55153"/>
    <w:rsid w:val="00A55172"/>
    <w:rsid w:val="00A552AE"/>
    <w:rsid w:val="00A552F3"/>
    <w:rsid w:val="00A5534D"/>
    <w:rsid w:val="00A55615"/>
    <w:rsid w:val="00A55770"/>
    <w:rsid w:val="00A55883"/>
    <w:rsid w:val="00A5591C"/>
    <w:rsid w:val="00A55A08"/>
    <w:rsid w:val="00A55A85"/>
    <w:rsid w:val="00A55A92"/>
    <w:rsid w:val="00A561CA"/>
    <w:rsid w:val="00A5628C"/>
    <w:rsid w:val="00A562C3"/>
    <w:rsid w:val="00A56405"/>
    <w:rsid w:val="00A56466"/>
    <w:rsid w:val="00A56A76"/>
    <w:rsid w:val="00A56B1F"/>
    <w:rsid w:val="00A5754D"/>
    <w:rsid w:val="00A57965"/>
    <w:rsid w:val="00A57DDA"/>
    <w:rsid w:val="00A57FEF"/>
    <w:rsid w:val="00A601FD"/>
    <w:rsid w:val="00A602CD"/>
    <w:rsid w:val="00A60341"/>
    <w:rsid w:val="00A6038B"/>
    <w:rsid w:val="00A6080E"/>
    <w:rsid w:val="00A60A72"/>
    <w:rsid w:val="00A60BD7"/>
    <w:rsid w:val="00A60CBC"/>
    <w:rsid w:val="00A60D82"/>
    <w:rsid w:val="00A60E9C"/>
    <w:rsid w:val="00A60F8D"/>
    <w:rsid w:val="00A61161"/>
    <w:rsid w:val="00A614EA"/>
    <w:rsid w:val="00A61783"/>
    <w:rsid w:val="00A618E9"/>
    <w:rsid w:val="00A61A54"/>
    <w:rsid w:val="00A61C81"/>
    <w:rsid w:val="00A61CB0"/>
    <w:rsid w:val="00A61E6C"/>
    <w:rsid w:val="00A62023"/>
    <w:rsid w:val="00A620E7"/>
    <w:rsid w:val="00A62392"/>
    <w:rsid w:val="00A62597"/>
    <w:rsid w:val="00A625BC"/>
    <w:rsid w:val="00A62D5F"/>
    <w:rsid w:val="00A62E2C"/>
    <w:rsid w:val="00A62FB4"/>
    <w:rsid w:val="00A6305C"/>
    <w:rsid w:val="00A630BA"/>
    <w:rsid w:val="00A634CB"/>
    <w:rsid w:val="00A63515"/>
    <w:rsid w:val="00A6358E"/>
    <w:rsid w:val="00A636AE"/>
    <w:rsid w:val="00A638C2"/>
    <w:rsid w:val="00A63979"/>
    <w:rsid w:val="00A63B03"/>
    <w:rsid w:val="00A640BC"/>
    <w:rsid w:val="00A6411C"/>
    <w:rsid w:val="00A64334"/>
    <w:rsid w:val="00A646A7"/>
    <w:rsid w:val="00A647AB"/>
    <w:rsid w:val="00A64B77"/>
    <w:rsid w:val="00A64E5E"/>
    <w:rsid w:val="00A64F63"/>
    <w:rsid w:val="00A650BD"/>
    <w:rsid w:val="00A6530D"/>
    <w:rsid w:val="00A65577"/>
    <w:rsid w:val="00A65625"/>
    <w:rsid w:val="00A657CF"/>
    <w:rsid w:val="00A65955"/>
    <w:rsid w:val="00A66277"/>
    <w:rsid w:val="00A662E2"/>
    <w:rsid w:val="00A66527"/>
    <w:rsid w:val="00A6660B"/>
    <w:rsid w:val="00A66947"/>
    <w:rsid w:val="00A66B2B"/>
    <w:rsid w:val="00A66C65"/>
    <w:rsid w:val="00A66DF4"/>
    <w:rsid w:val="00A66E84"/>
    <w:rsid w:val="00A66F26"/>
    <w:rsid w:val="00A675E9"/>
    <w:rsid w:val="00A6762C"/>
    <w:rsid w:val="00A676C6"/>
    <w:rsid w:val="00A67978"/>
    <w:rsid w:val="00A70118"/>
    <w:rsid w:val="00A701FE"/>
    <w:rsid w:val="00A704FA"/>
    <w:rsid w:val="00A705AA"/>
    <w:rsid w:val="00A706FD"/>
    <w:rsid w:val="00A707AF"/>
    <w:rsid w:val="00A70C75"/>
    <w:rsid w:val="00A70C89"/>
    <w:rsid w:val="00A70D75"/>
    <w:rsid w:val="00A70F34"/>
    <w:rsid w:val="00A70FF4"/>
    <w:rsid w:val="00A714A6"/>
    <w:rsid w:val="00A71510"/>
    <w:rsid w:val="00A717BC"/>
    <w:rsid w:val="00A71C55"/>
    <w:rsid w:val="00A71F1C"/>
    <w:rsid w:val="00A71F37"/>
    <w:rsid w:val="00A71FA8"/>
    <w:rsid w:val="00A7223E"/>
    <w:rsid w:val="00A723CE"/>
    <w:rsid w:val="00A724A8"/>
    <w:rsid w:val="00A72724"/>
    <w:rsid w:val="00A72757"/>
    <w:rsid w:val="00A72877"/>
    <w:rsid w:val="00A729D6"/>
    <w:rsid w:val="00A72E6C"/>
    <w:rsid w:val="00A73088"/>
    <w:rsid w:val="00A7308F"/>
    <w:rsid w:val="00A73216"/>
    <w:rsid w:val="00A73528"/>
    <w:rsid w:val="00A735ED"/>
    <w:rsid w:val="00A73877"/>
    <w:rsid w:val="00A738AA"/>
    <w:rsid w:val="00A738F6"/>
    <w:rsid w:val="00A73E7B"/>
    <w:rsid w:val="00A74030"/>
    <w:rsid w:val="00A742A5"/>
    <w:rsid w:val="00A743AE"/>
    <w:rsid w:val="00A74407"/>
    <w:rsid w:val="00A74716"/>
    <w:rsid w:val="00A748B1"/>
    <w:rsid w:val="00A74D3C"/>
    <w:rsid w:val="00A74DB4"/>
    <w:rsid w:val="00A74DDD"/>
    <w:rsid w:val="00A74F0E"/>
    <w:rsid w:val="00A75318"/>
    <w:rsid w:val="00A75450"/>
    <w:rsid w:val="00A755A5"/>
    <w:rsid w:val="00A75613"/>
    <w:rsid w:val="00A75614"/>
    <w:rsid w:val="00A75652"/>
    <w:rsid w:val="00A75812"/>
    <w:rsid w:val="00A758C2"/>
    <w:rsid w:val="00A758EF"/>
    <w:rsid w:val="00A75ADF"/>
    <w:rsid w:val="00A75AEA"/>
    <w:rsid w:val="00A75D47"/>
    <w:rsid w:val="00A7613D"/>
    <w:rsid w:val="00A761A3"/>
    <w:rsid w:val="00A7620C"/>
    <w:rsid w:val="00A7637E"/>
    <w:rsid w:val="00A763C2"/>
    <w:rsid w:val="00A765A3"/>
    <w:rsid w:val="00A76A2F"/>
    <w:rsid w:val="00A76C40"/>
    <w:rsid w:val="00A76C69"/>
    <w:rsid w:val="00A76D12"/>
    <w:rsid w:val="00A76E96"/>
    <w:rsid w:val="00A76F99"/>
    <w:rsid w:val="00A770B9"/>
    <w:rsid w:val="00A771FD"/>
    <w:rsid w:val="00A77597"/>
    <w:rsid w:val="00A7775D"/>
    <w:rsid w:val="00A77794"/>
    <w:rsid w:val="00A779E9"/>
    <w:rsid w:val="00A8013D"/>
    <w:rsid w:val="00A801B6"/>
    <w:rsid w:val="00A80425"/>
    <w:rsid w:val="00A80E06"/>
    <w:rsid w:val="00A8127F"/>
    <w:rsid w:val="00A81313"/>
    <w:rsid w:val="00A81317"/>
    <w:rsid w:val="00A818E3"/>
    <w:rsid w:val="00A81998"/>
    <w:rsid w:val="00A81B81"/>
    <w:rsid w:val="00A81BB4"/>
    <w:rsid w:val="00A81C03"/>
    <w:rsid w:val="00A82149"/>
    <w:rsid w:val="00A8259F"/>
    <w:rsid w:val="00A8278E"/>
    <w:rsid w:val="00A82C55"/>
    <w:rsid w:val="00A82D11"/>
    <w:rsid w:val="00A83002"/>
    <w:rsid w:val="00A83229"/>
    <w:rsid w:val="00A8339A"/>
    <w:rsid w:val="00A8349A"/>
    <w:rsid w:val="00A835AC"/>
    <w:rsid w:val="00A839D2"/>
    <w:rsid w:val="00A83D78"/>
    <w:rsid w:val="00A8409C"/>
    <w:rsid w:val="00A84281"/>
    <w:rsid w:val="00A8455F"/>
    <w:rsid w:val="00A847AA"/>
    <w:rsid w:val="00A84C57"/>
    <w:rsid w:val="00A84DE0"/>
    <w:rsid w:val="00A84F04"/>
    <w:rsid w:val="00A8502D"/>
    <w:rsid w:val="00A850E2"/>
    <w:rsid w:val="00A85161"/>
    <w:rsid w:val="00A851A4"/>
    <w:rsid w:val="00A8528B"/>
    <w:rsid w:val="00A853A4"/>
    <w:rsid w:val="00A854CF"/>
    <w:rsid w:val="00A857FD"/>
    <w:rsid w:val="00A85961"/>
    <w:rsid w:val="00A859AC"/>
    <w:rsid w:val="00A85FA8"/>
    <w:rsid w:val="00A8625E"/>
    <w:rsid w:val="00A865B3"/>
    <w:rsid w:val="00A86752"/>
    <w:rsid w:val="00A86843"/>
    <w:rsid w:val="00A86888"/>
    <w:rsid w:val="00A8690B"/>
    <w:rsid w:val="00A86A40"/>
    <w:rsid w:val="00A86D28"/>
    <w:rsid w:val="00A86E3B"/>
    <w:rsid w:val="00A86F35"/>
    <w:rsid w:val="00A87752"/>
    <w:rsid w:val="00A87A5F"/>
    <w:rsid w:val="00A87C23"/>
    <w:rsid w:val="00A90031"/>
    <w:rsid w:val="00A905EF"/>
    <w:rsid w:val="00A90C7B"/>
    <w:rsid w:val="00A90FE1"/>
    <w:rsid w:val="00A911C0"/>
    <w:rsid w:val="00A91BD7"/>
    <w:rsid w:val="00A91CC2"/>
    <w:rsid w:val="00A92485"/>
    <w:rsid w:val="00A92989"/>
    <w:rsid w:val="00A92995"/>
    <w:rsid w:val="00A93201"/>
    <w:rsid w:val="00A93431"/>
    <w:rsid w:val="00A93776"/>
    <w:rsid w:val="00A93BCC"/>
    <w:rsid w:val="00A93BD6"/>
    <w:rsid w:val="00A93F4A"/>
    <w:rsid w:val="00A94058"/>
    <w:rsid w:val="00A941C2"/>
    <w:rsid w:val="00A94416"/>
    <w:rsid w:val="00A94441"/>
    <w:rsid w:val="00A945C0"/>
    <w:rsid w:val="00A9494A"/>
    <w:rsid w:val="00A94D22"/>
    <w:rsid w:val="00A94D8A"/>
    <w:rsid w:val="00A95032"/>
    <w:rsid w:val="00A950D0"/>
    <w:rsid w:val="00A9516F"/>
    <w:rsid w:val="00A9519F"/>
    <w:rsid w:val="00A95279"/>
    <w:rsid w:val="00A95377"/>
    <w:rsid w:val="00A9576C"/>
    <w:rsid w:val="00A957B8"/>
    <w:rsid w:val="00A95953"/>
    <w:rsid w:val="00A95A3B"/>
    <w:rsid w:val="00A95A98"/>
    <w:rsid w:val="00A95F68"/>
    <w:rsid w:val="00A95F85"/>
    <w:rsid w:val="00A96184"/>
    <w:rsid w:val="00A9649B"/>
    <w:rsid w:val="00A96781"/>
    <w:rsid w:val="00A96812"/>
    <w:rsid w:val="00A969E7"/>
    <w:rsid w:val="00A96AA1"/>
    <w:rsid w:val="00A96DA6"/>
    <w:rsid w:val="00A96FB8"/>
    <w:rsid w:val="00A9715C"/>
    <w:rsid w:val="00A976D0"/>
    <w:rsid w:val="00A9776D"/>
    <w:rsid w:val="00A977BE"/>
    <w:rsid w:val="00A979B3"/>
    <w:rsid w:val="00A97AD1"/>
    <w:rsid w:val="00A97BBC"/>
    <w:rsid w:val="00AA0440"/>
    <w:rsid w:val="00AA09DF"/>
    <w:rsid w:val="00AA0C36"/>
    <w:rsid w:val="00AA0D10"/>
    <w:rsid w:val="00AA0E49"/>
    <w:rsid w:val="00AA1017"/>
    <w:rsid w:val="00AA113D"/>
    <w:rsid w:val="00AA11E8"/>
    <w:rsid w:val="00AA135A"/>
    <w:rsid w:val="00AA1605"/>
    <w:rsid w:val="00AA16AF"/>
    <w:rsid w:val="00AA181A"/>
    <w:rsid w:val="00AA1AE5"/>
    <w:rsid w:val="00AA1D4C"/>
    <w:rsid w:val="00AA208B"/>
    <w:rsid w:val="00AA20D5"/>
    <w:rsid w:val="00AA2594"/>
    <w:rsid w:val="00AA25D4"/>
    <w:rsid w:val="00AA27EF"/>
    <w:rsid w:val="00AA29D0"/>
    <w:rsid w:val="00AA2A47"/>
    <w:rsid w:val="00AA2BB0"/>
    <w:rsid w:val="00AA2C3B"/>
    <w:rsid w:val="00AA2CE7"/>
    <w:rsid w:val="00AA2D7C"/>
    <w:rsid w:val="00AA3034"/>
    <w:rsid w:val="00AA312A"/>
    <w:rsid w:val="00AA319A"/>
    <w:rsid w:val="00AA31AF"/>
    <w:rsid w:val="00AA31B5"/>
    <w:rsid w:val="00AA3705"/>
    <w:rsid w:val="00AA3760"/>
    <w:rsid w:val="00AA3999"/>
    <w:rsid w:val="00AA3B91"/>
    <w:rsid w:val="00AA3B9E"/>
    <w:rsid w:val="00AA3E5F"/>
    <w:rsid w:val="00AA406F"/>
    <w:rsid w:val="00AA41BF"/>
    <w:rsid w:val="00AA41C7"/>
    <w:rsid w:val="00AA455C"/>
    <w:rsid w:val="00AA4A57"/>
    <w:rsid w:val="00AA4B34"/>
    <w:rsid w:val="00AA4CFC"/>
    <w:rsid w:val="00AA4D49"/>
    <w:rsid w:val="00AA54CA"/>
    <w:rsid w:val="00AA57C4"/>
    <w:rsid w:val="00AA5985"/>
    <w:rsid w:val="00AA5AC5"/>
    <w:rsid w:val="00AA5B32"/>
    <w:rsid w:val="00AA5B4E"/>
    <w:rsid w:val="00AA5BB4"/>
    <w:rsid w:val="00AA5D58"/>
    <w:rsid w:val="00AA5DC5"/>
    <w:rsid w:val="00AA5EA9"/>
    <w:rsid w:val="00AA5F15"/>
    <w:rsid w:val="00AA6139"/>
    <w:rsid w:val="00AA622E"/>
    <w:rsid w:val="00AA63F7"/>
    <w:rsid w:val="00AA6523"/>
    <w:rsid w:val="00AA69A6"/>
    <w:rsid w:val="00AA6ADC"/>
    <w:rsid w:val="00AA6E0F"/>
    <w:rsid w:val="00AA6FB1"/>
    <w:rsid w:val="00AA70C3"/>
    <w:rsid w:val="00AA727E"/>
    <w:rsid w:val="00AA74A8"/>
    <w:rsid w:val="00AA76DE"/>
    <w:rsid w:val="00AA77E2"/>
    <w:rsid w:val="00AA7964"/>
    <w:rsid w:val="00AA7C1B"/>
    <w:rsid w:val="00AA7C2B"/>
    <w:rsid w:val="00AA7C50"/>
    <w:rsid w:val="00AB014C"/>
    <w:rsid w:val="00AB072F"/>
    <w:rsid w:val="00AB094B"/>
    <w:rsid w:val="00AB0B02"/>
    <w:rsid w:val="00AB0BBD"/>
    <w:rsid w:val="00AB0C57"/>
    <w:rsid w:val="00AB0F55"/>
    <w:rsid w:val="00AB14B7"/>
    <w:rsid w:val="00AB14FE"/>
    <w:rsid w:val="00AB17BE"/>
    <w:rsid w:val="00AB17CC"/>
    <w:rsid w:val="00AB1906"/>
    <w:rsid w:val="00AB1C71"/>
    <w:rsid w:val="00AB1E33"/>
    <w:rsid w:val="00AB1E78"/>
    <w:rsid w:val="00AB1F72"/>
    <w:rsid w:val="00AB216D"/>
    <w:rsid w:val="00AB255B"/>
    <w:rsid w:val="00AB259E"/>
    <w:rsid w:val="00AB2729"/>
    <w:rsid w:val="00AB29ED"/>
    <w:rsid w:val="00AB2FAD"/>
    <w:rsid w:val="00AB3122"/>
    <w:rsid w:val="00AB32B9"/>
    <w:rsid w:val="00AB339D"/>
    <w:rsid w:val="00AB3486"/>
    <w:rsid w:val="00AB3851"/>
    <w:rsid w:val="00AB3923"/>
    <w:rsid w:val="00AB3E6B"/>
    <w:rsid w:val="00AB3E86"/>
    <w:rsid w:val="00AB3E98"/>
    <w:rsid w:val="00AB3F47"/>
    <w:rsid w:val="00AB41F6"/>
    <w:rsid w:val="00AB44A3"/>
    <w:rsid w:val="00AB4547"/>
    <w:rsid w:val="00AB47AB"/>
    <w:rsid w:val="00AB4839"/>
    <w:rsid w:val="00AB48E3"/>
    <w:rsid w:val="00AB4981"/>
    <w:rsid w:val="00AB4C32"/>
    <w:rsid w:val="00AB4C45"/>
    <w:rsid w:val="00AB4CDA"/>
    <w:rsid w:val="00AB4FAB"/>
    <w:rsid w:val="00AB563B"/>
    <w:rsid w:val="00AB5754"/>
    <w:rsid w:val="00AB58EA"/>
    <w:rsid w:val="00AB5FAD"/>
    <w:rsid w:val="00AB61D1"/>
    <w:rsid w:val="00AB64A7"/>
    <w:rsid w:val="00AB6746"/>
    <w:rsid w:val="00AB6A46"/>
    <w:rsid w:val="00AB6BF0"/>
    <w:rsid w:val="00AB6C3D"/>
    <w:rsid w:val="00AB7050"/>
    <w:rsid w:val="00AB70F4"/>
    <w:rsid w:val="00AB727D"/>
    <w:rsid w:val="00AB7825"/>
    <w:rsid w:val="00AB7A5C"/>
    <w:rsid w:val="00AB7D3C"/>
    <w:rsid w:val="00AC0027"/>
    <w:rsid w:val="00AC014C"/>
    <w:rsid w:val="00AC0330"/>
    <w:rsid w:val="00AC0361"/>
    <w:rsid w:val="00AC03B7"/>
    <w:rsid w:val="00AC048B"/>
    <w:rsid w:val="00AC09FD"/>
    <w:rsid w:val="00AC1114"/>
    <w:rsid w:val="00AC121E"/>
    <w:rsid w:val="00AC152F"/>
    <w:rsid w:val="00AC185F"/>
    <w:rsid w:val="00AC224C"/>
    <w:rsid w:val="00AC23BA"/>
    <w:rsid w:val="00AC2A94"/>
    <w:rsid w:val="00AC2ABB"/>
    <w:rsid w:val="00AC2E77"/>
    <w:rsid w:val="00AC2F07"/>
    <w:rsid w:val="00AC2F70"/>
    <w:rsid w:val="00AC3074"/>
    <w:rsid w:val="00AC3568"/>
    <w:rsid w:val="00AC35BC"/>
    <w:rsid w:val="00AC36AB"/>
    <w:rsid w:val="00AC36FB"/>
    <w:rsid w:val="00AC3CBD"/>
    <w:rsid w:val="00AC3F9C"/>
    <w:rsid w:val="00AC3FEB"/>
    <w:rsid w:val="00AC44D6"/>
    <w:rsid w:val="00AC45BA"/>
    <w:rsid w:val="00AC46F7"/>
    <w:rsid w:val="00AC49FA"/>
    <w:rsid w:val="00AC4B66"/>
    <w:rsid w:val="00AC4C80"/>
    <w:rsid w:val="00AC5241"/>
    <w:rsid w:val="00AC5705"/>
    <w:rsid w:val="00AC57D9"/>
    <w:rsid w:val="00AC580C"/>
    <w:rsid w:val="00AC58A3"/>
    <w:rsid w:val="00AC5A06"/>
    <w:rsid w:val="00AC5FCA"/>
    <w:rsid w:val="00AC64DA"/>
    <w:rsid w:val="00AC67CA"/>
    <w:rsid w:val="00AC6B2D"/>
    <w:rsid w:val="00AC6D2A"/>
    <w:rsid w:val="00AC6E72"/>
    <w:rsid w:val="00AC6EFB"/>
    <w:rsid w:val="00AC7209"/>
    <w:rsid w:val="00AC7243"/>
    <w:rsid w:val="00AC7495"/>
    <w:rsid w:val="00AC76BA"/>
    <w:rsid w:val="00AC7953"/>
    <w:rsid w:val="00AC79F7"/>
    <w:rsid w:val="00AC7C53"/>
    <w:rsid w:val="00AD02D1"/>
    <w:rsid w:val="00AD0B90"/>
    <w:rsid w:val="00AD0C75"/>
    <w:rsid w:val="00AD0CE2"/>
    <w:rsid w:val="00AD0D30"/>
    <w:rsid w:val="00AD0F15"/>
    <w:rsid w:val="00AD0F5F"/>
    <w:rsid w:val="00AD17B3"/>
    <w:rsid w:val="00AD1C19"/>
    <w:rsid w:val="00AD1CD3"/>
    <w:rsid w:val="00AD2233"/>
    <w:rsid w:val="00AD2835"/>
    <w:rsid w:val="00AD290B"/>
    <w:rsid w:val="00AD2EE1"/>
    <w:rsid w:val="00AD2EFB"/>
    <w:rsid w:val="00AD2F95"/>
    <w:rsid w:val="00AD2FB4"/>
    <w:rsid w:val="00AD35F7"/>
    <w:rsid w:val="00AD3791"/>
    <w:rsid w:val="00AD3799"/>
    <w:rsid w:val="00AD37F8"/>
    <w:rsid w:val="00AD39BC"/>
    <w:rsid w:val="00AD3A1E"/>
    <w:rsid w:val="00AD3A96"/>
    <w:rsid w:val="00AD3C6A"/>
    <w:rsid w:val="00AD3F59"/>
    <w:rsid w:val="00AD4050"/>
    <w:rsid w:val="00AD40BD"/>
    <w:rsid w:val="00AD4237"/>
    <w:rsid w:val="00AD4255"/>
    <w:rsid w:val="00AD4359"/>
    <w:rsid w:val="00AD43C1"/>
    <w:rsid w:val="00AD44D4"/>
    <w:rsid w:val="00AD45B3"/>
    <w:rsid w:val="00AD465D"/>
    <w:rsid w:val="00AD4B14"/>
    <w:rsid w:val="00AD4CBF"/>
    <w:rsid w:val="00AD4E2C"/>
    <w:rsid w:val="00AD4F8A"/>
    <w:rsid w:val="00AD527D"/>
    <w:rsid w:val="00AD5742"/>
    <w:rsid w:val="00AD57F8"/>
    <w:rsid w:val="00AD5B6D"/>
    <w:rsid w:val="00AD6507"/>
    <w:rsid w:val="00AD6874"/>
    <w:rsid w:val="00AD6885"/>
    <w:rsid w:val="00AD68D3"/>
    <w:rsid w:val="00AD6A14"/>
    <w:rsid w:val="00AD6B34"/>
    <w:rsid w:val="00AD6B60"/>
    <w:rsid w:val="00AD6D44"/>
    <w:rsid w:val="00AD7154"/>
    <w:rsid w:val="00AD7A72"/>
    <w:rsid w:val="00AD7ABF"/>
    <w:rsid w:val="00AD7D75"/>
    <w:rsid w:val="00AD7DA8"/>
    <w:rsid w:val="00AD7E21"/>
    <w:rsid w:val="00AD7EE3"/>
    <w:rsid w:val="00AE006B"/>
    <w:rsid w:val="00AE015A"/>
    <w:rsid w:val="00AE02E2"/>
    <w:rsid w:val="00AE035F"/>
    <w:rsid w:val="00AE0C2C"/>
    <w:rsid w:val="00AE0D7F"/>
    <w:rsid w:val="00AE0DBD"/>
    <w:rsid w:val="00AE0F75"/>
    <w:rsid w:val="00AE101C"/>
    <w:rsid w:val="00AE1100"/>
    <w:rsid w:val="00AE124E"/>
    <w:rsid w:val="00AE1464"/>
    <w:rsid w:val="00AE1750"/>
    <w:rsid w:val="00AE17C0"/>
    <w:rsid w:val="00AE1899"/>
    <w:rsid w:val="00AE19B9"/>
    <w:rsid w:val="00AE204F"/>
    <w:rsid w:val="00AE220F"/>
    <w:rsid w:val="00AE29F8"/>
    <w:rsid w:val="00AE2FED"/>
    <w:rsid w:val="00AE3216"/>
    <w:rsid w:val="00AE35CB"/>
    <w:rsid w:val="00AE369B"/>
    <w:rsid w:val="00AE38AC"/>
    <w:rsid w:val="00AE3C92"/>
    <w:rsid w:val="00AE3E7F"/>
    <w:rsid w:val="00AE406F"/>
    <w:rsid w:val="00AE41D6"/>
    <w:rsid w:val="00AE4740"/>
    <w:rsid w:val="00AE4829"/>
    <w:rsid w:val="00AE48A9"/>
    <w:rsid w:val="00AE4A6A"/>
    <w:rsid w:val="00AE4CCA"/>
    <w:rsid w:val="00AE4D0F"/>
    <w:rsid w:val="00AE52E9"/>
    <w:rsid w:val="00AE5389"/>
    <w:rsid w:val="00AE54E6"/>
    <w:rsid w:val="00AE5609"/>
    <w:rsid w:val="00AE5D9F"/>
    <w:rsid w:val="00AE5E16"/>
    <w:rsid w:val="00AE5EDC"/>
    <w:rsid w:val="00AE6086"/>
    <w:rsid w:val="00AE6126"/>
    <w:rsid w:val="00AE61CF"/>
    <w:rsid w:val="00AE6226"/>
    <w:rsid w:val="00AE63E8"/>
    <w:rsid w:val="00AE6609"/>
    <w:rsid w:val="00AE6839"/>
    <w:rsid w:val="00AE6885"/>
    <w:rsid w:val="00AE6B83"/>
    <w:rsid w:val="00AE6BCD"/>
    <w:rsid w:val="00AE6D59"/>
    <w:rsid w:val="00AE74EC"/>
    <w:rsid w:val="00AE7849"/>
    <w:rsid w:val="00AE78AD"/>
    <w:rsid w:val="00AE7984"/>
    <w:rsid w:val="00AE7F69"/>
    <w:rsid w:val="00AF00A3"/>
    <w:rsid w:val="00AF080D"/>
    <w:rsid w:val="00AF0B6D"/>
    <w:rsid w:val="00AF1034"/>
    <w:rsid w:val="00AF129E"/>
    <w:rsid w:val="00AF17ED"/>
    <w:rsid w:val="00AF1923"/>
    <w:rsid w:val="00AF1AB0"/>
    <w:rsid w:val="00AF1B24"/>
    <w:rsid w:val="00AF1EE2"/>
    <w:rsid w:val="00AF237B"/>
    <w:rsid w:val="00AF27C7"/>
    <w:rsid w:val="00AF2B03"/>
    <w:rsid w:val="00AF2C71"/>
    <w:rsid w:val="00AF2D42"/>
    <w:rsid w:val="00AF2FBB"/>
    <w:rsid w:val="00AF4297"/>
    <w:rsid w:val="00AF4432"/>
    <w:rsid w:val="00AF472D"/>
    <w:rsid w:val="00AF476C"/>
    <w:rsid w:val="00AF488F"/>
    <w:rsid w:val="00AF489E"/>
    <w:rsid w:val="00AF4949"/>
    <w:rsid w:val="00AF4A6D"/>
    <w:rsid w:val="00AF4D26"/>
    <w:rsid w:val="00AF4E04"/>
    <w:rsid w:val="00AF5021"/>
    <w:rsid w:val="00AF54D4"/>
    <w:rsid w:val="00AF555B"/>
    <w:rsid w:val="00AF5D43"/>
    <w:rsid w:val="00AF5F5E"/>
    <w:rsid w:val="00AF600B"/>
    <w:rsid w:val="00AF63DF"/>
    <w:rsid w:val="00AF65B7"/>
    <w:rsid w:val="00AF6786"/>
    <w:rsid w:val="00AF67F7"/>
    <w:rsid w:val="00AF68AE"/>
    <w:rsid w:val="00AF6915"/>
    <w:rsid w:val="00AF70CC"/>
    <w:rsid w:val="00AF72BC"/>
    <w:rsid w:val="00AF7AFA"/>
    <w:rsid w:val="00AF7BD5"/>
    <w:rsid w:val="00AF7E74"/>
    <w:rsid w:val="00AF7E80"/>
    <w:rsid w:val="00B00212"/>
    <w:rsid w:val="00B003C7"/>
    <w:rsid w:val="00B004B5"/>
    <w:rsid w:val="00B009E7"/>
    <w:rsid w:val="00B009E8"/>
    <w:rsid w:val="00B00F50"/>
    <w:rsid w:val="00B012D8"/>
    <w:rsid w:val="00B0132E"/>
    <w:rsid w:val="00B0141B"/>
    <w:rsid w:val="00B014B6"/>
    <w:rsid w:val="00B01761"/>
    <w:rsid w:val="00B01882"/>
    <w:rsid w:val="00B01C89"/>
    <w:rsid w:val="00B01FF9"/>
    <w:rsid w:val="00B0203F"/>
    <w:rsid w:val="00B020C1"/>
    <w:rsid w:val="00B02316"/>
    <w:rsid w:val="00B025AC"/>
    <w:rsid w:val="00B027FC"/>
    <w:rsid w:val="00B02906"/>
    <w:rsid w:val="00B02BFD"/>
    <w:rsid w:val="00B02CC1"/>
    <w:rsid w:val="00B02CF7"/>
    <w:rsid w:val="00B02DDF"/>
    <w:rsid w:val="00B02FC0"/>
    <w:rsid w:val="00B034B2"/>
    <w:rsid w:val="00B035CC"/>
    <w:rsid w:val="00B0363C"/>
    <w:rsid w:val="00B03A90"/>
    <w:rsid w:val="00B03BF4"/>
    <w:rsid w:val="00B03C4E"/>
    <w:rsid w:val="00B03F6D"/>
    <w:rsid w:val="00B04248"/>
    <w:rsid w:val="00B04291"/>
    <w:rsid w:val="00B0432B"/>
    <w:rsid w:val="00B04666"/>
    <w:rsid w:val="00B04808"/>
    <w:rsid w:val="00B04A11"/>
    <w:rsid w:val="00B04B06"/>
    <w:rsid w:val="00B04B67"/>
    <w:rsid w:val="00B04B95"/>
    <w:rsid w:val="00B04DFF"/>
    <w:rsid w:val="00B04EF2"/>
    <w:rsid w:val="00B04FEC"/>
    <w:rsid w:val="00B05155"/>
    <w:rsid w:val="00B052FA"/>
    <w:rsid w:val="00B0531D"/>
    <w:rsid w:val="00B053AD"/>
    <w:rsid w:val="00B053D9"/>
    <w:rsid w:val="00B0560C"/>
    <w:rsid w:val="00B057E2"/>
    <w:rsid w:val="00B05D80"/>
    <w:rsid w:val="00B05F36"/>
    <w:rsid w:val="00B061D2"/>
    <w:rsid w:val="00B062EF"/>
    <w:rsid w:val="00B0669C"/>
    <w:rsid w:val="00B06A8C"/>
    <w:rsid w:val="00B06B4B"/>
    <w:rsid w:val="00B070FC"/>
    <w:rsid w:val="00B07238"/>
    <w:rsid w:val="00B07417"/>
    <w:rsid w:val="00B10270"/>
    <w:rsid w:val="00B102FD"/>
    <w:rsid w:val="00B1033A"/>
    <w:rsid w:val="00B106B2"/>
    <w:rsid w:val="00B10719"/>
    <w:rsid w:val="00B1084D"/>
    <w:rsid w:val="00B108BC"/>
    <w:rsid w:val="00B108D8"/>
    <w:rsid w:val="00B10BD3"/>
    <w:rsid w:val="00B10C3C"/>
    <w:rsid w:val="00B10F88"/>
    <w:rsid w:val="00B11315"/>
    <w:rsid w:val="00B11640"/>
    <w:rsid w:val="00B116F3"/>
    <w:rsid w:val="00B11800"/>
    <w:rsid w:val="00B1194D"/>
    <w:rsid w:val="00B11E2E"/>
    <w:rsid w:val="00B11EB3"/>
    <w:rsid w:val="00B11FA4"/>
    <w:rsid w:val="00B11FBE"/>
    <w:rsid w:val="00B120CF"/>
    <w:rsid w:val="00B120F1"/>
    <w:rsid w:val="00B1215D"/>
    <w:rsid w:val="00B12A77"/>
    <w:rsid w:val="00B12DA4"/>
    <w:rsid w:val="00B13012"/>
    <w:rsid w:val="00B13284"/>
    <w:rsid w:val="00B1339B"/>
    <w:rsid w:val="00B13480"/>
    <w:rsid w:val="00B138E3"/>
    <w:rsid w:val="00B13A75"/>
    <w:rsid w:val="00B13BE6"/>
    <w:rsid w:val="00B13CD9"/>
    <w:rsid w:val="00B13D3D"/>
    <w:rsid w:val="00B13EA9"/>
    <w:rsid w:val="00B14224"/>
    <w:rsid w:val="00B1426D"/>
    <w:rsid w:val="00B14456"/>
    <w:rsid w:val="00B146E2"/>
    <w:rsid w:val="00B1499D"/>
    <w:rsid w:val="00B150E0"/>
    <w:rsid w:val="00B1529E"/>
    <w:rsid w:val="00B15502"/>
    <w:rsid w:val="00B15D69"/>
    <w:rsid w:val="00B15EA2"/>
    <w:rsid w:val="00B15FE1"/>
    <w:rsid w:val="00B164B8"/>
    <w:rsid w:val="00B16740"/>
    <w:rsid w:val="00B168CE"/>
    <w:rsid w:val="00B17120"/>
    <w:rsid w:val="00B1731E"/>
    <w:rsid w:val="00B174F4"/>
    <w:rsid w:val="00B17512"/>
    <w:rsid w:val="00B2065B"/>
    <w:rsid w:val="00B2085B"/>
    <w:rsid w:val="00B20D69"/>
    <w:rsid w:val="00B20E8B"/>
    <w:rsid w:val="00B213C0"/>
    <w:rsid w:val="00B21400"/>
    <w:rsid w:val="00B2144A"/>
    <w:rsid w:val="00B21650"/>
    <w:rsid w:val="00B21709"/>
    <w:rsid w:val="00B220F5"/>
    <w:rsid w:val="00B22766"/>
    <w:rsid w:val="00B22C06"/>
    <w:rsid w:val="00B22DBA"/>
    <w:rsid w:val="00B22DF7"/>
    <w:rsid w:val="00B231F6"/>
    <w:rsid w:val="00B23474"/>
    <w:rsid w:val="00B234C0"/>
    <w:rsid w:val="00B23877"/>
    <w:rsid w:val="00B23CD0"/>
    <w:rsid w:val="00B23D50"/>
    <w:rsid w:val="00B23DAB"/>
    <w:rsid w:val="00B23F5F"/>
    <w:rsid w:val="00B23F9D"/>
    <w:rsid w:val="00B24409"/>
    <w:rsid w:val="00B244E1"/>
    <w:rsid w:val="00B249B6"/>
    <w:rsid w:val="00B24BF3"/>
    <w:rsid w:val="00B24E16"/>
    <w:rsid w:val="00B24E42"/>
    <w:rsid w:val="00B25645"/>
    <w:rsid w:val="00B25743"/>
    <w:rsid w:val="00B257E1"/>
    <w:rsid w:val="00B26192"/>
    <w:rsid w:val="00B265E5"/>
    <w:rsid w:val="00B26847"/>
    <w:rsid w:val="00B268DD"/>
    <w:rsid w:val="00B2732F"/>
    <w:rsid w:val="00B27378"/>
    <w:rsid w:val="00B2795D"/>
    <w:rsid w:val="00B27CC3"/>
    <w:rsid w:val="00B30D80"/>
    <w:rsid w:val="00B30FA7"/>
    <w:rsid w:val="00B31097"/>
    <w:rsid w:val="00B3134E"/>
    <w:rsid w:val="00B314CA"/>
    <w:rsid w:val="00B31537"/>
    <w:rsid w:val="00B3173C"/>
    <w:rsid w:val="00B32275"/>
    <w:rsid w:val="00B322C0"/>
    <w:rsid w:val="00B3245F"/>
    <w:rsid w:val="00B32788"/>
    <w:rsid w:val="00B327A6"/>
    <w:rsid w:val="00B32802"/>
    <w:rsid w:val="00B32853"/>
    <w:rsid w:val="00B328E3"/>
    <w:rsid w:val="00B32A8A"/>
    <w:rsid w:val="00B32BCA"/>
    <w:rsid w:val="00B334B6"/>
    <w:rsid w:val="00B33586"/>
    <w:rsid w:val="00B337FE"/>
    <w:rsid w:val="00B3392D"/>
    <w:rsid w:val="00B33938"/>
    <w:rsid w:val="00B33B6E"/>
    <w:rsid w:val="00B33D27"/>
    <w:rsid w:val="00B34326"/>
    <w:rsid w:val="00B34633"/>
    <w:rsid w:val="00B346A7"/>
    <w:rsid w:val="00B34B85"/>
    <w:rsid w:val="00B34D55"/>
    <w:rsid w:val="00B34D97"/>
    <w:rsid w:val="00B34E45"/>
    <w:rsid w:val="00B351DC"/>
    <w:rsid w:val="00B35364"/>
    <w:rsid w:val="00B354A7"/>
    <w:rsid w:val="00B35709"/>
    <w:rsid w:val="00B3599E"/>
    <w:rsid w:val="00B35AAE"/>
    <w:rsid w:val="00B35C7A"/>
    <w:rsid w:val="00B35CAB"/>
    <w:rsid w:val="00B35DB2"/>
    <w:rsid w:val="00B360BC"/>
    <w:rsid w:val="00B367EA"/>
    <w:rsid w:val="00B368F3"/>
    <w:rsid w:val="00B368F7"/>
    <w:rsid w:val="00B36B3B"/>
    <w:rsid w:val="00B36D9F"/>
    <w:rsid w:val="00B36E07"/>
    <w:rsid w:val="00B37002"/>
    <w:rsid w:val="00B371B0"/>
    <w:rsid w:val="00B3737E"/>
    <w:rsid w:val="00B37668"/>
    <w:rsid w:val="00B379EA"/>
    <w:rsid w:val="00B37A7C"/>
    <w:rsid w:val="00B37C82"/>
    <w:rsid w:val="00B37E55"/>
    <w:rsid w:val="00B40075"/>
    <w:rsid w:val="00B400A0"/>
    <w:rsid w:val="00B40293"/>
    <w:rsid w:val="00B40598"/>
    <w:rsid w:val="00B405B2"/>
    <w:rsid w:val="00B406C9"/>
    <w:rsid w:val="00B406EF"/>
    <w:rsid w:val="00B40947"/>
    <w:rsid w:val="00B40951"/>
    <w:rsid w:val="00B40A8D"/>
    <w:rsid w:val="00B40C80"/>
    <w:rsid w:val="00B40E13"/>
    <w:rsid w:val="00B40EE8"/>
    <w:rsid w:val="00B40F82"/>
    <w:rsid w:val="00B412CA"/>
    <w:rsid w:val="00B41402"/>
    <w:rsid w:val="00B41446"/>
    <w:rsid w:val="00B41749"/>
    <w:rsid w:val="00B41883"/>
    <w:rsid w:val="00B41B39"/>
    <w:rsid w:val="00B41DF0"/>
    <w:rsid w:val="00B420B9"/>
    <w:rsid w:val="00B421F2"/>
    <w:rsid w:val="00B4270F"/>
    <w:rsid w:val="00B42751"/>
    <w:rsid w:val="00B42753"/>
    <w:rsid w:val="00B427AE"/>
    <w:rsid w:val="00B42948"/>
    <w:rsid w:val="00B42BFD"/>
    <w:rsid w:val="00B42D6F"/>
    <w:rsid w:val="00B42E1F"/>
    <w:rsid w:val="00B42F62"/>
    <w:rsid w:val="00B43184"/>
    <w:rsid w:val="00B4327A"/>
    <w:rsid w:val="00B43623"/>
    <w:rsid w:val="00B43878"/>
    <w:rsid w:val="00B4387E"/>
    <w:rsid w:val="00B438CD"/>
    <w:rsid w:val="00B43ADE"/>
    <w:rsid w:val="00B43B6E"/>
    <w:rsid w:val="00B43B95"/>
    <w:rsid w:val="00B43C96"/>
    <w:rsid w:val="00B43F4C"/>
    <w:rsid w:val="00B4470B"/>
    <w:rsid w:val="00B44727"/>
    <w:rsid w:val="00B44803"/>
    <w:rsid w:val="00B448FF"/>
    <w:rsid w:val="00B44D50"/>
    <w:rsid w:val="00B45172"/>
    <w:rsid w:val="00B451DE"/>
    <w:rsid w:val="00B4547D"/>
    <w:rsid w:val="00B45BD5"/>
    <w:rsid w:val="00B45E9E"/>
    <w:rsid w:val="00B45EBC"/>
    <w:rsid w:val="00B4645C"/>
    <w:rsid w:val="00B4660B"/>
    <w:rsid w:val="00B46761"/>
    <w:rsid w:val="00B46917"/>
    <w:rsid w:val="00B46CA9"/>
    <w:rsid w:val="00B47010"/>
    <w:rsid w:val="00B472FE"/>
    <w:rsid w:val="00B473CF"/>
    <w:rsid w:val="00B4754E"/>
    <w:rsid w:val="00B476AC"/>
    <w:rsid w:val="00B4774E"/>
    <w:rsid w:val="00B4780E"/>
    <w:rsid w:val="00B47937"/>
    <w:rsid w:val="00B47A5F"/>
    <w:rsid w:val="00B47A63"/>
    <w:rsid w:val="00B47BB4"/>
    <w:rsid w:val="00B50002"/>
    <w:rsid w:val="00B50136"/>
    <w:rsid w:val="00B509B5"/>
    <w:rsid w:val="00B509BD"/>
    <w:rsid w:val="00B512F0"/>
    <w:rsid w:val="00B51303"/>
    <w:rsid w:val="00B514C6"/>
    <w:rsid w:val="00B516FE"/>
    <w:rsid w:val="00B5172D"/>
    <w:rsid w:val="00B51C56"/>
    <w:rsid w:val="00B51CED"/>
    <w:rsid w:val="00B51E14"/>
    <w:rsid w:val="00B52068"/>
    <w:rsid w:val="00B528E1"/>
    <w:rsid w:val="00B52A6C"/>
    <w:rsid w:val="00B52CB5"/>
    <w:rsid w:val="00B52EB5"/>
    <w:rsid w:val="00B5320B"/>
    <w:rsid w:val="00B5323E"/>
    <w:rsid w:val="00B53245"/>
    <w:rsid w:val="00B5329E"/>
    <w:rsid w:val="00B53A79"/>
    <w:rsid w:val="00B53CAF"/>
    <w:rsid w:val="00B53D2D"/>
    <w:rsid w:val="00B53DFA"/>
    <w:rsid w:val="00B53E7D"/>
    <w:rsid w:val="00B54608"/>
    <w:rsid w:val="00B546AE"/>
    <w:rsid w:val="00B54728"/>
    <w:rsid w:val="00B54B82"/>
    <w:rsid w:val="00B54DAF"/>
    <w:rsid w:val="00B54DF2"/>
    <w:rsid w:val="00B54E0E"/>
    <w:rsid w:val="00B5504C"/>
    <w:rsid w:val="00B551F4"/>
    <w:rsid w:val="00B5594A"/>
    <w:rsid w:val="00B55A07"/>
    <w:rsid w:val="00B55A2D"/>
    <w:rsid w:val="00B55AF5"/>
    <w:rsid w:val="00B55B06"/>
    <w:rsid w:val="00B5604B"/>
    <w:rsid w:val="00B560B6"/>
    <w:rsid w:val="00B56149"/>
    <w:rsid w:val="00B561D5"/>
    <w:rsid w:val="00B563C7"/>
    <w:rsid w:val="00B566D4"/>
    <w:rsid w:val="00B56B12"/>
    <w:rsid w:val="00B56C75"/>
    <w:rsid w:val="00B57032"/>
    <w:rsid w:val="00B570FE"/>
    <w:rsid w:val="00B572E0"/>
    <w:rsid w:val="00B57327"/>
    <w:rsid w:val="00B57CC4"/>
    <w:rsid w:val="00B57D10"/>
    <w:rsid w:val="00B57D22"/>
    <w:rsid w:val="00B57D46"/>
    <w:rsid w:val="00B57EAE"/>
    <w:rsid w:val="00B57F32"/>
    <w:rsid w:val="00B6024A"/>
    <w:rsid w:val="00B602D9"/>
    <w:rsid w:val="00B602FC"/>
    <w:rsid w:val="00B60568"/>
    <w:rsid w:val="00B605F4"/>
    <w:rsid w:val="00B60780"/>
    <w:rsid w:val="00B60868"/>
    <w:rsid w:val="00B60B0E"/>
    <w:rsid w:val="00B617C6"/>
    <w:rsid w:val="00B617E7"/>
    <w:rsid w:val="00B618E0"/>
    <w:rsid w:val="00B61977"/>
    <w:rsid w:val="00B619AE"/>
    <w:rsid w:val="00B61B0B"/>
    <w:rsid w:val="00B61B18"/>
    <w:rsid w:val="00B61B46"/>
    <w:rsid w:val="00B61BA0"/>
    <w:rsid w:val="00B61BFE"/>
    <w:rsid w:val="00B61C21"/>
    <w:rsid w:val="00B61C34"/>
    <w:rsid w:val="00B61D09"/>
    <w:rsid w:val="00B61DFD"/>
    <w:rsid w:val="00B6214A"/>
    <w:rsid w:val="00B6230D"/>
    <w:rsid w:val="00B6293D"/>
    <w:rsid w:val="00B6295B"/>
    <w:rsid w:val="00B62AD7"/>
    <w:rsid w:val="00B62B63"/>
    <w:rsid w:val="00B62B96"/>
    <w:rsid w:val="00B62F50"/>
    <w:rsid w:val="00B62FB1"/>
    <w:rsid w:val="00B6334E"/>
    <w:rsid w:val="00B63465"/>
    <w:rsid w:val="00B63528"/>
    <w:rsid w:val="00B63812"/>
    <w:rsid w:val="00B63D10"/>
    <w:rsid w:val="00B63E96"/>
    <w:rsid w:val="00B64226"/>
    <w:rsid w:val="00B643C9"/>
    <w:rsid w:val="00B644AC"/>
    <w:rsid w:val="00B646DC"/>
    <w:rsid w:val="00B64B28"/>
    <w:rsid w:val="00B64C50"/>
    <w:rsid w:val="00B64D4C"/>
    <w:rsid w:val="00B64E97"/>
    <w:rsid w:val="00B64F69"/>
    <w:rsid w:val="00B6531B"/>
    <w:rsid w:val="00B65377"/>
    <w:rsid w:val="00B655F5"/>
    <w:rsid w:val="00B659A5"/>
    <w:rsid w:val="00B65C3A"/>
    <w:rsid w:val="00B65C9B"/>
    <w:rsid w:val="00B65CE1"/>
    <w:rsid w:val="00B662AB"/>
    <w:rsid w:val="00B6632F"/>
    <w:rsid w:val="00B66351"/>
    <w:rsid w:val="00B66395"/>
    <w:rsid w:val="00B66717"/>
    <w:rsid w:val="00B66BD7"/>
    <w:rsid w:val="00B674AA"/>
    <w:rsid w:val="00B67538"/>
    <w:rsid w:val="00B6755C"/>
    <w:rsid w:val="00B67C8C"/>
    <w:rsid w:val="00B67DEF"/>
    <w:rsid w:val="00B701DF"/>
    <w:rsid w:val="00B70738"/>
    <w:rsid w:val="00B708E9"/>
    <w:rsid w:val="00B70957"/>
    <w:rsid w:val="00B709FC"/>
    <w:rsid w:val="00B70A44"/>
    <w:rsid w:val="00B70BD2"/>
    <w:rsid w:val="00B7131E"/>
    <w:rsid w:val="00B7137B"/>
    <w:rsid w:val="00B713B3"/>
    <w:rsid w:val="00B715F5"/>
    <w:rsid w:val="00B7165D"/>
    <w:rsid w:val="00B7169E"/>
    <w:rsid w:val="00B71782"/>
    <w:rsid w:val="00B71821"/>
    <w:rsid w:val="00B719FA"/>
    <w:rsid w:val="00B71A36"/>
    <w:rsid w:val="00B71C39"/>
    <w:rsid w:val="00B7229D"/>
    <w:rsid w:val="00B72742"/>
    <w:rsid w:val="00B7284F"/>
    <w:rsid w:val="00B7299A"/>
    <w:rsid w:val="00B72F22"/>
    <w:rsid w:val="00B73162"/>
    <w:rsid w:val="00B73535"/>
    <w:rsid w:val="00B73996"/>
    <w:rsid w:val="00B73B07"/>
    <w:rsid w:val="00B73C86"/>
    <w:rsid w:val="00B73D80"/>
    <w:rsid w:val="00B73EF1"/>
    <w:rsid w:val="00B73F22"/>
    <w:rsid w:val="00B73F3C"/>
    <w:rsid w:val="00B7401F"/>
    <w:rsid w:val="00B741CE"/>
    <w:rsid w:val="00B74306"/>
    <w:rsid w:val="00B74ADC"/>
    <w:rsid w:val="00B74F98"/>
    <w:rsid w:val="00B751FE"/>
    <w:rsid w:val="00B75C93"/>
    <w:rsid w:val="00B7614A"/>
    <w:rsid w:val="00B76162"/>
    <w:rsid w:val="00B761A0"/>
    <w:rsid w:val="00B7637C"/>
    <w:rsid w:val="00B767E7"/>
    <w:rsid w:val="00B76900"/>
    <w:rsid w:val="00B76C74"/>
    <w:rsid w:val="00B76E07"/>
    <w:rsid w:val="00B771D6"/>
    <w:rsid w:val="00B7720E"/>
    <w:rsid w:val="00B77365"/>
    <w:rsid w:val="00B773CB"/>
    <w:rsid w:val="00B777CD"/>
    <w:rsid w:val="00B77AF3"/>
    <w:rsid w:val="00B77C0A"/>
    <w:rsid w:val="00B77C17"/>
    <w:rsid w:val="00B77F23"/>
    <w:rsid w:val="00B8033E"/>
    <w:rsid w:val="00B8129E"/>
    <w:rsid w:val="00B8155F"/>
    <w:rsid w:val="00B81778"/>
    <w:rsid w:val="00B8187E"/>
    <w:rsid w:val="00B819A7"/>
    <w:rsid w:val="00B81CDB"/>
    <w:rsid w:val="00B81DFD"/>
    <w:rsid w:val="00B82360"/>
    <w:rsid w:val="00B82405"/>
    <w:rsid w:val="00B8242B"/>
    <w:rsid w:val="00B825ED"/>
    <w:rsid w:val="00B82BB2"/>
    <w:rsid w:val="00B82BFD"/>
    <w:rsid w:val="00B82E41"/>
    <w:rsid w:val="00B83325"/>
    <w:rsid w:val="00B833C9"/>
    <w:rsid w:val="00B83453"/>
    <w:rsid w:val="00B8356E"/>
    <w:rsid w:val="00B83710"/>
    <w:rsid w:val="00B83921"/>
    <w:rsid w:val="00B8405E"/>
    <w:rsid w:val="00B840ED"/>
    <w:rsid w:val="00B8439F"/>
    <w:rsid w:val="00B84509"/>
    <w:rsid w:val="00B84594"/>
    <w:rsid w:val="00B848B2"/>
    <w:rsid w:val="00B84C04"/>
    <w:rsid w:val="00B84E1A"/>
    <w:rsid w:val="00B85559"/>
    <w:rsid w:val="00B85790"/>
    <w:rsid w:val="00B85931"/>
    <w:rsid w:val="00B85A91"/>
    <w:rsid w:val="00B85D8D"/>
    <w:rsid w:val="00B85FCE"/>
    <w:rsid w:val="00B8602D"/>
    <w:rsid w:val="00B860DF"/>
    <w:rsid w:val="00B8618F"/>
    <w:rsid w:val="00B861DD"/>
    <w:rsid w:val="00B8621D"/>
    <w:rsid w:val="00B86234"/>
    <w:rsid w:val="00B86313"/>
    <w:rsid w:val="00B86758"/>
    <w:rsid w:val="00B86C4F"/>
    <w:rsid w:val="00B86E27"/>
    <w:rsid w:val="00B86E77"/>
    <w:rsid w:val="00B86EB3"/>
    <w:rsid w:val="00B8730E"/>
    <w:rsid w:val="00B876BF"/>
    <w:rsid w:val="00B876C0"/>
    <w:rsid w:val="00B87859"/>
    <w:rsid w:val="00B878E2"/>
    <w:rsid w:val="00B878F9"/>
    <w:rsid w:val="00B87B90"/>
    <w:rsid w:val="00B87CA7"/>
    <w:rsid w:val="00B87EC0"/>
    <w:rsid w:val="00B87F1F"/>
    <w:rsid w:val="00B90076"/>
    <w:rsid w:val="00B901B9"/>
    <w:rsid w:val="00B90313"/>
    <w:rsid w:val="00B9099E"/>
    <w:rsid w:val="00B909C1"/>
    <w:rsid w:val="00B90A28"/>
    <w:rsid w:val="00B91090"/>
    <w:rsid w:val="00B912D7"/>
    <w:rsid w:val="00B91556"/>
    <w:rsid w:val="00B9194B"/>
    <w:rsid w:val="00B91A67"/>
    <w:rsid w:val="00B91B2F"/>
    <w:rsid w:val="00B91EEF"/>
    <w:rsid w:val="00B91F2D"/>
    <w:rsid w:val="00B920D9"/>
    <w:rsid w:val="00B92463"/>
    <w:rsid w:val="00B92488"/>
    <w:rsid w:val="00B926E5"/>
    <w:rsid w:val="00B92872"/>
    <w:rsid w:val="00B928C9"/>
    <w:rsid w:val="00B928EB"/>
    <w:rsid w:val="00B92D45"/>
    <w:rsid w:val="00B92D4C"/>
    <w:rsid w:val="00B92E5C"/>
    <w:rsid w:val="00B92F4C"/>
    <w:rsid w:val="00B92F7E"/>
    <w:rsid w:val="00B93018"/>
    <w:rsid w:val="00B93339"/>
    <w:rsid w:val="00B93855"/>
    <w:rsid w:val="00B9388A"/>
    <w:rsid w:val="00B93CA6"/>
    <w:rsid w:val="00B93E65"/>
    <w:rsid w:val="00B942F3"/>
    <w:rsid w:val="00B942F6"/>
    <w:rsid w:val="00B943EC"/>
    <w:rsid w:val="00B94788"/>
    <w:rsid w:val="00B9489F"/>
    <w:rsid w:val="00B948BB"/>
    <w:rsid w:val="00B94B0B"/>
    <w:rsid w:val="00B94D8D"/>
    <w:rsid w:val="00B95262"/>
    <w:rsid w:val="00B952BB"/>
    <w:rsid w:val="00B95732"/>
    <w:rsid w:val="00B95B21"/>
    <w:rsid w:val="00B95C93"/>
    <w:rsid w:val="00B960A4"/>
    <w:rsid w:val="00B96136"/>
    <w:rsid w:val="00B96AD0"/>
    <w:rsid w:val="00B96B01"/>
    <w:rsid w:val="00B96C7D"/>
    <w:rsid w:val="00B96F99"/>
    <w:rsid w:val="00B970AC"/>
    <w:rsid w:val="00B970F8"/>
    <w:rsid w:val="00B972A6"/>
    <w:rsid w:val="00B973B4"/>
    <w:rsid w:val="00B97456"/>
    <w:rsid w:val="00B97462"/>
    <w:rsid w:val="00B97AD5"/>
    <w:rsid w:val="00BA012A"/>
    <w:rsid w:val="00BA0536"/>
    <w:rsid w:val="00BA08B2"/>
    <w:rsid w:val="00BA09BF"/>
    <w:rsid w:val="00BA09D9"/>
    <w:rsid w:val="00BA0C38"/>
    <w:rsid w:val="00BA0F50"/>
    <w:rsid w:val="00BA0F84"/>
    <w:rsid w:val="00BA15A9"/>
    <w:rsid w:val="00BA17E7"/>
    <w:rsid w:val="00BA1801"/>
    <w:rsid w:val="00BA1920"/>
    <w:rsid w:val="00BA1D77"/>
    <w:rsid w:val="00BA1E75"/>
    <w:rsid w:val="00BA1EAE"/>
    <w:rsid w:val="00BA2049"/>
    <w:rsid w:val="00BA2358"/>
    <w:rsid w:val="00BA277E"/>
    <w:rsid w:val="00BA27E0"/>
    <w:rsid w:val="00BA2831"/>
    <w:rsid w:val="00BA2D54"/>
    <w:rsid w:val="00BA2EB0"/>
    <w:rsid w:val="00BA3293"/>
    <w:rsid w:val="00BA339D"/>
    <w:rsid w:val="00BA36E9"/>
    <w:rsid w:val="00BA3725"/>
    <w:rsid w:val="00BA389C"/>
    <w:rsid w:val="00BA3974"/>
    <w:rsid w:val="00BA3BC5"/>
    <w:rsid w:val="00BA3E8D"/>
    <w:rsid w:val="00BA416F"/>
    <w:rsid w:val="00BA41A2"/>
    <w:rsid w:val="00BA44F1"/>
    <w:rsid w:val="00BA4835"/>
    <w:rsid w:val="00BA4AF6"/>
    <w:rsid w:val="00BA4B38"/>
    <w:rsid w:val="00BA4C84"/>
    <w:rsid w:val="00BA4E03"/>
    <w:rsid w:val="00BA4FE4"/>
    <w:rsid w:val="00BA572D"/>
    <w:rsid w:val="00BA587A"/>
    <w:rsid w:val="00BA6111"/>
    <w:rsid w:val="00BA6BE7"/>
    <w:rsid w:val="00BA6C08"/>
    <w:rsid w:val="00BA70BD"/>
    <w:rsid w:val="00BA754B"/>
    <w:rsid w:val="00BA75F4"/>
    <w:rsid w:val="00BA790C"/>
    <w:rsid w:val="00BA7AD7"/>
    <w:rsid w:val="00BA7CDD"/>
    <w:rsid w:val="00BB001E"/>
    <w:rsid w:val="00BB013A"/>
    <w:rsid w:val="00BB0146"/>
    <w:rsid w:val="00BB02F7"/>
    <w:rsid w:val="00BB039F"/>
    <w:rsid w:val="00BB053D"/>
    <w:rsid w:val="00BB0757"/>
    <w:rsid w:val="00BB0944"/>
    <w:rsid w:val="00BB0959"/>
    <w:rsid w:val="00BB0AC7"/>
    <w:rsid w:val="00BB0B49"/>
    <w:rsid w:val="00BB0BAD"/>
    <w:rsid w:val="00BB11DB"/>
    <w:rsid w:val="00BB1B04"/>
    <w:rsid w:val="00BB1C38"/>
    <w:rsid w:val="00BB1C78"/>
    <w:rsid w:val="00BB1F91"/>
    <w:rsid w:val="00BB1F98"/>
    <w:rsid w:val="00BB2036"/>
    <w:rsid w:val="00BB216B"/>
    <w:rsid w:val="00BB21E3"/>
    <w:rsid w:val="00BB24AC"/>
    <w:rsid w:val="00BB2955"/>
    <w:rsid w:val="00BB296A"/>
    <w:rsid w:val="00BB2C10"/>
    <w:rsid w:val="00BB303B"/>
    <w:rsid w:val="00BB3172"/>
    <w:rsid w:val="00BB31D6"/>
    <w:rsid w:val="00BB3481"/>
    <w:rsid w:val="00BB35D4"/>
    <w:rsid w:val="00BB36A0"/>
    <w:rsid w:val="00BB37CA"/>
    <w:rsid w:val="00BB3C29"/>
    <w:rsid w:val="00BB3D8F"/>
    <w:rsid w:val="00BB3D9D"/>
    <w:rsid w:val="00BB4623"/>
    <w:rsid w:val="00BB4C39"/>
    <w:rsid w:val="00BB4FBF"/>
    <w:rsid w:val="00BB577C"/>
    <w:rsid w:val="00BB592D"/>
    <w:rsid w:val="00BB59C1"/>
    <w:rsid w:val="00BB61C5"/>
    <w:rsid w:val="00BB63AD"/>
    <w:rsid w:val="00BB66AC"/>
    <w:rsid w:val="00BB676B"/>
    <w:rsid w:val="00BB6A2F"/>
    <w:rsid w:val="00BB6A3F"/>
    <w:rsid w:val="00BB6ADC"/>
    <w:rsid w:val="00BB6F04"/>
    <w:rsid w:val="00BB6F1A"/>
    <w:rsid w:val="00BB7007"/>
    <w:rsid w:val="00BB70AA"/>
    <w:rsid w:val="00BB7380"/>
    <w:rsid w:val="00BB7527"/>
    <w:rsid w:val="00BB7881"/>
    <w:rsid w:val="00BB7AB4"/>
    <w:rsid w:val="00BB7AF3"/>
    <w:rsid w:val="00BB7C17"/>
    <w:rsid w:val="00BB7D51"/>
    <w:rsid w:val="00BC00E9"/>
    <w:rsid w:val="00BC04EF"/>
    <w:rsid w:val="00BC0E65"/>
    <w:rsid w:val="00BC1003"/>
    <w:rsid w:val="00BC1074"/>
    <w:rsid w:val="00BC1801"/>
    <w:rsid w:val="00BC1F43"/>
    <w:rsid w:val="00BC220D"/>
    <w:rsid w:val="00BC2240"/>
    <w:rsid w:val="00BC2712"/>
    <w:rsid w:val="00BC294F"/>
    <w:rsid w:val="00BC2C85"/>
    <w:rsid w:val="00BC315F"/>
    <w:rsid w:val="00BC3355"/>
    <w:rsid w:val="00BC3945"/>
    <w:rsid w:val="00BC3A5D"/>
    <w:rsid w:val="00BC3AC5"/>
    <w:rsid w:val="00BC3B23"/>
    <w:rsid w:val="00BC3D94"/>
    <w:rsid w:val="00BC4117"/>
    <w:rsid w:val="00BC4123"/>
    <w:rsid w:val="00BC4414"/>
    <w:rsid w:val="00BC44DA"/>
    <w:rsid w:val="00BC4A58"/>
    <w:rsid w:val="00BC4BCB"/>
    <w:rsid w:val="00BC4D90"/>
    <w:rsid w:val="00BC4E79"/>
    <w:rsid w:val="00BC5147"/>
    <w:rsid w:val="00BC5233"/>
    <w:rsid w:val="00BC5629"/>
    <w:rsid w:val="00BC5791"/>
    <w:rsid w:val="00BC5852"/>
    <w:rsid w:val="00BC5CCB"/>
    <w:rsid w:val="00BC5D95"/>
    <w:rsid w:val="00BC5DC9"/>
    <w:rsid w:val="00BC6018"/>
    <w:rsid w:val="00BC630C"/>
    <w:rsid w:val="00BC648C"/>
    <w:rsid w:val="00BC6595"/>
    <w:rsid w:val="00BC675C"/>
    <w:rsid w:val="00BC680F"/>
    <w:rsid w:val="00BC6829"/>
    <w:rsid w:val="00BC6B79"/>
    <w:rsid w:val="00BC6D3C"/>
    <w:rsid w:val="00BC6FB1"/>
    <w:rsid w:val="00BC708C"/>
    <w:rsid w:val="00BC75E2"/>
    <w:rsid w:val="00BD004E"/>
    <w:rsid w:val="00BD0081"/>
    <w:rsid w:val="00BD00A1"/>
    <w:rsid w:val="00BD0444"/>
    <w:rsid w:val="00BD057C"/>
    <w:rsid w:val="00BD059D"/>
    <w:rsid w:val="00BD065A"/>
    <w:rsid w:val="00BD06A7"/>
    <w:rsid w:val="00BD0713"/>
    <w:rsid w:val="00BD0E71"/>
    <w:rsid w:val="00BD1134"/>
    <w:rsid w:val="00BD12C3"/>
    <w:rsid w:val="00BD13D2"/>
    <w:rsid w:val="00BD1C5B"/>
    <w:rsid w:val="00BD1F92"/>
    <w:rsid w:val="00BD236D"/>
    <w:rsid w:val="00BD236F"/>
    <w:rsid w:val="00BD3AA6"/>
    <w:rsid w:val="00BD3AD8"/>
    <w:rsid w:val="00BD3DEF"/>
    <w:rsid w:val="00BD3E27"/>
    <w:rsid w:val="00BD42C3"/>
    <w:rsid w:val="00BD444B"/>
    <w:rsid w:val="00BD4D38"/>
    <w:rsid w:val="00BD4FA9"/>
    <w:rsid w:val="00BD512D"/>
    <w:rsid w:val="00BD52EE"/>
    <w:rsid w:val="00BD534B"/>
    <w:rsid w:val="00BD5485"/>
    <w:rsid w:val="00BD54F5"/>
    <w:rsid w:val="00BD56C7"/>
    <w:rsid w:val="00BD571F"/>
    <w:rsid w:val="00BD5A8A"/>
    <w:rsid w:val="00BD5B25"/>
    <w:rsid w:val="00BD5C29"/>
    <w:rsid w:val="00BD604D"/>
    <w:rsid w:val="00BD60A5"/>
    <w:rsid w:val="00BD60AB"/>
    <w:rsid w:val="00BD6152"/>
    <w:rsid w:val="00BD61EC"/>
    <w:rsid w:val="00BD623E"/>
    <w:rsid w:val="00BD6324"/>
    <w:rsid w:val="00BD6405"/>
    <w:rsid w:val="00BD6664"/>
    <w:rsid w:val="00BD6B73"/>
    <w:rsid w:val="00BD6BDA"/>
    <w:rsid w:val="00BD6BE7"/>
    <w:rsid w:val="00BD6C1D"/>
    <w:rsid w:val="00BD6C42"/>
    <w:rsid w:val="00BD6C51"/>
    <w:rsid w:val="00BD6C5A"/>
    <w:rsid w:val="00BD6F2F"/>
    <w:rsid w:val="00BD7395"/>
    <w:rsid w:val="00BD75E0"/>
    <w:rsid w:val="00BD76DC"/>
    <w:rsid w:val="00BD771D"/>
    <w:rsid w:val="00BD78F4"/>
    <w:rsid w:val="00BD7B08"/>
    <w:rsid w:val="00BD7E6A"/>
    <w:rsid w:val="00BD7F24"/>
    <w:rsid w:val="00BE00F0"/>
    <w:rsid w:val="00BE05D7"/>
    <w:rsid w:val="00BE07DC"/>
    <w:rsid w:val="00BE134B"/>
    <w:rsid w:val="00BE13E0"/>
    <w:rsid w:val="00BE165E"/>
    <w:rsid w:val="00BE1670"/>
    <w:rsid w:val="00BE1A15"/>
    <w:rsid w:val="00BE1ECD"/>
    <w:rsid w:val="00BE1FD1"/>
    <w:rsid w:val="00BE2522"/>
    <w:rsid w:val="00BE27FF"/>
    <w:rsid w:val="00BE2AB2"/>
    <w:rsid w:val="00BE2B36"/>
    <w:rsid w:val="00BE2DBC"/>
    <w:rsid w:val="00BE316D"/>
    <w:rsid w:val="00BE3482"/>
    <w:rsid w:val="00BE34D3"/>
    <w:rsid w:val="00BE38B3"/>
    <w:rsid w:val="00BE39D2"/>
    <w:rsid w:val="00BE3A00"/>
    <w:rsid w:val="00BE3A5C"/>
    <w:rsid w:val="00BE3C32"/>
    <w:rsid w:val="00BE3FCF"/>
    <w:rsid w:val="00BE4311"/>
    <w:rsid w:val="00BE4556"/>
    <w:rsid w:val="00BE461B"/>
    <w:rsid w:val="00BE49AC"/>
    <w:rsid w:val="00BE4AB0"/>
    <w:rsid w:val="00BE4BA4"/>
    <w:rsid w:val="00BE4DF9"/>
    <w:rsid w:val="00BE4EDE"/>
    <w:rsid w:val="00BE542B"/>
    <w:rsid w:val="00BE5462"/>
    <w:rsid w:val="00BE54C0"/>
    <w:rsid w:val="00BE57CC"/>
    <w:rsid w:val="00BE5942"/>
    <w:rsid w:val="00BE5D84"/>
    <w:rsid w:val="00BE5E6B"/>
    <w:rsid w:val="00BE60A8"/>
    <w:rsid w:val="00BE6312"/>
    <w:rsid w:val="00BE636A"/>
    <w:rsid w:val="00BE6D42"/>
    <w:rsid w:val="00BE6E53"/>
    <w:rsid w:val="00BE6F85"/>
    <w:rsid w:val="00BE6FB3"/>
    <w:rsid w:val="00BE6FC6"/>
    <w:rsid w:val="00BE70FE"/>
    <w:rsid w:val="00BE719A"/>
    <w:rsid w:val="00BE724E"/>
    <w:rsid w:val="00BE728D"/>
    <w:rsid w:val="00BE7432"/>
    <w:rsid w:val="00BE7578"/>
    <w:rsid w:val="00BE769D"/>
    <w:rsid w:val="00BE76F5"/>
    <w:rsid w:val="00BE771F"/>
    <w:rsid w:val="00BE775E"/>
    <w:rsid w:val="00BE7C14"/>
    <w:rsid w:val="00BE7D5C"/>
    <w:rsid w:val="00BE7DDA"/>
    <w:rsid w:val="00BE7E2A"/>
    <w:rsid w:val="00BE7E7E"/>
    <w:rsid w:val="00BF01A6"/>
    <w:rsid w:val="00BF04CA"/>
    <w:rsid w:val="00BF0A72"/>
    <w:rsid w:val="00BF0A90"/>
    <w:rsid w:val="00BF0F14"/>
    <w:rsid w:val="00BF0F42"/>
    <w:rsid w:val="00BF0F8C"/>
    <w:rsid w:val="00BF103C"/>
    <w:rsid w:val="00BF10F8"/>
    <w:rsid w:val="00BF145A"/>
    <w:rsid w:val="00BF1759"/>
    <w:rsid w:val="00BF1A1B"/>
    <w:rsid w:val="00BF1ADF"/>
    <w:rsid w:val="00BF1B76"/>
    <w:rsid w:val="00BF1D81"/>
    <w:rsid w:val="00BF2094"/>
    <w:rsid w:val="00BF2631"/>
    <w:rsid w:val="00BF2824"/>
    <w:rsid w:val="00BF2EB2"/>
    <w:rsid w:val="00BF3579"/>
    <w:rsid w:val="00BF35A6"/>
    <w:rsid w:val="00BF37A9"/>
    <w:rsid w:val="00BF38EC"/>
    <w:rsid w:val="00BF398D"/>
    <w:rsid w:val="00BF3DE6"/>
    <w:rsid w:val="00BF416B"/>
    <w:rsid w:val="00BF417A"/>
    <w:rsid w:val="00BF41B8"/>
    <w:rsid w:val="00BF42F2"/>
    <w:rsid w:val="00BF4AA6"/>
    <w:rsid w:val="00BF4AE0"/>
    <w:rsid w:val="00BF4D78"/>
    <w:rsid w:val="00BF4E75"/>
    <w:rsid w:val="00BF4F93"/>
    <w:rsid w:val="00BF515D"/>
    <w:rsid w:val="00BF53B3"/>
    <w:rsid w:val="00BF5576"/>
    <w:rsid w:val="00BF5825"/>
    <w:rsid w:val="00BF5BE4"/>
    <w:rsid w:val="00BF5E4D"/>
    <w:rsid w:val="00BF60E0"/>
    <w:rsid w:val="00BF6198"/>
    <w:rsid w:val="00BF64B9"/>
    <w:rsid w:val="00BF6CEA"/>
    <w:rsid w:val="00BF6D0A"/>
    <w:rsid w:val="00BF6E0A"/>
    <w:rsid w:val="00BF7405"/>
    <w:rsid w:val="00BF7493"/>
    <w:rsid w:val="00BF762C"/>
    <w:rsid w:val="00BF7988"/>
    <w:rsid w:val="00BF7B2D"/>
    <w:rsid w:val="00BF7CF6"/>
    <w:rsid w:val="00C00347"/>
    <w:rsid w:val="00C00BC9"/>
    <w:rsid w:val="00C00D49"/>
    <w:rsid w:val="00C00EB6"/>
    <w:rsid w:val="00C01025"/>
    <w:rsid w:val="00C014A5"/>
    <w:rsid w:val="00C01B24"/>
    <w:rsid w:val="00C01CAF"/>
    <w:rsid w:val="00C01D1F"/>
    <w:rsid w:val="00C01D6E"/>
    <w:rsid w:val="00C01E11"/>
    <w:rsid w:val="00C01EA1"/>
    <w:rsid w:val="00C01F39"/>
    <w:rsid w:val="00C01F85"/>
    <w:rsid w:val="00C02034"/>
    <w:rsid w:val="00C02061"/>
    <w:rsid w:val="00C024AA"/>
    <w:rsid w:val="00C02521"/>
    <w:rsid w:val="00C0262C"/>
    <w:rsid w:val="00C02C00"/>
    <w:rsid w:val="00C02E9B"/>
    <w:rsid w:val="00C02F62"/>
    <w:rsid w:val="00C0319B"/>
    <w:rsid w:val="00C031F6"/>
    <w:rsid w:val="00C03755"/>
    <w:rsid w:val="00C03ABC"/>
    <w:rsid w:val="00C03D9A"/>
    <w:rsid w:val="00C03DD9"/>
    <w:rsid w:val="00C040B1"/>
    <w:rsid w:val="00C04475"/>
    <w:rsid w:val="00C047E5"/>
    <w:rsid w:val="00C04AB4"/>
    <w:rsid w:val="00C04B37"/>
    <w:rsid w:val="00C04D38"/>
    <w:rsid w:val="00C04E37"/>
    <w:rsid w:val="00C051F8"/>
    <w:rsid w:val="00C055CC"/>
    <w:rsid w:val="00C0594E"/>
    <w:rsid w:val="00C05AAC"/>
    <w:rsid w:val="00C05ABF"/>
    <w:rsid w:val="00C05D14"/>
    <w:rsid w:val="00C05E58"/>
    <w:rsid w:val="00C05EA2"/>
    <w:rsid w:val="00C06096"/>
    <w:rsid w:val="00C06729"/>
    <w:rsid w:val="00C06A9C"/>
    <w:rsid w:val="00C06CE8"/>
    <w:rsid w:val="00C06D35"/>
    <w:rsid w:val="00C06F45"/>
    <w:rsid w:val="00C070CF"/>
    <w:rsid w:val="00C0748F"/>
    <w:rsid w:val="00C0769A"/>
    <w:rsid w:val="00C0774B"/>
    <w:rsid w:val="00C077E6"/>
    <w:rsid w:val="00C0780B"/>
    <w:rsid w:val="00C0781E"/>
    <w:rsid w:val="00C07A5D"/>
    <w:rsid w:val="00C07A6F"/>
    <w:rsid w:val="00C07CF5"/>
    <w:rsid w:val="00C100C8"/>
    <w:rsid w:val="00C10202"/>
    <w:rsid w:val="00C1031A"/>
    <w:rsid w:val="00C10980"/>
    <w:rsid w:val="00C10A7B"/>
    <w:rsid w:val="00C10C97"/>
    <w:rsid w:val="00C1119D"/>
    <w:rsid w:val="00C111EF"/>
    <w:rsid w:val="00C1135C"/>
    <w:rsid w:val="00C113E0"/>
    <w:rsid w:val="00C11745"/>
    <w:rsid w:val="00C1187E"/>
    <w:rsid w:val="00C118D3"/>
    <w:rsid w:val="00C11949"/>
    <w:rsid w:val="00C11B36"/>
    <w:rsid w:val="00C11B3E"/>
    <w:rsid w:val="00C11BB5"/>
    <w:rsid w:val="00C11C88"/>
    <w:rsid w:val="00C11E47"/>
    <w:rsid w:val="00C121B7"/>
    <w:rsid w:val="00C12211"/>
    <w:rsid w:val="00C122CD"/>
    <w:rsid w:val="00C12965"/>
    <w:rsid w:val="00C12E9B"/>
    <w:rsid w:val="00C131A8"/>
    <w:rsid w:val="00C1356E"/>
    <w:rsid w:val="00C135CF"/>
    <w:rsid w:val="00C13790"/>
    <w:rsid w:val="00C13A8E"/>
    <w:rsid w:val="00C13BAE"/>
    <w:rsid w:val="00C13BB1"/>
    <w:rsid w:val="00C13CCD"/>
    <w:rsid w:val="00C140F4"/>
    <w:rsid w:val="00C14120"/>
    <w:rsid w:val="00C141C0"/>
    <w:rsid w:val="00C1434D"/>
    <w:rsid w:val="00C1435A"/>
    <w:rsid w:val="00C144B9"/>
    <w:rsid w:val="00C14583"/>
    <w:rsid w:val="00C1461D"/>
    <w:rsid w:val="00C1492D"/>
    <w:rsid w:val="00C149D4"/>
    <w:rsid w:val="00C14C26"/>
    <w:rsid w:val="00C14D7D"/>
    <w:rsid w:val="00C14DC3"/>
    <w:rsid w:val="00C150BD"/>
    <w:rsid w:val="00C155FA"/>
    <w:rsid w:val="00C15B97"/>
    <w:rsid w:val="00C15D02"/>
    <w:rsid w:val="00C15F97"/>
    <w:rsid w:val="00C16344"/>
    <w:rsid w:val="00C16560"/>
    <w:rsid w:val="00C16877"/>
    <w:rsid w:val="00C168F9"/>
    <w:rsid w:val="00C16992"/>
    <w:rsid w:val="00C16BDC"/>
    <w:rsid w:val="00C16D32"/>
    <w:rsid w:val="00C16D66"/>
    <w:rsid w:val="00C1700B"/>
    <w:rsid w:val="00C17DAA"/>
    <w:rsid w:val="00C20079"/>
    <w:rsid w:val="00C20172"/>
    <w:rsid w:val="00C205CC"/>
    <w:rsid w:val="00C20717"/>
    <w:rsid w:val="00C20BA7"/>
    <w:rsid w:val="00C20D7B"/>
    <w:rsid w:val="00C21052"/>
    <w:rsid w:val="00C2114E"/>
    <w:rsid w:val="00C215A2"/>
    <w:rsid w:val="00C2177F"/>
    <w:rsid w:val="00C21918"/>
    <w:rsid w:val="00C21AAA"/>
    <w:rsid w:val="00C21F6F"/>
    <w:rsid w:val="00C22156"/>
    <w:rsid w:val="00C2222A"/>
    <w:rsid w:val="00C2236F"/>
    <w:rsid w:val="00C22401"/>
    <w:rsid w:val="00C2256D"/>
    <w:rsid w:val="00C226C6"/>
    <w:rsid w:val="00C22A0F"/>
    <w:rsid w:val="00C22C95"/>
    <w:rsid w:val="00C22CC3"/>
    <w:rsid w:val="00C22F52"/>
    <w:rsid w:val="00C22F57"/>
    <w:rsid w:val="00C23A25"/>
    <w:rsid w:val="00C23B13"/>
    <w:rsid w:val="00C23D4C"/>
    <w:rsid w:val="00C23FE3"/>
    <w:rsid w:val="00C241A5"/>
    <w:rsid w:val="00C246BF"/>
    <w:rsid w:val="00C249E7"/>
    <w:rsid w:val="00C24CBC"/>
    <w:rsid w:val="00C24FCF"/>
    <w:rsid w:val="00C25014"/>
    <w:rsid w:val="00C252D9"/>
    <w:rsid w:val="00C254D9"/>
    <w:rsid w:val="00C25527"/>
    <w:rsid w:val="00C25701"/>
    <w:rsid w:val="00C25B47"/>
    <w:rsid w:val="00C25C70"/>
    <w:rsid w:val="00C25D42"/>
    <w:rsid w:val="00C25DE2"/>
    <w:rsid w:val="00C25F5C"/>
    <w:rsid w:val="00C263BD"/>
    <w:rsid w:val="00C26B2C"/>
    <w:rsid w:val="00C26DA1"/>
    <w:rsid w:val="00C272D6"/>
    <w:rsid w:val="00C279BB"/>
    <w:rsid w:val="00C27B06"/>
    <w:rsid w:val="00C27C93"/>
    <w:rsid w:val="00C27C9E"/>
    <w:rsid w:val="00C27EB7"/>
    <w:rsid w:val="00C306EE"/>
    <w:rsid w:val="00C30B91"/>
    <w:rsid w:val="00C30D34"/>
    <w:rsid w:val="00C30DA8"/>
    <w:rsid w:val="00C31367"/>
    <w:rsid w:val="00C313FC"/>
    <w:rsid w:val="00C31619"/>
    <w:rsid w:val="00C316E2"/>
    <w:rsid w:val="00C317AF"/>
    <w:rsid w:val="00C31906"/>
    <w:rsid w:val="00C31B52"/>
    <w:rsid w:val="00C31E75"/>
    <w:rsid w:val="00C320B6"/>
    <w:rsid w:val="00C32352"/>
    <w:rsid w:val="00C32629"/>
    <w:rsid w:val="00C3269C"/>
    <w:rsid w:val="00C32A39"/>
    <w:rsid w:val="00C32B99"/>
    <w:rsid w:val="00C32BF7"/>
    <w:rsid w:val="00C32FC0"/>
    <w:rsid w:val="00C3349A"/>
    <w:rsid w:val="00C33668"/>
    <w:rsid w:val="00C338F1"/>
    <w:rsid w:val="00C33B91"/>
    <w:rsid w:val="00C33CCC"/>
    <w:rsid w:val="00C33CDD"/>
    <w:rsid w:val="00C340AD"/>
    <w:rsid w:val="00C34229"/>
    <w:rsid w:val="00C342AB"/>
    <w:rsid w:val="00C34456"/>
    <w:rsid w:val="00C345D9"/>
    <w:rsid w:val="00C34BA1"/>
    <w:rsid w:val="00C34C02"/>
    <w:rsid w:val="00C34D0D"/>
    <w:rsid w:val="00C34DB7"/>
    <w:rsid w:val="00C34FC9"/>
    <w:rsid w:val="00C35041"/>
    <w:rsid w:val="00C3518C"/>
    <w:rsid w:val="00C353F7"/>
    <w:rsid w:val="00C355A5"/>
    <w:rsid w:val="00C358AE"/>
    <w:rsid w:val="00C35925"/>
    <w:rsid w:val="00C35AD2"/>
    <w:rsid w:val="00C35B2B"/>
    <w:rsid w:val="00C35DE8"/>
    <w:rsid w:val="00C35E1C"/>
    <w:rsid w:val="00C35E26"/>
    <w:rsid w:val="00C361BE"/>
    <w:rsid w:val="00C36545"/>
    <w:rsid w:val="00C367E1"/>
    <w:rsid w:val="00C367FD"/>
    <w:rsid w:val="00C36DD0"/>
    <w:rsid w:val="00C36F9B"/>
    <w:rsid w:val="00C37195"/>
    <w:rsid w:val="00C37196"/>
    <w:rsid w:val="00C3732E"/>
    <w:rsid w:val="00C374FD"/>
    <w:rsid w:val="00C375DE"/>
    <w:rsid w:val="00C37E1E"/>
    <w:rsid w:val="00C37EE2"/>
    <w:rsid w:val="00C40258"/>
    <w:rsid w:val="00C402C3"/>
    <w:rsid w:val="00C403F6"/>
    <w:rsid w:val="00C40469"/>
    <w:rsid w:val="00C40658"/>
    <w:rsid w:val="00C40928"/>
    <w:rsid w:val="00C40953"/>
    <w:rsid w:val="00C40B69"/>
    <w:rsid w:val="00C40D78"/>
    <w:rsid w:val="00C40DE0"/>
    <w:rsid w:val="00C40DE4"/>
    <w:rsid w:val="00C410F8"/>
    <w:rsid w:val="00C41490"/>
    <w:rsid w:val="00C41778"/>
    <w:rsid w:val="00C41B8C"/>
    <w:rsid w:val="00C41C9C"/>
    <w:rsid w:val="00C41E90"/>
    <w:rsid w:val="00C41F34"/>
    <w:rsid w:val="00C42324"/>
    <w:rsid w:val="00C4245E"/>
    <w:rsid w:val="00C42753"/>
    <w:rsid w:val="00C427E6"/>
    <w:rsid w:val="00C42C72"/>
    <w:rsid w:val="00C42F91"/>
    <w:rsid w:val="00C42FA9"/>
    <w:rsid w:val="00C430C8"/>
    <w:rsid w:val="00C43540"/>
    <w:rsid w:val="00C435A3"/>
    <w:rsid w:val="00C43718"/>
    <w:rsid w:val="00C4375D"/>
    <w:rsid w:val="00C438BE"/>
    <w:rsid w:val="00C43AB0"/>
    <w:rsid w:val="00C43E1C"/>
    <w:rsid w:val="00C43E66"/>
    <w:rsid w:val="00C440A2"/>
    <w:rsid w:val="00C4414C"/>
    <w:rsid w:val="00C442C3"/>
    <w:rsid w:val="00C4430D"/>
    <w:rsid w:val="00C443C5"/>
    <w:rsid w:val="00C44484"/>
    <w:rsid w:val="00C44489"/>
    <w:rsid w:val="00C444F1"/>
    <w:rsid w:val="00C44528"/>
    <w:rsid w:val="00C44AA4"/>
    <w:rsid w:val="00C44C2A"/>
    <w:rsid w:val="00C44DD1"/>
    <w:rsid w:val="00C44ECE"/>
    <w:rsid w:val="00C44F8E"/>
    <w:rsid w:val="00C450DA"/>
    <w:rsid w:val="00C45317"/>
    <w:rsid w:val="00C45522"/>
    <w:rsid w:val="00C456BD"/>
    <w:rsid w:val="00C45E0B"/>
    <w:rsid w:val="00C45E7C"/>
    <w:rsid w:val="00C45F6C"/>
    <w:rsid w:val="00C45FEC"/>
    <w:rsid w:val="00C4629D"/>
    <w:rsid w:val="00C4653C"/>
    <w:rsid w:val="00C46615"/>
    <w:rsid w:val="00C46715"/>
    <w:rsid w:val="00C4690F"/>
    <w:rsid w:val="00C4696D"/>
    <w:rsid w:val="00C46C48"/>
    <w:rsid w:val="00C47083"/>
    <w:rsid w:val="00C47424"/>
    <w:rsid w:val="00C477F2"/>
    <w:rsid w:val="00C479F9"/>
    <w:rsid w:val="00C47A9E"/>
    <w:rsid w:val="00C47DE0"/>
    <w:rsid w:val="00C47EC2"/>
    <w:rsid w:val="00C50054"/>
    <w:rsid w:val="00C501E0"/>
    <w:rsid w:val="00C50327"/>
    <w:rsid w:val="00C50424"/>
    <w:rsid w:val="00C50458"/>
    <w:rsid w:val="00C505E5"/>
    <w:rsid w:val="00C50771"/>
    <w:rsid w:val="00C5077E"/>
    <w:rsid w:val="00C5083D"/>
    <w:rsid w:val="00C50A7C"/>
    <w:rsid w:val="00C50AE8"/>
    <w:rsid w:val="00C50B15"/>
    <w:rsid w:val="00C50E24"/>
    <w:rsid w:val="00C50E68"/>
    <w:rsid w:val="00C513CE"/>
    <w:rsid w:val="00C51450"/>
    <w:rsid w:val="00C5198B"/>
    <w:rsid w:val="00C51A96"/>
    <w:rsid w:val="00C51BFF"/>
    <w:rsid w:val="00C51C61"/>
    <w:rsid w:val="00C51C73"/>
    <w:rsid w:val="00C5212F"/>
    <w:rsid w:val="00C5237E"/>
    <w:rsid w:val="00C52432"/>
    <w:rsid w:val="00C5284D"/>
    <w:rsid w:val="00C528F0"/>
    <w:rsid w:val="00C529D3"/>
    <w:rsid w:val="00C52A72"/>
    <w:rsid w:val="00C52AF2"/>
    <w:rsid w:val="00C52B35"/>
    <w:rsid w:val="00C52CB5"/>
    <w:rsid w:val="00C52DE4"/>
    <w:rsid w:val="00C5302D"/>
    <w:rsid w:val="00C531B3"/>
    <w:rsid w:val="00C531D0"/>
    <w:rsid w:val="00C532D0"/>
    <w:rsid w:val="00C5335C"/>
    <w:rsid w:val="00C5346C"/>
    <w:rsid w:val="00C53645"/>
    <w:rsid w:val="00C539BD"/>
    <w:rsid w:val="00C53AD4"/>
    <w:rsid w:val="00C53B5E"/>
    <w:rsid w:val="00C53CBB"/>
    <w:rsid w:val="00C53D01"/>
    <w:rsid w:val="00C53D51"/>
    <w:rsid w:val="00C53E74"/>
    <w:rsid w:val="00C54162"/>
    <w:rsid w:val="00C5455F"/>
    <w:rsid w:val="00C54617"/>
    <w:rsid w:val="00C54831"/>
    <w:rsid w:val="00C5502B"/>
    <w:rsid w:val="00C550D8"/>
    <w:rsid w:val="00C55299"/>
    <w:rsid w:val="00C553D4"/>
    <w:rsid w:val="00C5588E"/>
    <w:rsid w:val="00C55BC4"/>
    <w:rsid w:val="00C55D6B"/>
    <w:rsid w:val="00C55DE0"/>
    <w:rsid w:val="00C55EB1"/>
    <w:rsid w:val="00C563B9"/>
    <w:rsid w:val="00C56417"/>
    <w:rsid w:val="00C565F5"/>
    <w:rsid w:val="00C56E87"/>
    <w:rsid w:val="00C56F4E"/>
    <w:rsid w:val="00C5705E"/>
    <w:rsid w:val="00C570A5"/>
    <w:rsid w:val="00C5712E"/>
    <w:rsid w:val="00C57261"/>
    <w:rsid w:val="00C572BA"/>
    <w:rsid w:val="00C5734C"/>
    <w:rsid w:val="00C57385"/>
    <w:rsid w:val="00C57463"/>
    <w:rsid w:val="00C5784E"/>
    <w:rsid w:val="00C57941"/>
    <w:rsid w:val="00C57A0B"/>
    <w:rsid w:val="00C57C3C"/>
    <w:rsid w:val="00C57DDA"/>
    <w:rsid w:val="00C60018"/>
    <w:rsid w:val="00C601E6"/>
    <w:rsid w:val="00C60608"/>
    <w:rsid w:val="00C60F7C"/>
    <w:rsid w:val="00C60FCD"/>
    <w:rsid w:val="00C61264"/>
    <w:rsid w:val="00C61458"/>
    <w:rsid w:val="00C615CA"/>
    <w:rsid w:val="00C619BC"/>
    <w:rsid w:val="00C61E96"/>
    <w:rsid w:val="00C621CF"/>
    <w:rsid w:val="00C62311"/>
    <w:rsid w:val="00C6292C"/>
    <w:rsid w:val="00C62930"/>
    <w:rsid w:val="00C629BF"/>
    <w:rsid w:val="00C62A0F"/>
    <w:rsid w:val="00C62AB4"/>
    <w:rsid w:val="00C62B79"/>
    <w:rsid w:val="00C62B80"/>
    <w:rsid w:val="00C62BD3"/>
    <w:rsid w:val="00C62DF3"/>
    <w:rsid w:val="00C63311"/>
    <w:rsid w:val="00C6357F"/>
    <w:rsid w:val="00C63A5B"/>
    <w:rsid w:val="00C63B1C"/>
    <w:rsid w:val="00C63BEF"/>
    <w:rsid w:val="00C63C71"/>
    <w:rsid w:val="00C63E2D"/>
    <w:rsid w:val="00C63F3E"/>
    <w:rsid w:val="00C640DF"/>
    <w:rsid w:val="00C641E5"/>
    <w:rsid w:val="00C64596"/>
    <w:rsid w:val="00C64854"/>
    <w:rsid w:val="00C64C20"/>
    <w:rsid w:val="00C64C4E"/>
    <w:rsid w:val="00C650D5"/>
    <w:rsid w:val="00C651BE"/>
    <w:rsid w:val="00C651C1"/>
    <w:rsid w:val="00C654E4"/>
    <w:rsid w:val="00C6576A"/>
    <w:rsid w:val="00C65889"/>
    <w:rsid w:val="00C6589E"/>
    <w:rsid w:val="00C658F0"/>
    <w:rsid w:val="00C65ACA"/>
    <w:rsid w:val="00C65F90"/>
    <w:rsid w:val="00C6606B"/>
    <w:rsid w:val="00C66458"/>
    <w:rsid w:val="00C66B69"/>
    <w:rsid w:val="00C66BD7"/>
    <w:rsid w:val="00C66D42"/>
    <w:rsid w:val="00C6723A"/>
    <w:rsid w:val="00C67371"/>
    <w:rsid w:val="00C67982"/>
    <w:rsid w:val="00C67CD9"/>
    <w:rsid w:val="00C67DFC"/>
    <w:rsid w:val="00C67FBE"/>
    <w:rsid w:val="00C70149"/>
    <w:rsid w:val="00C701C6"/>
    <w:rsid w:val="00C70576"/>
    <w:rsid w:val="00C706D1"/>
    <w:rsid w:val="00C706EE"/>
    <w:rsid w:val="00C708BF"/>
    <w:rsid w:val="00C70A5C"/>
    <w:rsid w:val="00C70B06"/>
    <w:rsid w:val="00C70B81"/>
    <w:rsid w:val="00C70D6B"/>
    <w:rsid w:val="00C70EEC"/>
    <w:rsid w:val="00C70F10"/>
    <w:rsid w:val="00C70FC0"/>
    <w:rsid w:val="00C71693"/>
    <w:rsid w:val="00C718B1"/>
    <w:rsid w:val="00C71B2F"/>
    <w:rsid w:val="00C72312"/>
    <w:rsid w:val="00C726E6"/>
    <w:rsid w:val="00C729C0"/>
    <w:rsid w:val="00C72C21"/>
    <w:rsid w:val="00C72C98"/>
    <w:rsid w:val="00C730E3"/>
    <w:rsid w:val="00C730E5"/>
    <w:rsid w:val="00C732B8"/>
    <w:rsid w:val="00C73372"/>
    <w:rsid w:val="00C73468"/>
    <w:rsid w:val="00C73BFA"/>
    <w:rsid w:val="00C73EF6"/>
    <w:rsid w:val="00C73F62"/>
    <w:rsid w:val="00C7412B"/>
    <w:rsid w:val="00C7478A"/>
    <w:rsid w:val="00C74C2F"/>
    <w:rsid w:val="00C74CD2"/>
    <w:rsid w:val="00C74F4B"/>
    <w:rsid w:val="00C752D8"/>
    <w:rsid w:val="00C7574B"/>
    <w:rsid w:val="00C7590A"/>
    <w:rsid w:val="00C75E9A"/>
    <w:rsid w:val="00C75FC2"/>
    <w:rsid w:val="00C763AC"/>
    <w:rsid w:val="00C7649A"/>
    <w:rsid w:val="00C766A5"/>
    <w:rsid w:val="00C76920"/>
    <w:rsid w:val="00C76D07"/>
    <w:rsid w:val="00C76F9D"/>
    <w:rsid w:val="00C774CF"/>
    <w:rsid w:val="00C7758E"/>
    <w:rsid w:val="00C775C2"/>
    <w:rsid w:val="00C77894"/>
    <w:rsid w:val="00C77A5B"/>
    <w:rsid w:val="00C77AD1"/>
    <w:rsid w:val="00C80038"/>
    <w:rsid w:val="00C8004A"/>
    <w:rsid w:val="00C801CE"/>
    <w:rsid w:val="00C80205"/>
    <w:rsid w:val="00C80681"/>
    <w:rsid w:val="00C80787"/>
    <w:rsid w:val="00C80A07"/>
    <w:rsid w:val="00C81119"/>
    <w:rsid w:val="00C812E9"/>
    <w:rsid w:val="00C817ED"/>
    <w:rsid w:val="00C817F9"/>
    <w:rsid w:val="00C8185B"/>
    <w:rsid w:val="00C81A15"/>
    <w:rsid w:val="00C81AC1"/>
    <w:rsid w:val="00C81B48"/>
    <w:rsid w:val="00C821F9"/>
    <w:rsid w:val="00C823D5"/>
    <w:rsid w:val="00C82457"/>
    <w:rsid w:val="00C82632"/>
    <w:rsid w:val="00C827D5"/>
    <w:rsid w:val="00C82ADB"/>
    <w:rsid w:val="00C82E02"/>
    <w:rsid w:val="00C82EEA"/>
    <w:rsid w:val="00C830B3"/>
    <w:rsid w:val="00C83A40"/>
    <w:rsid w:val="00C83C5C"/>
    <w:rsid w:val="00C83E80"/>
    <w:rsid w:val="00C841A2"/>
    <w:rsid w:val="00C8476D"/>
    <w:rsid w:val="00C8492D"/>
    <w:rsid w:val="00C84A37"/>
    <w:rsid w:val="00C84BF3"/>
    <w:rsid w:val="00C854E7"/>
    <w:rsid w:val="00C855F0"/>
    <w:rsid w:val="00C858C3"/>
    <w:rsid w:val="00C85B70"/>
    <w:rsid w:val="00C85FA8"/>
    <w:rsid w:val="00C860D8"/>
    <w:rsid w:val="00C8625D"/>
    <w:rsid w:val="00C8628D"/>
    <w:rsid w:val="00C86652"/>
    <w:rsid w:val="00C866ED"/>
    <w:rsid w:val="00C867A4"/>
    <w:rsid w:val="00C867A8"/>
    <w:rsid w:val="00C86ABE"/>
    <w:rsid w:val="00C86BD5"/>
    <w:rsid w:val="00C86C66"/>
    <w:rsid w:val="00C86E60"/>
    <w:rsid w:val="00C8728F"/>
    <w:rsid w:val="00C87709"/>
    <w:rsid w:val="00C87AF7"/>
    <w:rsid w:val="00C87C7D"/>
    <w:rsid w:val="00C87D19"/>
    <w:rsid w:val="00C9006F"/>
    <w:rsid w:val="00C90170"/>
    <w:rsid w:val="00C902DB"/>
    <w:rsid w:val="00C9034D"/>
    <w:rsid w:val="00C90539"/>
    <w:rsid w:val="00C9058C"/>
    <w:rsid w:val="00C90688"/>
    <w:rsid w:val="00C906E3"/>
    <w:rsid w:val="00C9077C"/>
    <w:rsid w:val="00C9080C"/>
    <w:rsid w:val="00C90CD5"/>
    <w:rsid w:val="00C90DFA"/>
    <w:rsid w:val="00C90F29"/>
    <w:rsid w:val="00C9108A"/>
    <w:rsid w:val="00C9120D"/>
    <w:rsid w:val="00C91549"/>
    <w:rsid w:val="00C9182D"/>
    <w:rsid w:val="00C91978"/>
    <w:rsid w:val="00C919B8"/>
    <w:rsid w:val="00C91B98"/>
    <w:rsid w:val="00C91C91"/>
    <w:rsid w:val="00C91D44"/>
    <w:rsid w:val="00C91F8D"/>
    <w:rsid w:val="00C91FBF"/>
    <w:rsid w:val="00C92637"/>
    <w:rsid w:val="00C926E4"/>
    <w:rsid w:val="00C92B7C"/>
    <w:rsid w:val="00C92C12"/>
    <w:rsid w:val="00C92CBD"/>
    <w:rsid w:val="00C92F2B"/>
    <w:rsid w:val="00C9319E"/>
    <w:rsid w:val="00C93A7E"/>
    <w:rsid w:val="00C93C3D"/>
    <w:rsid w:val="00C93D41"/>
    <w:rsid w:val="00C93D59"/>
    <w:rsid w:val="00C93EEF"/>
    <w:rsid w:val="00C9400E"/>
    <w:rsid w:val="00C9409F"/>
    <w:rsid w:val="00C940AB"/>
    <w:rsid w:val="00C94241"/>
    <w:rsid w:val="00C942FB"/>
    <w:rsid w:val="00C94347"/>
    <w:rsid w:val="00C949D7"/>
    <w:rsid w:val="00C94CA2"/>
    <w:rsid w:val="00C94E18"/>
    <w:rsid w:val="00C95289"/>
    <w:rsid w:val="00C9552F"/>
    <w:rsid w:val="00C958B1"/>
    <w:rsid w:val="00C95B84"/>
    <w:rsid w:val="00C95DBF"/>
    <w:rsid w:val="00C962BB"/>
    <w:rsid w:val="00C9637F"/>
    <w:rsid w:val="00C964B8"/>
    <w:rsid w:val="00C9655E"/>
    <w:rsid w:val="00C965FA"/>
    <w:rsid w:val="00C966C0"/>
    <w:rsid w:val="00C966CC"/>
    <w:rsid w:val="00C9672F"/>
    <w:rsid w:val="00C96B28"/>
    <w:rsid w:val="00C96F02"/>
    <w:rsid w:val="00C96F63"/>
    <w:rsid w:val="00C97130"/>
    <w:rsid w:val="00C9716E"/>
    <w:rsid w:val="00C9736A"/>
    <w:rsid w:val="00C975AB"/>
    <w:rsid w:val="00C97638"/>
    <w:rsid w:val="00C97813"/>
    <w:rsid w:val="00C97B26"/>
    <w:rsid w:val="00C97B44"/>
    <w:rsid w:val="00CA0129"/>
    <w:rsid w:val="00CA01DD"/>
    <w:rsid w:val="00CA0403"/>
    <w:rsid w:val="00CA0533"/>
    <w:rsid w:val="00CA05FE"/>
    <w:rsid w:val="00CA0637"/>
    <w:rsid w:val="00CA07FD"/>
    <w:rsid w:val="00CA08AC"/>
    <w:rsid w:val="00CA0AF9"/>
    <w:rsid w:val="00CA1445"/>
    <w:rsid w:val="00CA1876"/>
    <w:rsid w:val="00CA1BA6"/>
    <w:rsid w:val="00CA1BBC"/>
    <w:rsid w:val="00CA1BF2"/>
    <w:rsid w:val="00CA1DCB"/>
    <w:rsid w:val="00CA1DCC"/>
    <w:rsid w:val="00CA1E3A"/>
    <w:rsid w:val="00CA1F04"/>
    <w:rsid w:val="00CA1F9A"/>
    <w:rsid w:val="00CA2A9E"/>
    <w:rsid w:val="00CA2C70"/>
    <w:rsid w:val="00CA2EF8"/>
    <w:rsid w:val="00CA2F46"/>
    <w:rsid w:val="00CA2FDF"/>
    <w:rsid w:val="00CA32EE"/>
    <w:rsid w:val="00CA3344"/>
    <w:rsid w:val="00CA33B9"/>
    <w:rsid w:val="00CA33EF"/>
    <w:rsid w:val="00CA368E"/>
    <w:rsid w:val="00CA3B2B"/>
    <w:rsid w:val="00CA3B8A"/>
    <w:rsid w:val="00CA3CCD"/>
    <w:rsid w:val="00CA402C"/>
    <w:rsid w:val="00CA4080"/>
    <w:rsid w:val="00CA446F"/>
    <w:rsid w:val="00CA46E8"/>
    <w:rsid w:val="00CA4A7D"/>
    <w:rsid w:val="00CA4AD9"/>
    <w:rsid w:val="00CA5611"/>
    <w:rsid w:val="00CA56E0"/>
    <w:rsid w:val="00CA593F"/>
    <w:rsid w:val="00CA5A3C"/>
    <w:rsid w:val="00CA5B0E"/>
    <w:rsid w:val="00CA6109"/>
    <w:rsid w:val="00CA6289"/>
    <w:rsid w:val="00CA62D8"/>
    <w:rsid w:val="00CA645F"/>
    <w:rsid w:val="00CA6480"/>
    <w:rsid w:val="00CA68D6"/>
    <w:rsid w:val="00CA6B81"/>
    <w:rsid w:val="00CA6B9E"/>
    <w:rsid w:val="00CA727A"/>
    <w:rsid w:val="00CA73FC"/>
    <w:rsid w:val="00CA775D"/>
    <w:rsid w:val="00CA7B38"/>
    <w:rsid w:val="00CA7EDF"/>
    <w:rsid w:val="00CB01A2"/>
    <w:rsid w:val="00CB01A9"/>
    <w:rsid w:val="00CB03D9"/>
    <w:rsid w:val="00CB04BA"/>
    <w:rsid w:val="00CB0629"/>
    <w:rsid w:val="00CB06BB"/>
    <w:rsid w:val="00CB06FB"/>
    <w:rsid w:val="00CB083D"/>
    <w:rsid w:val="00CB09D9"/>
    <w:rsid w:val="00CB0C3B"/>
    <w:rsid w:val="00CB1083"/>
    <w:rsid w:val="00CB11FD"/>
    <w:rsid w:val="00CB15A5"/>
    <w:rsid w:val="00CB15CE"/>
    <w:rsid w:val="00CB1650"/>
    <w:rsid w:val="00CB170C"/>
    <w:rsid w:val="00CB1732"/>
    <w:rsid w:val="00CB17DD"/>
    <w:rsid w:val="00CB188D"/>
    <w:rsid w:val="00CB1989"/>
    <w:rsid w:val="00CB1C51"/>
    <w:rsid w:val="00CB1C5A"/>
    <w:rsid w:val="00CB1C9F"/>
    <w:rsid w:val="00CB1E91"/>
    <w:rsid w:val="00CB202E"/>
    <w:rsid w:val="00CB2225"/>
    <w:rsid w:val="00CB22F5"/>
    <w:rsid w:val="00CB2723"/>
    <w:rsid w:val="00CB2831"/>
    <w:rsid w:val="00CB2B3F"/>
    <w:rsid w:val="00CB30B8"/>
    <w:rsid w:val="00CB32A3"/>
    <w:rsid w:val="00CB33CF"/>
    <w:rsid w:val="00CB35AC"/>
    <w:rsid w:val="00CB3A6B"/>
    <w:rsid w:val="00CB3FC2"/>
    <w:rsid w:val="00CB421D"/>
    <w:rsid w:val="00CB479B"/>
    <w:rsid w:val="00CB498F"/>
    <w:rsid w:val="00CB4B7B"/>
    <w:rsid w:val="00CB4E5D"/>
    <w:rsid w:val="00CB4E71"/>
    <w:rsid w:val="00CB4F83"/>
    <w:rsid w:val="00CB4FD3"/>
    <w:rsid w:val="00CB507E"/>
    <w:rsid w:val="00CB5422"/>
    <w:rsid w:val="00CB571B"/>
    <w:rsid w:val="00CB57A0"/>
    <w:rsid w:val="00CB5830"/>
    <w:rsid w:val="00CB5993"/>
    <w:rsid w:val="00CB59BD"/>
    <w:rsid w:val="00CB5A79"/>
    <w:rsid w:val="00CB5ACF"/>
    <w:rsid w:val="00CB635A"/>
    <w:rsid w:val="00CB6382"/>
    <w:rsid w:val="00CB63FF"/>
    <w:rsid w:val="00CB64A4"/>
    <w:rsid w:val="00CB65D3"/>
    <w:rsid w:val="00CB66DF"/>
    <w:rsid w:val="00CB6B79"/>
    <w:rsid w:val="00CB6BF8"/>
    <w:rsid w:val="00CB723A"/>
    <w:rsid w:val="00CB72C8"/>
    <w:rsid w:val="00CB785F"/>
    <w:rsid w:val="00CB7860"/>
    <w:rsid w:val="00CB7A0A"/>
    <w:rsid w:val="00CB7BAC"/>
    <w:rsid w:val="00CB7E49"/>
    <w:rsid w:val="00CC03D7"/>
    <w:rsid w:val="00CC0441"/>
    <w:rsid w:val="00CC07E2"/>
    <w:rsid w:val="00CC08F1"/>
    <w:rsid w:val="00CC0A94"/>
    <w:rsid w:val="00CC0AE6"/>
    <w:rsid w:val="00CC0EE2"/>
    <w:rsid w:val="00CC11E3"/>
    <w:rsid w:val="00CC13E3"/>
    <w:rsid w:val="00CC1643"/>
    <w:rsid w:val="00CC16DC"/>
    <w:rsid w:val="00CC186A"/>
    <w:rsid w:val="00CC18BD"/>
    <w:rsid w:val="00CC1B0C"/>
    <w:rsid w:val="00CC1BA6"/>
    <w:rsid w:val="00CC1CF5"/>
    <w:rsid w:val="00CC1F33"/>
    <w:rsid w:val="00CC240B"/>
    <w:rsid w:val="00CC2A13"/>
    <w:rsid w:val="00CC2A71"/>
    <w:rsid w:val="00CC2AB0"/>
    <w:rsid w:val="00CC2D1B"/>
    <w:rsid w:val="00CC2DBB"/>
    <w:rsid w:val="00CC2E41"/>
    <w:rsid w:val="00CC2E62"/>
    <w:rsid w:val="00CC2FD5"/>
    <w:rsid w:val="00CC301B"/>
    <w:rsid w:val="00CC321E"/>
    <w:rsid w:val="00CC3A4F"/>
    <w:rsid w:val="00CC3AA8"/>
    <w:rsid w:val="00CC3BF8"/>
    <w:rsid w:val="00CC3F9F"/>
    <w:rsid w:val="00CC406B"/>
    <w:rsid w:val="00CC4158"/>
    <w:rsid w:val="00CC4F07"/>
    <w:rsid w:val="00CC4F0D"/>
    <w:rsid w:val="00CC4F2A"/>
    <w:rsid w:val="00CC5359"/>
    <w:rsid w:val="00CC5528"/>
    <w:rsid w:val="00CC57B0"/>
    <w:rsid w:val="00CC5836"/>
    <w:rsid w:val="00CC5D99"/>
    <w:rsid w:val="00CC5EB4"/>
    <w:rsid w:val="00CC612C"/>
    <w:rsid w:val="00CC627A"/>
    <w:rsid w:val="00CC6289"/>
    <w:rsid w:val="00CC62B9"/>
    <w:rsid w:val="00CC62D8"/>
    <w:rsid w:val="00CC62E2"/>
    <w:rsid w:val="00CC65C2"/>
    <w:rsid w:val="00CC6633"/>
    <w:rsid w:val="00CC66DA"/>
    <w:rsid w:val="00CC66DF"/>
    <w:rsid w:val="00CC6DA5"/>
    <w:rsid w:val="00CC7016"/>
    <w:rsid w:val="00CC71D7"/>
    <w:rsid w:val="00CC78E4"/>
    <w:rsid w:val="00CC793B"/>
    <w:rsid w:val="00CD0081"/>
    <w:rsid w:val="00CD0393"/>
    <w:rsid w:val="00CD059C"/>
    <w:rsid w:val="00CD060D"/>
    <w:rsid w:val="00CD068C"/>
    <w:rsid w:val="00CD0C57"/>
    <w:rsid w:val="00CD1033"/>
    <w:rsid w:val="00CD1520"/>
    <w:rsid w:val="00CD167A"/>
    <w:rsid w:val="00CD17B3"/>
    <w:rsid w:val="00CD18B0"/>
    <w:rsid w:val="00CD1A55"/>
    <w:rsid w:val="00CD1F30"/>
    <w:rsid w:val="00CD2030"/>
    <w:rsid w:val="00CD2096"/>
    <w:rsid w:val="00CD2114"/>
    <w:rsid w:val="00CD2195"/>
    <w:rsid w:val="00CD22C5"/>
    <w:rsid w:val="00CD2337"/>
    <w:rsid w:val="00CD25AE"/>
    <w:rsid w:val="00CD29A2"/>
    <w:rsid w:val="00CD2AF2"/>
    <w:rsid w:val="00CD2C83"/>
    <w:rsid w:val="00CD2E02"/>
    <w:rsid w:val="00CD2E09"/>
    <w:rsid w:val="00CD3084"/>
    <w:rsid w:val="00CD3085"/>
    <w:rsid w:val="00CD311E"/>
    <w:rsid w:val="00CD33BF"/>
    <w:rsid w:val="00CD348E"/>
    <w:rsid w:val="00CD3535"/>
    <w:rsid w:val="00CD356B"/>
    <w:rsid w:val="00CD3626"/>
    <w:rsid w:val="00CD3871"/>
    <w:rsid w:val="00CD3A3E"/>
    <w:rsid w:val="00CD3A6A"/>
    <w:rsid w:val="00CD3A6C"/>
    <w:rsid w:val="00CD404E"/>
    <w:rsid w:val="00CD451D"/>
    <w:rsid w:val="00CD48C8"/>
    <w:rsid w:val="00CD4B17"/>
    <w:rsid w:val="00CD4B87"/>
    <w:rsid w:val="00CD4D08"/>
    <w:rsid w:val="00CD4D24"/>
    <w:rsid w:val="00CD4E39"/>
    <w:rsid w:val="00CD51BD"/>
    <w:rsid w:val="00CD5998"/>
    <w:rsid w:val="00CD5A74"/>
    <w:rsid w:val="00CD5A7D"/>
    <w:rsid w:val="00CD5D20"/>
    <w:rsid w:val="00CD6003"/>
    <w:rsid w:val="00CD634F"/>
    <w:rsid w:val="00CD63B3"/>
    <w:rsid w:val="00CD63EA"/>
    <w:rsid w:val="00CD6417"/>
    <w:rsid w:val="00CD6602"/>
    <w:rsid w:val="00CD6875"/>
    <w:rsid w:val="00CD6AC8"/>
    <w:rsid w:val="00CD6BDE"/>
    <w:rsid w:val="00CD6DE5"/>
    <w:rsid w:val="00CD6F60"/>
    <w:rsid w:val="00CD7142"/>
    <w:rsid w:val="00CD7167"/>
    <w:rsid w:val="00CD72D9"/>
    <w:rsid w:val="00CD7635"/>
    <w:rsid w:val="00CD77DC"/>
    <w:rsid w:val="00CD7815"/>
    <w:rsid w:val="00CD785F"/>
    <w:rsid w:val="00CD7988"/>
    <w:rsid w:val="00CD7ABD"/>
    <w:rsid w:val="00CD7AF8"/>
    <w:rsid w:val="00CD7B32"/>
    <w:rsid w:val="00CD7C45"/>
    <w:rsid w:val="00CD7CFE"/>
    <w:rsid w:val="00CD7E12"/>
    <w:rsid w:val="00CD7F23"/>
    <w:rsid w:val="00CE0055"/>
    <w:rsid w:val="00CE02EF"/>
    <w:rsid w:val="00CE05A3"/>
    <w:rsid w:val="00CE07B3"/>
    <w:rsid w:val="00CE0837"/>
    <w:rsid w:val="00CE09C7"/>
    <w:rsid w:val="00CE0A13"/>
    <w:rsid w:val="00CE0BFA"/>
    <w:rsid w:val="00CE11FF"/>
    <w:rsid w:val="00CE145C"/>
    <w:rsid w:val="00CE15DF"/>
    <w:rsid w:val="00CE185B"/>
    <w:rsid w:val="00CE18A9"/>
    <w:rsid w:val="00CE18E0"/>
    <w:rsid w:val="00CE1C2E"/>
    <w:rsid w:val="00CE1C39"/>
    <w:rsid w:val="00CE1CC6"/>
    <w:rsid w:val="00CE1DB5"/>
    <w:rsid w:val="00CE1F81"/>
    <w:rsid w:val="00CE24F0"/>
    <w:rsid w:val="00CE250B"/>
    <w:rsid w:val="00CE2A7D"/>
    <w:rsid w:val="00CE2DFE"/>
    <w:rsid w:val="00CE3148"/>
    <w:rsid w:val="00CE360F"/>
    <w:rsid w:val="00CE397C"/>
    <w:rsid w:val="00CE3A16"/>
    <w:rsid w:val="00CE3A95"/>
    <w:rsid w:val="00CE3BA0"/>
    <w:rsid w:val="00CE3C11"/>
    <w:rsid w:val="00CE4095"/>
    <w:rsid w:val="00CE4846"/>
    <w:rsid w:val="00CE48AE"/>
    <w:rsid w:val="00CE4DD2"/>
    <w:rsid w:val="00CE4DF3"/>
    <w:rsid w:val="00CE4E33"/>
    <w:rsid w:val="00CE4FC4"/>
    <w:rsid w:val="00CE5012"/>
    <w:rsid w:val="00CE50A3"/>
    <w:rsid w:val="00CE549C"/>
    <w:rsid w:val="00CE57B1"/>
    <w:rsid w:val="00CE584C"/>
    <w:rsid w:val="00CE598B"/>
    <w:rsid w:val="00CE59AE"/>
    <w:rsid w:val="00CE59D6"/>
    <w:rsid w:val="00CE612B"/>
    <w:rsid w:val="00CE6167"/>
    <w:rsid w:val="00CE617E"/>
    <w:rsid w:val="00CE61F4"/>
    <w:rsid w:val="00CE64C4"/>
    <w:rsid w:val="00CE6554"/>
    <w:rsid w:val="00CE65B4"/>
    <w:rsid w:val="00CE6679"/>
    <w:rsid w:val="00CE66C5"/>
    <w:rsid w:val="00CE6846"/>
    <w:rsid w:val="00CE689E"/>
    <w:rsid w:val="00CE698F"/>
    <w:rsid w:val="00CE6B97"/>
    <w:rsid w:val="00CE6C49"/>
    <w:rsid w:val="00CE6C50"/>
    <w:rsid w:val="00CE70BB"/>
    <w:rsid w:val="00CE7289"/>
    <w:rsid w:val="00CE7A77"/>
    <w:rsid w:val="00CE7FC5"/>
    <w:rsid w:val="00CF0428"/>
    <w:rsid w:val="00CF09DF"/>
    <w:rsid w:val="00CF0C6C"/>
    <w:rsid w:val="00CF0FAD"/>
    <w:rsid w:val="00CF15F5"/>
    <w:rsid w:val="00CF173F"/>
    <w:rsid w:val="00CF1760"/>
    <w:rsid w:val="00CF17FB"/>
    <w:rsid w:val="00CF233B"/>
    <w:rsid w:val="00CF27DE"/>
    <w:rsid w:val="00CF296F"/>
    <w:rsid w:val="00CF2DA5"/>
    <w:rsid w:val="00CF2DC1"/>
    <w:rsid w:val="00CF2EF3"/>
    <w:rsid w:val="00CF3075"/>
    <w:rsid w:val="00CF31E9"/>
    <w:rsid w:val="00CF320E"/>
    <w:rsid w:val="00CF364B"/>
    <w:rsid w:val="00CF387A"/>
    <w:rsid w:val="00CF3944"/>
    <w:rsid w:val="00CF3D6E"/>
    <w:rsid w:val="00CF3D98"/>
    <w:rsid w:val="00CF3FE3"/>
    <w:rsid w:val="00CF40F9"/>
    <w:rsid w:val="00CF42C1"/>
    <w:rsid w:val="00CF44D9"/>
    <w:rsid w:val="00CF48C6"/>
    <w:rsid w:val="00CF48DC"/>
    <w:rsid w:val="00CF4CAA"/>
    <w:rsid w:val="00CF4D2A"/>
    <w:rsid w:val="00CF5197"/>
    <w:rsid w:val="00CF51A5"/>
    <w:rsid w:val="00CF522B"/>
    <w:rsid w:val="00CF53FE"/>
    <w:rsid w:val="00CF554D"/>
    <w:rsid w:val="00CF570F"/>
    <w:rsid w:val="00CF57B9"/>
    <w:rsid w:val="00CF5A09"/>
    <w:rsid w:val="00CF5A2D"/>
    <w:rsid w:val="00CF5B57"/>
    <w:rsid w:val="00CF5DDD"/>
    <w:rsid w:val="00CF5FCA"/>
    <w:rsid w:val="00CF6119"/>
    <w:rsid w:val="00CF6144"/>
    <w:rsid w:val="00CF62DA"/>
    <w:rsid w:val="00CF64FE"/>
    <w:rsid w:val="00CF69EA"/>
    <w:rsid w:val="00CF6AC0"/>
    <w:rsid w:val="00CF6CC0"/>
    <w:rsid w:val="00CF6CF4"/>
    <w:rsid w:val="00CF6E78"/>
    <w:rsid w:val="00CF6F77"/>
    <w:rsid w:val="00CF7052"/>
    <w:rsid w:val="00CF7286"/>
    <w:rsid w:val="00CF73C3"/>
    <w:rsid w:val="00CF7622"/>
    <w:rsid w:val="00CF7A3D"/>
    <w:rsid w:val="00CF7B8D"/>
    <w:rsid w:val="00CF7BE1"/>
    <w:rsid w:val="00D00273"/>
    <w:rsid w:val="00D00394"/>
    <w:rsid w:val="00D006D8"/>
    <w:rsid w:val="00D00AF1"/>
    <w:rsid w:val="00D011BB"/>
    <w:rsid w:val="00D0136B"/>
    <w:rsid w:val="00D01604"/>
    <w:rsid w:val="00D01E4B"/>
    <w:rsid w:val="00D01E5D"/>
    <w:rsid w:val="00D01E8D"/>
    <w:rsid w:val="00D02156"/>
    <w:rsid w:val="00D02557"/>
    <w:rsid w:val="00D025B5"/>
    <w:rsid w:val="00D0260E"/>
    <w:rsid w:val="00D0282A"/>
    <w:rsid w:val="00D0289D"/>
    <w:rsid w:val="00D0290E"/>
    <w:rsid w:val="00D029F6"/>
    <w:rsid w:val="00D02C46"/>
    <w:rsid w:val="00D02CCC"/>
    <w:rsid w:val="00D03155"/>
    <w:rsid w:val="00D034EF"/>
    <w:rsid w:val="00D03B69"/>
    <w:rsid w:val="00D03C5B"/>
    <w:rsid w:val="00D04022"/>
    <w:rsid w:val="00D041E4"/>
    <w:rsid w:val="00D042B6"/>
    <w:rsid w:val="00D047CA"/>
    <w:rsid w:val="00D04B66"/>
    <w:rsid w:val="00D04DCA"/>
    <w:rsid w:val="00D04EF6"/>
    <w:rsid w:val="00D053C7"/>
    <w:rsid w:val="00D05530"/>
    <w:rsid w:val="00D05553"/>
    <w:rsid w:val="00D0565B"/>
    <w:rsid w:val="00D0567D"/>
    <w:rsid w:val="00D056BB"/>
    <w:rsid w:val="00D056FD"/>
    <w:rsid w:val="00D05AB7"/>
    <w:rsid w:val="00D05EEE"/>
    <w:rsid w:val="00D05FF9"/>
    <w:rsid w:val="00D06441"/>
    <w:rsid w:val="00D06660"/>
    <w:rsid w:val="00D0672D"/>
    <w:rsid w:val="00D06822"/>
    <w:rsid w:val="00D068AD"/>
    <w:rsid w:val="00D069E6"/>
    <w:rsid w:val="00D06B16"/>
    <w:rsid w:val="00D071F4"/>
    <w:rsid w:val="00D07711"/>
    <w:rsid w:val="00D07B6E"/>
    <w:rsid w:val="00D07B91"/>
    <w:rsid w:val="00D10318"/>
    <w:rsid w:val="00D10495"/>
    <w:rsid w:val="00D10679"/>
    <w:rsid w:val="00D10730"/>
    <w:rsid w:val="00D11332"/>
    <w:rsid w:val="00D11506"/>
    <w:rsid w:val="00D11783"/>
    <w:rsid w:val="00D11889"/>
    <w:rsid w:val="00D11A23"/>
    <w:rsid w:val="00D11BF9"/>
    <w:rsid w:val="00D11F85"/>
    <w:rsid w:val="00D12062"/>
    <w:rsid w:val="00D12198"/>
    <w:rsid w:val="00D121CA"/>
    <w:rsid w:val="00D1223B"/>
    <w:rsid w:val="00D122C8"/>
    <w:rsid w:val="00D122D6"/>
    <w:rsid w:val="00D123C4"/>
    <w:rsid w:val="00D1266B"/>
    <w:rsid w:val="00D127F0"/>
    <w:rsid w:val="00D12878"/>
    <w:rsid w:val="00D12896"/>
    <w:rsid w:val="00D12A75"/>
    <w:rsid w:val="00D12CB5"/>
    <w:rsid w:val="00D12F0C"/>
    <w:rsid w:val="00D12FFA"/>
    <w:rsid w:val="00D13A9F"/>
    <w:rsid w:val="00D13D90"/>
    <w:rsid w:val="00D144BB"/>
    <w:rsid w:val="00D148A6"/>
    <w:rsid w:val="00D14D60"/>
    <w:rsid w:val="00D14D7C"/>
    <w:rsid w:val="00D15155"/>
    <w:rsid w:val="00D152D2"/>
    <w:rsid w:val="00D153D2"/>
    <w:rsid w:val="00D1555E"/>
    <w:rsid w:val="00D156EA"/>
    <w:rsid w:val="00D15C4C"/>
    <w:rsid w:val="00D1615C"/>
    <w:rsid w:val="00D1623B"/>
    <w:rsid w:val="00D16318"/>
    <w:rsid w:val="00D16550"/>
    <w:rsid w:val="00D16826"/>
    <w:rsid w:val="00D16948"/>
    <w:rsid w:val="00D16C3F"/>
    <w:rsid w:val="00D16D85"/>
    <w:rsid w:val="00D17043"/>
    <w:rsid w:val="00D170BC"/>
    <w:rsid w:val="00D17498"/>
    <w:rsid w:val="00D174E7"/>
    <w:rsid w:val="00D17983"/>
    <w:rsid w:val="00D17A69"/>
    <w:rsid w:val="00D17B40"/>
    <w:rsid w:val="00D17CE5"/>
    <w:rsid w:val="00D17E48"/>
    <w:rsid w:val="00D17ECB"/>
    <w:rsid w:val="00D17F0A"/>
    <w:rsid w:val="00D20081"/>
    <w:rsid w:val="00D20419"/>
    <w:rsid w:val="00D20824"/>
    <w:rsid w:val="00D2097D"/>
    <w:rsid w:val="00D20A33"/>
    <w:rsid w:val="00D20E69"/>
    <w:rsid w:val="00D20FFA"/>
    <w:rsid w:val="00D2119D"/>
    <w:rsid w:val="00D211C5"/>
    <w:rsid w:val="00D212B6"/>
    <w:rsid w:val="00D21574"/>
    <w:rsid w:val="00D21617"/>
    <w:rsid w:val="00D21C5A"/>
    <w:rsid w:val="00D21E58"/>
    <w:rsid w:val="00D221C5"/>
    <w:rsid w:val="00D2264F"/>
    <w:rsid w:val="00D226C7"/>
    <w:rsid w:val="00D2277A"/>
    <w:rsid w:val="00D227DE"/>
    <w:rsid w:val="00D22879"/>
    <w:rsid w:val="00D229C3"/>
    <w:rsid w:val="00D22AB6"/>
    <w:rsid w:val="00D22AC6"/>
    <w:rsid w:val="00D22AFC"/>
    <w:rsid w:val="00D22BB2"/>
    <w:rsid w:val="00D2319C"/>
    <w:rsid w:val="00D231EB"/>
    <w:rsid w:val="00D232D3"/>
    <w:rsid w:val="00D23794"/>
    <w:rsid w:val="00D2390D"/>
    <w:rsid w:val="00D23ADD"/>
    <w:rsid w:val="00D240A0"/>
    <w:rsid w:val="00D248F6"/>
    <w:rsid w:val="00D24F56"/>
    <w:rsid w:val="00D25103"/>
    <w:rsid w:val="00D251DA"/>
    <w:rsid w:val="00D25217"/>
    <w:rsid w:val="00D25288"/>
    <w:rsid w:val="00D2529E"/>
    <w:rsid w:val="00D25335"/>
    <w:rsid w:val="00D253D1"/>
    <w:rsid w:val="00D254F9"/>
    <w:rsid w:val="00D256E2"/>
    <w:rsid w:val="00D25991"/>
    <w:rsid w:val="00D25AAC"/>
    <w:rsid w:val="00D25AF3"/>
    <w:rsid w:val="00D25C59"/>
    <w:rsid w:val="00D25EAE"/>
    <w:rsid w:val="00D25F61"/>
    <w:rsid w:val="00D26269"/>
    <w:rsid w:val="00D2689F"/>
    <w:rsid w:val="00D26946"/>
    <w:rsid w:val="00D26D28"/>
    <w:rsid w:val="00D26E0A"/>
    <w:rsid w:val="00D26FB8"/>
    <w:rsid w:val="00D27280"/>
    <w:rsid w:val="00D278B2"/>
    <w:rsid w:val="00D27C01"/>
    <w:rsid w:val="00D27DA1"/>
    <w:rsid w:val="00D27DEC"/>
    <w:rsid w:val="00D27EE3"/>
    <w:rsid w:val="00D3032B"/>
    <w:rsid w:val="00D3039D"/>
    <w:rsid w:val="00D305FB"/>
    <w:rsid w:val="00D30C42"/>
    <w:rsid w:val="00D30F76"/>
    <w:rsid w:val="00D310B7"/>
    <w:rsid w:val="00D314E9"/>
    <w:rsid w:val="00D31554"/>
    <w:rsid w:val="00D31585"/>
    <w:rsid w:val="00D31642"/>
    <w:rsid w:val="00D3167B"/>
    <w:rsid w:val="00D31C91"/>
    <w:rsid w:val="00D31CA3"/>
    <w:rsid w:val="00D32397"/>
    <w:rsid w:val="00D323FD"/>
    <w:rsid w:val="00D327C7"/>
    <w:rsid w:val="00D327F6"/>
    <w:rsid w:val="00D32AD9"/>
    <w:rsid w:val="00D32B8B"/>
    <w:rsid w:val="00D32C42"/>
    <w:rsid w:val="00D32D81"/>
    <w:rsid w:val="00D32FEF"/>
    <w:rsid w:val="00D334BA"/>
    <w:rsid w:val="00D33B88"/>
    <w:rsid w:val="00D33C7B"/>
    <w:rsid w:val="00D33E94"/>
    <w:rsid w:val="00D33F1B"/>
    <w:rsid w:val="00D3400A"/>
    <w:rsid w:val="00D34155"/>
    <w:rsid w:val="00D34184"/>
    <w:rsid w:val="00D342C6"/>
    <w:rsid w:val="00D3483B"/>
    <w:rsid w:val="00D349C9"/>
    <w:rsid w:val="00D34CC8"/>
    <w:rsid w:val="00D34DAC"/>
    <w:rsid w:val="00D34F2E"/>
    <w:rsid w:val="00D34F58"/>
    <w:rsid w:val="00D353C5"/>
    <w:rsid w:val="00D353D9"/>
    <w:rsid w:val="00D356CE"/>
    <w:rsid w:val="00D358D4"/>
    <w:rsid w:val="00D359A4"/>
    <w:rsid w:val="00D35E2A"/>
    <w:rsid w:val="00D35E63"/>
    <w:rsid w:val="00D3605B"/>
    <w:rsid w:val="00D3674B"/>
    <w:rsid w:val="00D36794"/>
    <w:rsid w:val="00D368DC"/>
    <w:rsid w:val="00D36A87"/>
    <w:rsid w:val="00D36F81"/>
    <w:rsid w:val="00D36FFA"/>
    <w:rsid w:val="00D370F0"/>
    <w:rsid w:val="00D372BD"/>
    <w:rsid w:val="00D37438"/>
    <w:rsid w:val="00D375C7"/>
    <w:rsid w:val="00D377E7"/>
    <w:rsid w:val="00D37CD1"/>
    <w:rsid w:val="00D37EA0"/>
    <w:rsid w:val="00D37EB3"/>
    <w:rsid w:val="00D40001"/>
    <w:rsid w:val="00D40363"/>
    <w:rsid w:val="00D403C7"/>
    <w:rsid w:val="00D405D3"/>
    <w:rsid w:val="00D407E9"/>
    <w:rsid w:val="00D40AD1"/>
    <w:rsid w:val="00D40B44"/>
    <w:rsid w:val="00D40F08"/>
    <w:rsid w:val="00D41430"/>
    <w:rsid w:val="00D4199F"/>
    <w:rsid w:val="00D419A8"/>
    <w:rsid w:val="00D41BDB"/>
    <w:rsid w:val="00D41C4C"/>
    <w:rsid w:val="00D421B4"/>
    <w:rsid w:val="00D42206"/>
    <w:rsid w:val="00D425C1"/>
    <w:rsid w:val="00D427E2"/>
    <w:rsid w:val="00D42B7C"/>
    <w:rsid w:val="00D42FC5"/>
    <w:rsid w:val="00D4305F"/>
    <w:rsid w:val="00D43371"/>
    <w:rsid w:val="00D43424"/>
    <w:rsid w:val="00D43888"/>
    <w:rsid w:val="00D43DD0"/>
    <w:rsid w:val="00D4400D"/>
    <w:rsid w:val="00D441AC"/>
    <w:rsid w:val="00D4460C"/>
    <w:rsid w:val="00D44786"/>
    <w:rsid w:val="00D44DA8"/>
    <w:rsid w:val="00D4518D"/>
    <w:rsid w:val="00D4522A"/>
    <w:rsid w:val="00D45279"/>
    <w:rsid w:val="00D4528D"/>
    <w:rsid w:val="00D45922"/>
    <w:rsid w:val="00D4597A"/>
    <w:rsid w:val="00D45E6A"/>
    <w:rsid w:val="00D45F76"/>
    <w:rsid w:val="00D46520"/>
    <w:rsid w:val="00D469F8"/>
    <w:rsid w:val="00D46A18"/>
    <w:rsid w:val="00D46A49"/>
    <w:rsid w:val="00D46B11"/>
    <w:rsid w:val="00D46F35"/>
    <w:rsid w:val="00D472DA"/>
    <w:rsid w:val="00D47360"/>
    <w:rsid w:val="00D474FC"/>
    <w:rsid w:val="00D47627"/>
    <w:rsid w:val="00D47629"/>
    <w:rsid w:val="00D47FB1"/>
    <w:rsid w:val="00D47FEE"/>
    <w:rsid w:val="00D5012B"/>
    <w:rsid w:val="00D505BE"/>
    <w:rsid w:val="00D50668"/>
    <w:rsid w:val="00D506CA"/>
    <w:rsid w:val="00D50728"/>
    <w:rsid w:val="00D50858"/>
    <w:rsid w:val="00D51206"/>
    <w:rsid w:val="00D51659"/>
    <w:rsid w:val="00D5196D"/>
    <w:rsid w:val="00D51BBB"/>
    <w:rsid w:val="00D51BF6"/>
    <w:rsid w:val="00D51D42"/>
    <w:rsid w:val="00D523F2"/>
    <w:rsid w:val="00D524FA"/>
    <w:rsid w:val="00D52EBA"/>
    <w:rsid w:val="00D52F05"/>
    <w:rsid w:val="00D5326A"/>
    <w:rsid w:val="00D538A9"/>
    <w:rsid w:val="00D538AC"/>
    <w:rsid w:val="00D53D5C"/>
    <w:rsid w:val="00D53D70"/>
    <w:rsid w:val="00D53EFA"/>
    <w:rsid w:val="00D54479"/>
    <w:rsid w:val="00D548EB"/>
    <w:rsid w:val="00D54958"/>
    <w:rsid w:val="00D54CDC"/>
    <w:rsid w:val="00D54DAF"/>
    <w:rsid w:val="00D54EF1"/>
    <w:rsid w:val="00D550A5"/>
    <w:rsid w:val="00D550FC"/>
    <w:rsid w:val="00D551AB"/>
    <w:rsid w:val="00D551F0"/>
    <w:rsid w:val="00D55397"/>
    <w:rsid w:val="00D5545D"/>
    <w:rsid w:val="00D55598"/>
    <w:rsid w:val="00D55953"/>
    <w:rsid w:val="00D55C6D"/>
    <w:rsid w:val="00D55D4D"/>
    <w:rsid w:val="00D5607A"/>
    <w:rsid w:val="00D56757"/>
    <w:rsid w:val="00D56758"/>
    <w:rsid w:val="00D56C56"/>
    <w:rsid w:val="00D56DB2"/>
    <w:rsid w:val="00D570A3"/>
    <w:rsid w:val="00D57131"/>
    <w:rsid w:val="00D577AF"/>
    <w:rsid w:val="00D57973"/>
    <w:rsid w:val="00D579D6"/>
    <w:rsid w:val="00D57A85"/>
    <w:rsid w:val="00D57DA4"/>
    <w:rsid w:val="00D57DA7"/>
    <w:rsid w:val="00D57DE1"/>
    <w:rsid w:val="00D57E0F"/>
    <w:rsid w:val="00D600B1"/>
    <w:rsid w:val="00D602BD"/>
    <w:rsid w:val="00D603DB"/>
    <w:rsid w:val="00D6052F"/>
    <w:rsid w:val="00D60741"/>
    <w:rsid w:val="00D609F9"/>
    <w:rsid w:val="00D60B94"/>
    <w:rsid w:val="00D60EDC"/>
    <w:rsid w:val="00D60F75"/>
    <w:rsid w:val="00D610F7"/>
    <w:rsid w:val="00D614FF"/>
    <w:rsid w:val="00D616A5"/>
    <w:rsid w:val="00D61726"/>
    <w:rsid w:val="00D61759"/>
    <w:rsid w:val="00D61838"/>
    <w:rsid w:val="00D6197F"/>
    <w:rsid w:val="00D61A5E"/>
    <w:rsid w:val="00D61F54"/>
    <w:rsid w:val="00D6259C"/>
    <w:rsid w:val="00D626C3"/>
    <w:rsid w:val="00D62992"/>
    <w:rsid w:val="00D62A85"/>
    <w:rsid w:val="00D62B54"/>
    <w:rsid w:val="00D62C29"/>
    <w:rsid w:val="00D62CED"/>
    <w:rsid w:val="00D6315C"/>
    <w:rsid w:val="00D631B2"/>
    <w:rsid w:val="00D63296"/>
    <w:rsid w:val="00D63484"/>
    <w:rsid w:val="00D63D15"/>
    <w:rsid w:val="00D63D1E"/>
    <w:rsid w:val="00D63EC6"/>
    <w:rsid w:val="00D63F5B"/>
    <w:rsid w:val="00D642B3"/>
    <w:rsid w:val="00D643EC"/>
    <w:rsid w:val="00D64402"/>
    <w:rsid w:val="00D64421"/>
    <w:rsid w:val="00D64458"/>
    <w:rsid w:val="00D64A33"/>
    <w:rsid w:val="00D64C8F"/>
    <w:rsid w:val="00D64F7D"/>
    <w:rsid w:val="00D65319"/>
    <w:rsid w:val="00D654B9"/>
    <w:rsid w:val="00D65611"/>
    <w:rsid w:val="00D65893"/>
    <w:rsid w:val="00D6598B"/>
    <w:rsid w:val="00D65A84"/>
    <w:rsid w:val="00D65B3A"/>
    <w:rsid w:val="00D65B52"/>
    <w:rsid w:val="00D65BFD"/>
    <w:rsid w:val="00D65C47"/>
    <w:rsid w:val="00D6610D"/>
    <w:rsid w:val="00D663B7"/>
    <w:rsid w:val="00D663FD"/>
    <w:rsid w:val="00D66427"/>
    <w:rsid w:val="00D664CF"/>
    <w:rsid w:val="00D66768"/>
    <w:rsid w:val="00D668A8"/>
    <w:rsid w:val="00D66B4D"/>
    <w:rsid w:val="00D66E5B"/>
    <w:rsid w:val="00D66F73"/>
    <w:rsid w:val="00D66F93"/>
    <w:rsid w:val="00D674C7"/>
    <w:rsid w:val="00D67689"/>
    <w:rsid w:val="00D67B26"/>
    <w:rsid w:val="00D67C5D"/>
    <w:rsid w:val="00D70142"/>
    <w:rsid w:val="00D7035F"/>
    <w:rsid w:val="00D705D6"/>
    <w:rsid w:val="00D70910"/>
    <w:rsid w:val="00D70A4F"/>
    <w:rsid w:val="00D711CA"/>
    <w:rsid w:val="00D71627"/>
    <w:rsid w:val="00D717D9"/>
    <w:rsid w:val="00D71A17"/>
    <w:rsid w:val="00D71B9E"/>
    <w:rsid w:val="00D71F82"/>
    <w:rsid w:val="00D721C0"/>
    <w:rsid w:val="00D723B2"/>
    <w:rsid w:val="00D7264A"/>
    <w:rsid w:val="00D726CC"/>
    <w:rsid w:val="00D726EF"/>
    <w:rsid w:val="00D72959"/>
    <w:rsid w:val="00D72982"/>
    <w:rsid w:val="00D730B6"/>
    <w:rsid w:val="00D7316F"/>
    <w:rsid w:val="00D73513"/>
    <w:rsid w:val="00D73599"/>
    <w:rsid w:val="00D736EB"/>
    <w:rsid w:val="00D7404F"/>
    <w:rsid w:val="00D7440A"/>
    <w:rsid w:val="00D746AE"/>
    <w:rsid w:val="00D7477E"/>
    <w:rsid w:val="00D749C2"/>
    <w:rsid w:val="00D749D7"/>
    <w:rsid w:val="00D74A81"/>
    <w:rsid w:val="00D74AB2"/>
    <w:rsid w:val="00D74CD0"/>
    <w:rsid w:val="00D74DA1"/>
    <w:rsid w:val="00D75266"/>
    <w:rsid w:val="00D7539F"/>
    <w:rsid w:val="00D75979"/>
    <w:rsid w:val="00D75C9C"/>
    <w:rsid w:val="00D75D6F"/>
    <w:rsid w:val="00D76011"/>
    <w:rsid w:val="00D762C1"/>
    <w:rsid w:val="00D76421"/>
    <w:rsid w:val="00D76A05"/>
    <w:rsid w:val="00D76A22"/>
    <w:rsid w:val="00D76A63"/>
    <w:rsid w:val="00D76CCE"/>
    <w:rsid w:val="00D77120"/>
    <w:rsid w:val="00D776F9"/>
    <w:rsid w:val="00D778E2"/>
    <w:rsid w:val="00D7799E"/>
    <w:rsid w:val="00D77C8A"/>
    <w:rsid w:val="00D77D06"/>
    <w:rsid w:val="00D77DA4"/>
    <w:rsid w:val="00D77E3E"/>
    <w:rsid w:val="00D77E9A"/>
    <w:rsid w:val="00D801F3"/>
    <w:rsid w:val="00D803F2"/>
    <w:rsid w:val="00D80516"/>
    <w:rsid w:val="00D805B0"/>
    <w:rsid w:val="00D80763"/>
    <w:rsid w:val="00D807A6"/>
    <w:rsid w:val="00D80AA0"/>
    <w:rsid w:val="00D80B38"/>
    <w:rsid w:val="00D80C52"/>
    <w:rsid w:val="00D80CCB"/>
    <w:rsid w:val="00D80E34"/>
    <w:rsid w:val="00D811CC"/>
    <w:rsid w:val="00D81250"/>
    <w:rsid w:val="00D81315"/>
    <w:rsid w:val="00D817E0"/>
    <w:rsid w:val="00D81CEB"/>
    <w:rsid w:val="00D81F91"/>
    <w:rsid w:val="00D82623"/>
    <w:rsid w:val="00D82B19"/>
    <w:rsid w:val="00D82C81"/>
    <w:rsid w:val="00D82C92"/>
    <w:rsid w:val="00D82F74"/>
    <w:rsid w:val="00D83148"/>
    <w:rsid w:val="00D83AD2"/>
    <w:rsid w:val="00D83FC0"/>
    <w:rsid w:val="00D8495F"/>
    <w:rsid w:val="00D84D42"/>
    <w:rsid w:val="00D84F61"/>
    <w:rsid w:val="00D852BE"/>
    <w:rsid w:val="00D85770"/>
    <w:rsid w:val="00D8586C"/>
    <w:rsid w:val="00D85900"/>
    <w:rsid w:val="00D859D1"/>
    <w:rsid w:val="00D85A03"/>
    <w:rsid w:val="00D85A2A"/>
    <w:rsid w:val="00D85BA5"/>
    <w:rsid w:val="00D85D61"/>
    <w:rsid w:val="00D85FB4"/>
    <w:rsid w:val="00D8648F"/>
    <w:rsid w:val="00D86501"/>
    <w:rsid w:val="00D86521"/>
    <w:rsid w:val="00D867DB"/>
    <w:rsid w:val="00D872DB"/>
    <w:rsid w:val="00D87385"/>
    <w:rsid w:val="00D8774B"/>
    <w:rsid w:val="00D87D45"/>
    <w:rsid w:val="00D87FC2"/>
    <w:rsid w:val="00D90079"/>
    <w:rsid w:val="00D90088"/>
    <w:rsid w:val="00D902B9"/>
    <w:rsid w:val="00D904B4"/>
    <w:rsid w:val="00D9082E"/>
    <w:rsid w:val="00D908BB"/>
    <w:rsid w:val="00D90ACC"/>
    <w:rsid w:val="00D91072"/>
    <w:rsid w:val="00D911E2"/>
    <w:rsid w:val="00D913CD"/>
    <w:rsid w:val="00D9206B"/>
    <w:rsid w:val="00D920A5"/>
    <w:rsid w:val="00D924C3"/>
    <w:rsid w:val="00D926BE"/>
    <w:rsid w:val="00D92976"/>
    <w:rsid w:val="00D92C35"/>
    <w:rsid w:val="00D92FAE"/>
    <w:rsid w:val="00D931ED"/>
    <w:rsid w:val="00D9366B"/>
    <w:rsid w:val="00D936B7"/>
    <w:rsid w:val="00D93871"/>
    <w:rsid w:val="00D93923"/>
    <w:rsid w:val="00D9392D"/>
    <w:rsid w:val="00D939F6"/>
    <w:rsid w:val="00D93B49"/>
    <w:rsid w:val="00D93C6D"/>
    <w:rsid w:val="00D9452F"/>
    <w:rsid w:val="00D94950"/>
    <w:rsid w:val="00D94BA6"/>
    <w:rsid w:val="00D94C84"/>
    <w:rsid w:val="00D94DE0"/>
    <w:rsid w:val="00D94EB0"/>
    <w:rsid w:val="00D951C7"/>
    <w:rsid w:val="00D9545D"/>
    <w:rsid w:val="00D956E8"/>
    <w:rsid w:val="00D95754"/>
    <w:rsid w:val="00D964BF"/>
    <w:rsid w:val="00D966AA"/>
    <w:rsid w:val="00D96900"/>
    <w:rsid w:val="00D9693B"/>
    <w:rsid w:val="00D9694E"/>
    <w:rsid w:val="00D96B27"/>
    <w:rsid w:val="00D96BFF"/>
    <w:rsid w:val="00D96D77"/>
    <w:rsid w:val="00D97121"/>
    <w:rsid w:val="00D975BD"/>
    <w:rsid w:val="00D9794F"/>
    <w:rsid w:val="00D97B3F"/>
    <w:rsid w:val="00D97C17"/>
    <w:rsid w:val="00D97CE4"/>
    <w:rsid w:val="00D97F27"/>
    <w:rsid w:val="00DA0345"/>
    <w:rsid w:val="00DA03FF"/>
    <w:rsid w:val="00DA04CB"/>
    <w:rsid w:val="00DA0B3E"/>
    <w:rsid w:val="00DA0DF1"/>
    <w:rsid w:val="00DA168E"/>
    <w:rsid w:val="00DA171D"/>
    <w:rsid w:val="00DA1873"/>
    <w:rsid w:val="00DA1B8F"/>
    <w:rsid w:val="00DA1C4A"/>
    <w:rsid w:val="00DA1D31"/>
    <w:rsid w:val="00DA1D3A"/>
    <w:rsid w:val="00DA1D53"/>
    <w:rsid w:val="00DA1F63"/>
    <w:rsid w:val="00DA20E9"/>
    <w:rsid w:val="00DA219A"/>
    <w:rsid w:val="00DA21B6"/>
    <w:rsid w:val="00DA294B"/>
    <w:rsid w:val="00DA2ADE"/>
    <w:rsid w:val="00DA2C86"/>
    <w:rsid w:val="00DA2DF6"/>
    <w:rsid w:val="00DA2DFC"/>
    <w:rsid w:val="00DA2E67"/>
    <w:rsid w:val="00DA2EBD"/>
    <w:rsid w:val="00DA3272"/>
    <w:rsid w:val="00DA3393"/>
    <w:rsid w:val="00DA34C2"/>
    <w:rsid w:val="00DA34C3"/>
    <w:rsid w:val="00DA3A21"/>
    <w:rsid w:val="00DA3B92"/>
    <w:rsid w:val="00DA3E4C"/>
    <w:rsid w:val="00DA453E"/>
    <w:rsid w:val="00DA4676"/>
    <w:rsid w:val="00DA4C1F"/>
    <w:rsid w:val="00DA4C4C"/>
    <w:rsid w:val="00DA4CAB"/>
    <w:rsid w:val="00DA4DB1"/>
    <w:rsid w:val="00DA4DB5"/>
    <w:rsid w:val="00DA51B8"/>
    <w:rsid w:val="00DA526C"/>
    <w:rsid w:val="00DA53FE"/>
    <w:rsid w:val="00DA5529"/>
    <w:rsid w:val="00DA5775"/>
    <w:rsid w:val="00DA57EB"/>
    <w:rsid w:val="00DA582A"/>
    <w:rsid w:val="00DA5C6D"/>
    <w:rsid w:val="00DA5CCF"/>
    <w:rsid w:val="00DA5D24"/>
    <w:rsid w:val="00DA5D71"/>
    <w:rsid w:val="00DA602C"/>
    <w:rsid w:val="00DA6248"/>
    <w:rsid w:val="00DA6378"/>
    <w:rsid w:val="00DA638C"/>
    <w:rsid w:val="00DA6403"/>
    <w:rsid w:val="00DA6885"/>
    <w:rsid w:val="00DA6A1B"/>
    <w:rsid w:val="00DA6D0E"/>
    <w:rsid w:val="00DA6E81"/>
    <w:rsid w:val="00DA6F55"/>
    <w:rsid w:val="00DA7022"/>
    <w:rsid w:val="00DA7079"/>
    <w:rsid w:val="00DA7196"/>
    <w:rsid w:val="00DA71DC"/>
    <w:rsid w:val="00DA75BB"/>
    <w:rsid w:val="00DA77FB"/>
    <w:rsid w:val="00DA781D"/>
    <w:rsid w:val="00DA7A5E"/>
    <w:rsid w:val="00DA7D04"/>
    <w:rsid w:val="00DA7E54"/>
    <w:rsid w:val="00DA7E91"/>
    <w:rsid w:val="00DA7EC2"/>
    <w:rsid w:val="00DB0171"/>
    <w:rsid w:val="00DB0173"/>
    <w:rsid w:val="00DB0201"/>
    <w:rsid w:val="00DB025D"/>
    <w:rsid w:val="00DB0415"/>
    <w:rsid w:val="00DB0590"/>
    <w:rsid w:val="00DB060F"/>
    <w:rsid w:val="00DB08C8"/>
    <w:rsid w:val="00DB093D"/>
    <w:rsid w:val="00DB0A8E"/>
    <w:rsid w:val="00DB0B94"/>
    <w:rsid w:val="00DB0BEC"/>
    <w:rsid w:val="00DB0C33"/>
    <w:rsid w:val="00DB0E19"/>
    <w:rsid w:val="00DB0E68"/>
    <w:rsid w:val="00DB1365"/>
    <w:rsid w:val="00DB13AF"/>
    <w:rsid w:val="00DB14E5"/>
    <w:rsid w:val="00DB1510"/>
    <w:rsid w:val="00DB1745"/>
    <w:rsid w:val="00DB1AA8"/>
    <w:rsid w:val="00DB1C27"/>
    <w:rsid w:val="00DB1CBF"/>
    <w:rsid w:val="00DB2174"/>
    <w:rsid w:val="00DB2208"/>
    <w:rsid w:val="00DB2217"/>
    <w:rsid w:val="00DB2639"/>
    <w:rsid w:val="00DB2949"/>
    <w:rsid w:val="00DB2C27"/>
    <w:rsid w:val="00DB2EA4"/>
    <w:rsid w:val="00DB2F23"/>
    <w:rsid w:val="00DB300C"/>
    <w:rsid w:val="00DB309D"/>
    <w:rsid w:val="00DB3174"/>
    <w:rsid w:val="00DB318E"/>
    <w:rsid w:val="00DB3588"/>
    <w:rsid w:val="00DB360B"/>
    <w:rsid w:val="00DB388C"/>
    <w:rsid w:val="00DB38B0"/>
    <w:rsid w:val="00DB3DCB"/>
    <w:rsid w:val="00DB3F1A"/>
    <w:rsid w:val="00DB403E"/>
    <w:rsid w:val="00DB457D"/>
    <w:rsid w:val="00DB45FB"/>
    <w:rsid w:val="00DB4683"/>
    <w:rsid w:val="00DB46A0"/>
    <w:rsid w:val="00DB48F2"/>
    <w:rsid w:val="00DB4ADF"/>
    <w:rsid w:val="00DB4D54"/>
    <w:rsid w:val="00DB51E0"/>
    <w:rsid w:val="00DB545D"/>
    <w:rsid w:val="00DB55C2"/>
    <w:rsid w:val="00DB5EA0"/>
    <w:rsid w:val="00DB5F40"/>
    <w:rsid w:val="00DB5FEB"/>
    <w:rsid w:val="00DB61F2"/>
    <w:rsid w:val="00DB6358"/>
    <w:rsid w:val="00DB65AA"/>
    <w:rsid w:val="00DB6994"/>
    <w:rsid w:val="00DB6AC8"/>
    <w:rsid w:val="00DB6B40"/>
    <w:rsid w:val="00DB6DB2"/>
    <w:rsid w:val="00DB6EEC"/>
    <w:rsid w:val="00DB6F89"/>
    <w:rsid w:val="00DB70A2"/>
    <w:rsid w:val="00DB7367"/>
    <w:rsid w:val="00DB73E5"/>
    <w:rsid w:val="00DB772A"/>
    <w:rsid w:val="00DB7876"/>
    <w:rsid w:val="00DB7B66"/>
    <w:rsid w:val="00DB7E48"/>
    <w:rsid w:val="00DC0483"/>
    <w:rsid w:val="00DC05C9"/>
    <w:rsid w:val="00DC0794"/>
    <w:rsid w:val="00DC09AA"/>
    <w:rsid w:val="00DC0A4C"/>
    <w:rsid w:val="00DC0ADE"/>
    <w:rsid w:val="00DC0CD9"/>
    <w:rsid w:val="00DC0D1A"/>
    <w:rsid w:val="00DC0E2D"/>
    <w:rsid w:val="00DC0F3C"/>
    <w:rsid w:val="00DC1275"/>
    <w:rsid w:val="00DC12DD"/>
    <w:rsid w:val="00DC143D"/>
    <w:rsid w:val="00DC1A96"/>
    <w:rsid w:val="00DC1B70"/>
    <w:rsid w:val="00DC1C60"/>
    <w:rsid w:val="00DC1C6F"/>
    <w:rsid w:val="00DC204A"/>
    <w:rsid w:val="00DC2157"/>
    <w:rsid w:val="00DC245A"/>
    <w:rsid w:val="00DC287C"/>
    <w:rsid w:val="00DC2A24"/>
    <w:rsid w:val="00DC2ABB"/>
    <w:rsid w:val="00DC30E3"/>
    <w:rsid w:val="00DC3216"/>
    <w:rsid w:val="00DC33F1"/>
    <w:rsid w:val="00DC36AD"/>
    <w:rsid w:val="00DC3D2D"/>
    <w:rsid w:val="00DC3E83"/>
    <w:rsid w:val="00DC3E9C"/>
    <w:rsid w:val="00DC3EBC"/>
    <w:rsid w:val="00DC41D5"/>
    <w:rsid w:val="00DC4238"/>
    <w:rsid w:val="00DC4446"/>
    <w:rsid w:val="00DC4463"/>
    <w:rsid w:val="00DC4492"/>
    <w:rsid w:val="00DC451D"/>
    <w:rsid w:val="00DC47E3"/>
    <w:rsid w:val="00DC4D45"/>
    <w:rsid w:val="00DC4DEF"/>
    <w:rsid w:val="00DC5203"/>
    <w:rsid w:val="00DC5242"/>
    <w:rsid w:val="00DC541C"/>
    <w:rsid w:val="00DC5431"/>
    <w:rsid w:val="00DC57C6"/>
    <w:rsid w:val="00DC5897"/>
    <w:rsid w:val="00DC591E"/>
    <w:rsid w:val="00DC5A6B"/>
    <w:rsid w:val="00DC5D51"/>
    <w:rsid w:val="00DC6177"/>
    <w:rsid w:val="00DC61EB"/>
    <w:rsid w:val="00DC656C"/>
    <w:rsid w:val="00DC661C"/>
    <w:rsid w:val="00DC6966"/>
    <w:rsid w:val="00DC6977"/>
    <w:rsid w:val="00DC69B8"/>
    <w:rsid w:val="00DC7199"/>
    <w:rsid w:val="00DC71E8"/>
    <w:rsid w:val="00DC7313"/>
    <w:rsid w:val="00DC745B"/>
    <w:rsid w:val="00DC7572"/>
    <w:rsid w:val="00DC75FA"/>
    <w:rsid w:val="00DC78F4"/>
    <w:rsid w:val="00DC7BB0"/>
    <w:rsid w:val="00DC7D27"/>
    <w:rsid w:val="00DD007A"/>
    <w:rsid w:val="00DD0428"/>
    <w:rsid w:val="00DD04FA"/>
    <w:rsid w:val="00DD0AB0"/>
    <w:rsid w:val="00DD0C79"/>
    <w:rsid w:val="00DD0D25"/>
    <w:rsid w:val="00DD0F8C"/>
    <w:rsid w:val="00DD114E"/>
    <w:rsid w:val="00DD1D31"/>
    <w:rsid w:val="00DD1FDA"/>
    <w:rsid w:val="00DD2079"/>
    <w:rsid w:val="00DD212D"/>
    <w:rsid w:val="00DD237C"/>
    <w:rsid w:val="00DD264E"/>
    <w:rsid w:val="00DD2DDA"/>
    <w:rsid w:val="00DD2EBD"/>
    <w:rsid w:val="00DD2EF4"/>
    <w:rsid w:val="00DD322C"/>
    <w:rsid w:val="00DD33DB"/>
    <w:rsid w:val="00DD35ED"/>
    <w:rsid w:val="00DD3CD3"/>
    <w:rsid w:val="00DD3D60"/>
    <w:rsid w:val="00DD3D8C"/>
    <w:rsid w:val="00DD437F"/>
    <w:rsid w:val="00DD43FA"/>
    <w:rsid w:val="00DD4563"/>
    <w:rsid w:val="00DD486A"/>
    <w:rsid w:val="00DD4A83"/>
    <w:rsid w:val="00DD4ED7"/>
    <w:rsid w:val="00DD529F"/>
    <w:rsid w:val="00DD55CC"/>
    <w:rsid w:val="00DD59A4"/>
    <w:rsid w:val="00DD5B64"/>
    <w:rsid w:val="00DD5F49"/>
    <w:rsid w:val="00DD5FA3"/>
    <w:rsid w:val="00DD63CC"/>
    <w:rsid w:val="00DD66FA"/>
    <w:rsid w:val="00DD6793"/>
    <w:rsid w:val="00DD67EE"/>
    <w:rsid w:val="00DD6907"/>
    <w:rsid w:val="00DD6B0E"/>
    <w:rsid w:val="00DD6B7D"/>
    <w:rsid w:val="00DD6BFD"/>
    <w:rsid w:val="00DD6C14"/>
    <w:rsid w:val="00DD6C1D"/>
    <w:rsid w:val="00DD6C55"/>
    <w:rsid w:val="00DD6C82"/>
    <w:rsid w:val="00DD6E7E"/>
    <w:rsid w:val="00DD6E85"/>
    <w:rsid w:val="00DD6FE5"/>
    <w:rsid w:val="00DD714F"/>
    <w:rsid w:val="00DD78ED"/>
    <w:rsid w:val="00DD791E"/>
    <w:rsid w:val="00DD7B0A"/>
    <w:rsid w:val="00DD7D7E"/>
    <w:rsid w:val="00DE0109"/>
    <w:rsid w:val="00DE01CA"/>
    <w:rsid w:val="00DE021E"/>
    <w:rsid w:val="00DE02DE"/>
    <w:rsid w:val="00DE058B"/>
    <w:rsid w:val="00DE05C4"/>
    <w:rsid w:val="00DE0B43"/>
    <w:rsid w:val="00DE0F34"/>
    <w:rsid w:val="00DE1030"/>
    <w:rsid w:val="00DE1243"/>
    <w:rsid w:val="00DE166A"/>
    <w:rsid w:val="00DE16F0"/>
    <w:rsid w:val="00DE18E4"/>
    <w:rsid w:val="00DE18F2"/>
    <w:rsid w:val="00DE190F"/>
    <w:rsid w:val="00DE19CB"/>
    <w:rsid w:val="00DE1B04"/>
    <w:rsid w:val="00DE1F30"/>
    <w:rsid w:val="00DE2277"/>
    <w:rsid w:val="00DE2704"/>
    <w:rsid w:val="00DE2A7A"/>
    <w:rsid w:val="00DE2B0A"/>
    <w:rsid w:val="00DE303B"/>
    <w:rsid w:val="00DE3502"/>
    <w:rsid w:val="00DE35AC"/>
    <w:rsid w:val="00DE3640"/>
    <w:rsid w:val="00DE36E2"/>
    <w:rsid w:val="00DE37AF"/>
    <w:rsid w:val="00DE39A5"/>
    <w:rsid w:val="00DE4594"/>
    <w:rsid w:val="00DE45FC"/>
    <w:rsid w:val="00DE476F"/>
    <w:rsid w:val="00DE48DE"/>
    <w:rsid w:val="00DE4C9D"/>
    <w:rsid w:val="00DE4D73"/>
    <w:rsid w:val="00DE4FA3"/>
    <w:rsid w:val="00DE4FC9"/>
    <w:rsid w:val="00DE5116"/>
    <w:rsid w:val="00DE5447"/>
    <w:rsid w:val="00DE5859"/>
    <w:rsid w:val="00DE59DC"/>
    <w:rsid w:val="00DE5BA7"/>
    <w:rsid w:val="00DE5BEE"/>
    <w:rsid w:val="00DE60A0"/>
    <w:rsid w:val="00DE6B44"/>
    <w:rsid w:val="00DE6DD0"/>
    <w:rsid w:val="00DE6F2C"/>
    <w:rsid w:val="00DE7036"/>
    <w:rsid w:val="00DE70AE"/>
    <w:rsid w:val="00DE7157"/>
    <w:rsid w:val="00DE74B6"/>
    <w:rsid w:val="00DE786F"/>
    <w:rsid w:val="00DE7BAD"/>
    <w:rsid w:val="00DE7C61"/>
    <w:rsid w:val="00DF05C9"/>
    <w:rsid w:val="00DF083C"/>
    <w:rsid w:val="00DF0E7A"/>
    <w:rsid w:val="00DF0FD6"/>
    <w:rsid w:val="00DF10A0"/>
    <w:rsid w:val="00DF1144"/>
    <w:rsid w:val="00DF128C"/>
    <w:rsid w:val="00DF14CD"/>
    <w:rsid w:val="00DF1501"/>
    <w:rsid w:val="00DF1720"/>
    <w:rsid w:val="00DF18DA"/>
    <w:rsid w:val="00DF1D6B"/>
    <w:rsid w:val="00DF1DB7"/>
    <w:rsid w:val="00DF1F7F"/>
    <w:rsid w:val="00DF204B"/>
    <w:rsid w:val="00DF20B3"/>
    <w:rsid w:val="00DF20E8"/>
    <w:rsid w:val="00DF2343"/>
    <w:rsid w:val="00DF23D0"/>
    <w:rsid w:val="00DF24AD"/>
    <w:rsid w:val="00DF27E2"/>
    <w:rsid w:val="00DF2957"/>
    <w:rsid w:val="00DF29B5"/>
    <w:rsid w:val="00DF2ADE"/>
    <w:rsid w:val="00DF2D61"/>
    <w:rsid w:val="00DF2EF5"/>
    <w:rsid w:val="00DF31CA"/>
    <w:rsid w:val="00DF37F0"/>
    <w:rsid w:val="00DF3879"/>
    <w:rsid w:val="00DF3B75"/>
    <w:rsid w:val="00DF3D84"/>
    <w:rsid w:val="00DF4112"/>
    <w:rsid w:val="00DF444E"/>
    <w:rsid w:val="00DF483A"/>
    <w:rsid w:val="00DF4883"/>
    <w:rsid w:val="00DF4937"/>
    <w:rsid w:val="00DF4E24"/>
    <w:rsid w:val="00DF5140"/>
    <w:rsid w:val="00DF51BA"/>
    <w:rsid w:val="00DF51CA"/>
    <w:rsid w:val="00DF5687"/>
    <w:rsid w:val="00DF572D"/>
    <w:rsid w:val="00DF57BC"/>
    <w:rsid w:val="00DF5A15"/>
    <w:rsid w:val="00DF5A5A"/>
    <w:rsid w:val="00DF5C95"/>
    <w:rsid w:val="00DF5CBA"/>
    <w:rsid w:val="00DF5EAB"/>
    <w:rsid w:val="00DF60EE"/>
    <w:rsid w:val="00DF643C"/>
    <w:rsid w:val="00DF65B0"/>
    <w:rsid w:val="00DF677A"/>
    <w:rsid w:val="00DF6A33"/>
    <w:rsid w:val="00DF6B25"/>
    <w:rsid w:val="00DF6B76"/>
    <w:rsid w:val="00DF6BAE"/>
    <w:rsid w:val="00DF7104"/>
    <w:rsid w:val="00DF735B"/>
    <w:rsid w:val="00DF7677"/>
    <w:rsid w:val="00DF7732"/>
    <w:rsid w:val="00DF7CF3"/>
    <w:rsid w:val="00DF7E4C"/>
    <w:rsid w:val="00DF7F0A"/>
    <w:rsid w:val="00E000C2"/>
    <w:rsid w:val="00E00136"/>
    <w:rsid w:val="00E00303"/>
    <w:rsid w:val="00E00979"/>
    <w:rsid w:val="00E00D08"/>
    <w:rsid w:val="00E01021"/>
    <w:rsid w:val="00E010DD"/>
    <w:rsid w:val="00E012CD"/>
    <w:rsid w:val="00E01470"/>
    <w:rsid w:val="00E0177B"/>
    <w:rsid w:val="00E01819"/>
    <w:rsid w:val="00E01B19"/>
    <w:rsid w:val="00E01B59"/>
    <w:rsid w:val="00E01D12"/>
    <w:rsid w:val="00E01E12"/>
    <w:rsid w:val="00E02057"/>
    <w:rsid w:val="00E0227F"/>
    <w:rsid w:val="00E0263D"/>
    <w:rsid w:val="00E029D2"/>
    <w:rsid w:val="00E02BD2"/>
    <w:rsid w:val="00E033B2"/>
    <w:rsid w:val="00E033FF"/>
    <w:rsid w:val="00E0344C"/>
    <w:rsid w:val="00E0346B"/>
    <w:rsid w:val="00E03AAF"/>
    <w:rsid w:val="00E03BA7"/>
    <w:rsid w:val="00E03C58"/>
    <w:rsid w:val="00E03EE2"/>
    <w:rsid w:val="00E03FBE"/>
    <w:rsid w:val="00E0416C"/>
    <w:rsid w:val="00E0425D"/>
    <w:rsid w:val="00E04618"/>
    <w:rsid w:val="00E04CFE"/>
    <w:rsid w:val="00E04D2E"/>
    <w:rsid w:val="00E04F14"/>
    <w:rsid w:val="00E04F5D"/>
    <w:rsid w:val="00E05218"/>
    <w:rsid w:val="00E057AF"/>
    <w:rsid w:val="00E057C1"/>
    <w:rsid w:val="00E05998"/>
    <w:rsid w:val="00E05D8E"/>
    <w:rsid w:val="00E05E7E"/>
    <w:rsid w:val="00E05EE8"/>
    <w:rsid w:val="00E06011"/>
    <w:rsid w:val="00E06076"/>
    <w:rsid w:val="00E06436"/>
    <w:rsid w:val="00E065A5"/>
    <w:rsid w:val="00E066C0"/>
    <w:rsid w:val="00E06DDB"/>
    <w:rsid w:val="00E06F84"/>
    <w:rsid w:val="00E06FC1"/>
    <w:rsid w:val="00E074AF"/>
    <w:rsid w:val="00E074E8"/>
    <w:rsid w:val="00E07804"/>
    <w:rsid w:val="00E07C62"/>
    <w:rsid w:val="00E07F54"/>
    <w:rsid w:val="00E07F9E"/>
    <w:rsid w:val="00E1010F"/>
    <w:rsid w:val="00E104E4"/>
    <w:rsid w:val="00E1059E"/>
    <w:rsid w:val="00E1066F"/>
    <w:rsid w:val="00E10B8E"/>
    <w:rsid w:val="00E10BC6"/>
    <w:rsid w:val="00E10E34"/>
    <w:rsid w:val="00E10E38"/>
    <w:rsid w:val="00E11189"/>
    <w:rsid w:val="00E114ED"/>
    <w:rsid w:val="00E11661"/>
    <w:rsid w:val="00E11A1F"/>
    <w:rsid w:val="00E11A8B"/>
    <w:rsid w:val="00E11BAB"/>
    <w:rsid w:val="00E11BBB"/>
    <w:rsid w:val="00E11C57"/>
    <w:rsid w:val="00E12063"/>
    <w:rsid w:val="00E12139"/>
    <w:rsid w:val="00E122DA"/>
    <w:rsid w:val="00E12537"/>
    <w:rsid w:val="00E1253B"/>
    <w:rsid w:val="00E1253E"/>
    <w:rsid w:val="00E126D5"/>
    <w:rsid w:val="00E127D8"/>
    <w:rsid w:val="00E12842"/>
    <w:rsid w:val="00E129D8"/>
    <w:rsid w:val="00E12C20"/>
    <w:rsid w:val="00E12DC4"/>
    <w:rsid w:val="00E12E2C"/>
    <w:rsid w:val="00E12EA5"/>
    <w:rsid w:val="00E13310"/>
    <w:rsid w:val="00E133D9"/>
    <w:rsid w:val="00E13499"/>
    <w:rsid w:val="00E1365F"/>
    <w:rsid w:val="00E1389D"/>
    <w:rsid w:val="00E139CA"/>
    <w:rsid w:val="00E139F8"/>
    <w:rsid w:val="00E13A9E"/>
    <w:rsid w:val="00E13B21"/>
    <w:rsid w:val="00E13DF4"/>
    <w:rsid w:val="00E13FB9"/>
    <w:rsid w:val="00E13FD6"/>
    <w:rsid w:val="00E1428D"/>
    <w:rsid w:val="00E14586"/>
    <w:rsid w:val="00E14670"/>
    <w:rsid w:val="00E1482C"/>
    <w:rsid w:val="00E14834"/>
    <w:rsid w:val="00E14ABF"/>
    <w:rsid w:val="00E14E80"/>
    <w:rsid w:val="00E14EE4"/>
    <w:rsid w:val="00E15165"/>
    <w:rsid w:val="00E153C0"/>
    <w:rsid w:val="00E15664"/>
    <w:rsid w:val="00E15861"/>
    <w:rsid w:val="00E15877"/>
    <w:rsid w:val="00E158CC"/>
    <w:rsid w:val="00E15B94"/>
    <w:rsid w:val="00E15BE7"/>
    <w:rsid w:val="00E15D31"/>
    <w:rsid w:val="00E1608D"/>
    <w:rsid w:val="00E162F3"/>
    <w:rsid w:val="00E16388"/>
    <w:rsid w:val="00E16542"/>
    <w:rsid w:val="00E166CF"/>
    <w:rsid w:val="00E16C6F"/>
    <w:rsid w:val="00E16F7F"/>
    <w:rsid w:val="00E170F4"/>
    <w:rsid w:val="00E17154"/>
    <w:rsid w:val="00E176F5"/>
    <w:rsid w:val="00E17BF9"/>
    <w:rsid w:val="00E17F3A"/>
    <w:rsid w:val="00E2015A"/>
    <w:rsid w:val="00E2030D"/>
    <w:rsid w:val="00E20561"/>
    <w:rsid w:val="00E207D6"/>
    <w:rsid w:val="00E2093D"/>
    <w:rsid w:val="00E20A46"/>
    <w:rsid w:val="00E20E98"/>
    <w:rsid w:val="00E20FF6"/>
    <w:rsid w:val="00E21425"/>
    <w:rsid w:val="00E21885"/>
    <w:rsid w:val="00E2198A"/>
    <w:rsid w:val="00E21A1E"/>
    <w:rsid w:val="00E21A8A"/>
    <w:rsid w:val="00E21C9D"/>
    <w:rsid w:val="00E21CC0"/>
    <w:rsid w:val="00E21CE1"/>
    <w:rsid w:val="00E22005"/>
    <w:rsid w:val="00E2227E"/>
    <w:rsid w:val="00E22430"/>
    <w:rsid w:val="00E227D5"/>
    <w:rsid w:val="00E22921"/>
    <w:rsid w:val="00E22A61"/>
    <w:rsid w:val="00E22AC7"/>
    <w:rsid w:val="00E22DB2"/>
    <w:rsid w:val="00E23420"/>
    <w:rsid w:val="00E23475"/>
    <w:rsid w:val="00E234B1"/>
    <w:rsid w:val="00E23A99"/>
    <w:rsid w:val="00E23C72"/>
    <w:rsid w:val="00E23ECB"/>
    <w:rsid w:val="00E23F92"/>
    <w:rsid w:val="00E245F1"/>
    <w:rsid w:val="00E24637"/>
    <w:rsid w:val="00E2463E"/>
    <w:rsid w:val="00E24792"/>
    <w:rsid w:val="00E249EF"/>
    <w:rsid w:val="00E24A71"/>
    <w:rsid w:val="00E24D19"/>
    <w:rsid w:val="00E24E42"/>
    <w:rsid w:val="00E24E74"/>
    <w:rsid w:val="00E24ED2"/>
    <w:rsid w:val="00E25249"/>
    <w:rsid w:val="00E252FF"/>
    <w:rsid w:val="00E2588C"/>
    <w:rsid w:val="00E25A55"/>
    <w:rsid w:val="00E25BB0"/>
    <w:rsid w:val="00E25C7E"/>
    <w:rsid w:val="00E25F69"/>
    <w:rsid w:val="00E25F8C"/>
    <w:rsid w:val="00E26223"/>
    <w:rsid w:val="00E267B8"/>
    <w:rsid w:val="00E26855"/>
    <w:rsid w:val="00E2688A"/>
    <w:rsid w:val="00E26A2E"/>
    <w:rsid w:val="00E26BA4"/>
    <w:rsid w:val="00E26D34"/>
    <w:rsid w:val="00E26FAF"/>
    <w:rsid w:val="00E272CB"/>
    <w:rsid w:val="00E27376"/>
    <w:rsid w:val="00E2737D"/>
    <w:rsid w:val="00E27994"/>
    <w:rsid w:val="00E27BC1"/>
    <w:rsid w:val="00E3036F"/>
    <w:rsid w:val="00E30523"/>
    <w:rsid w:val="00E30861"/>
    <w:rsid w:val="00E308CF"/>
    <w:rsid w:val="00E30BF1"/>
    <w:rsid w:val="00E30C76"/>
    <w:rsid w:val="00E30CB9"/>
    <w:rsid w:val="00E30DA7"/>
    <w:rsid w:val="00E30EFC"/>
    <w:rsid w:val="00E30F0C"/>
    <w:rsid w:val="00E30F21"/>
    <w:rsid w:val="00E3137A"/>
    <w:rsid w:val="00E31758"/>
    <w:rsid w:val="00E3178C"/>
    <w:rsid w:val="00E317F7"/>
    <w:rsid w:val="00E3188E"/>
    <w:rsid w:val="00E3190E"/>
    <w:rsid w:val="00E31963"/>
    <w:rsid w:val="00E31C6F"/>
    <w:rsid w:val="00E31C98"/>
    <w:rsid w:val="00E31E15"/>
    <w:rsid w:val="00E31FB0"/>
    <w:rsid w:val="00E32199"/>
    <w:rsid w:val="00E329B7"/>
    <w:rsid w:val="00E32C11"/>
    <w:rsid w:val="00E32D77"/>
    <w:rsid w:val="00E33085"/>
    <w:rsid w:val="00E33192"/>
    <w:rsid w:val="00E3346D"/>
    <w:rsid w:val="00E338CB"/>
    <w:rsid w:val="00E33A00"/>
    <w:rsid w:val="00E33D44"/>
    <w:rsid w:val="00E33DC9"/>
    <w:rsid w:val="00E33DFE"/>
    <w:rsid w:val="00E33F52"/>
    <w:rsid w:val="00E33F94"/>
    <w:rsid w:val="00E341EE"/>
    <w:rsid w:val="00E34375"/>
    <w:rsid w:val="00E343B9"/>
    <w:rsid w:val="00E34597"/>
    <w:rsid w:val="00E34837"/>
    <w:rsid w:val="00E34BB5"/>
    <w:rsid w:val="00E34D2A"/>
    <w:rsid w:val="00E34D90"/>
    <w:rsid w:val="00E3546A"/>
    <w:rsid w:val="00E35AE3"/>
    <w:rsid w:val="00E35C67"/>
    <w:rsid w:val="00E3682C"/>
    <w:rsid w:val="00E36876"/>
    <w:rsid w:val="00E36883"/>
    <w:rsid w:val="00E36B59"/>
    <w:rsid w:val="00E36CEC"/>
    <w:rsid w:val="00E3703B"/>
    <w:rsid w:val="00E37259"/>
    <w:rsid w:val="00E37361"/>
    <w:rsid w:val="00E37559"/>
    <w:rsid w:val="00E377F4"/>
    <w:rsid w:val="00E37939"/>
    <w:rsid w:val="00E37C11"/>
    <w:rsid w:val="00E37DAE"/>
    <w:rsid w:val="00E40B15"/>
    <w:rsid w:val="00E40B69"/>
    <w:rsid w:val="00E40BA0"/>
    <w:rsid w:val="00E40EA2"/>
    <w:rsid w:val="00E40FF5"/>
    <w:rsid w:val="00E41003"/>
    <w:rsid w:val="00E4126A"/>
    <w:rsid w:val="00E41487"/>
    <w:rsid w:val="00E4164C"/>
    <w:rsid w:val="00E41F7A"/>
    <w:rsid w:val="00E4221A"/>
    <w:rsid w:val="00E42696"/>
    <w:rsid w:val="00E42711"/>
    <w:rsid w:val="00E4294E"/>
    <w:rsid w:val="00E42D4B"/>
    <w:rsid w:val="00E42DA9"/>
    <w:rsid w:val="00E42EAE"/>
    <w:rsid w:val="00E437BF"/>
    <w:rsid w:val="00E43A2F"/>
    <w:rsid w:val="00E43E77"/>
    <w:rsid w:val="00E441FB"/>
    <w:rsid w:val="00E443D2"/>
    <w:rsid w:val="00E443F4"/>
    <w:rsid w:val="00E44401"/>
    <w:rsid w:val="00E446AB"/>
    <w:rsid w:val="00E44BD1"/>
    <w:rsid w:val="00E44DD3"/>
    <w:rsid w:val="00E4501D"/>
    <w:rsid w:val="00E450F2"/>
    <w:rsid w:val="00E45248"/>
    <w:rsid w:val="00E454FB"/>
    <w:rsid w:val="00E457D7"/>
    <w:rsid w:val="00E45B88"/>
    <w:rsid w:val="00E4614A"/>
    <w:rsid w:val="00E46276"/>
    <w:rsid w:val="00E46344"/>
    <w:rsid w:val="00E46491"/>
    <w:rsid w:val="00E465E8"/>
    <w:rsid w:val="00E46AFC"/>
    <w:rsid w:val="00E46FA7"/>
    <w:rsid w:val="00E4717B"/>
    <w:rsid w:val="00E474E9"/>
    <w:rsid w:val="00E47658"/>
    <w:rsid w:val="00E47995"/>
    <w:rsid w:val="00E47BA8"/>
    <w:rsid w:val="00E47C9E"/>
    <w:rsid w:val="00E50006"/>
    <w:rsid w:val="00E504FC"/>
    <w:rsid w:val="00E5050F"/>
    <w:rsid w:val="00E50615"/>
    <w:rsid w:val="00E5090F"/>
    <w:rsid w:val="00E50DA8"/>
    <w:rsid w:val="00E50F7E"/>
    <w:rsid w:val="00E50FF3"/>
    <w:rsid w:val="00E513C6"/>
    <w:rsid w:val="00E5152A"/>
    <w:rsid w:val="00E51647"/>
    <w:rsid w:val="00E519F8"/>
    <w:rsid w:val="00E51AE2"/>
    <w:rsid w:val="00E51C2F"/>
    <w:rsid w:val="00E51EFE"/>
    <w:rsid w:val="00E51F69"/>
    <w:rsid w:val="00E52203"/>
    <w:rsid w:val="00E5241A"/>
    <w:rsid w:val="00E5248F"/>
    <w:rsid w:val="00E52529"/>
    <w:rsid w:val="00E5255A"/>
    <w:rsid w:val="00E52DE0"/>
    <w:rsid w:val="00E52EB7"/>
    <w:rsid w:val="00E52F34"/>
    <w:rsid w:val="00E5309A"/>
    <w:rsid w:val="00E5310F"/>
    <w:rsid w:val="00E53591"/>
    <w:rsid w:val="00E53B33"/>
    <w:rsid w:val="00E53CF5"/>
    <w:rsid w:val="00E53D34"/>
    <w:rsid w:val="00E5423E"/>
    <w:rsid w:val="00E549D3"/>
    <w:rsid w:val="00E54A47"/>
    <w:rsid w:val="00E54A49"/>
    <w:rsid w:val="00E54D31"/>
    <w:rsid w:val="00E54D65"/>
    <w:rsid w:val="00E55297"/>
    <w:rsid w:val="00E55311"/>
    <w:rsid w:val="00E55416"/>
    <w:rsid w:val="00E55493"/>
    <w:rsid w:val="00E554C2"/>
    <w:rsid w:val="00E556CD"/>
    <w:rsid w:val="00E5581E"/>
    <w:rsid w:val="00E558C3"/>
    <w:rsid w:val="00E559E8"/>
    <w:rsid w:val="00E55BD9"/>
    <w:rsid w:val="00E56365"/>
    <w:rsid w:val="00E5641E"/>
    <w:rsid w:val="00E5680E"/>
    <w:rsid w:val="00E56916"/>
    <w:rsid w:val="00E56982"/>
    <w:rsid w:val="00E56E2B"/>
    <w:rsid w:val="00E56F12"/>
    <w:rsid w:val="00E57052"/>
    <w:rsid w:val="00E57583"/>
    <w:rsid w:val="00E575F1"/>
    <w:rsid w:val="00E579C7"/>
    <w:rsid w:val="00E57C9A"/>
    <w:rsid w:val="00E60104"/>
    <w:rsid w:val="00E60401"/>
    <w:rsid w:val="00E60CC6"/>
    <w:rsid w:val="00E60E24"/>
    <w:rsid w:val="00E60F2C"/>
    <w:rsid w:val="00E60F65"/>
    <w:rsid w:val="00E610CA"/>
    <w:rsid w:val="00E611CA"/>
    <w:rsid w:val="00E61264"/>
    <w:rsid w:val="00E6154A"/>
    <w:rsid w:val="00E61605"/>
    <w:rsid w:val="00E617B3"/>
    <w:rsid w:val="00E618D1"/>
    <w:rsid w:val="00E61AED"/>
    <w:rsid w:val="00E61B64"/>
    <w:rsid w:val="00E62023"/>
    <w:rsid w:val="00E622B3"/>
    <w:rsid w:val="00E62325"/>
    <w:rsid w:val="00E6262A"/>
    <w:rsid w:val="00E628A3"/>
    <w:rsid w:val="00E62AB5"/>
    <w:rsid w:val="00E62B33"/>
    <w:rsid w:val="00E62BDC"/>
    <w:rsid w:val="00E62ED8"/>
    <w:rsid w:val="00E635F0"/>
    <w:rsid w:val="00E638F4"/>
    <w:rsid w:val="00E63F3B"/>
    <w:rsid w:val="00E63F53"/>
    <w:rsid w:val="00E63FC0"/>
    <w:rsid w:val="00E6425F"/>
    <w:rsid w:val="00E642E2"/>
    <w:rsid w:val="00E645DD"/>
    <w:rsid w:val="00E64650"/>
    <w:rsid w:val="00E6483B"/>
    <w:rsid w:val="00E6488F"/>
    <w:rsid w:val="00E64897"/>
    <w:rsid w:val="00E64EF7"/>
    <w:rsid w:val="00E6509B"/>
    <w:rsid w:val="00E6550A"/>
    <w:rsid w:val="00E65566"/>
    <w:rsid w:val="00E65813"/>
    <w:rsid w:val="00E659A8"/>
    <w:rsid w:val="00E65D22"/>
    <w:rsid w:val="00E66073"/>
    <w:rsid w:val="00E6615E"/>
    <w:rsid w:val="00E6616F"/>
    <w:rsid w:val="00E662A8"/>
    <w:rsid w:val="00E664F1"/>
    <w:rsid w:val="00E66640"/>
    <w:rsid w:val="00E66C99"/>
    <w:rsid w:val="00E66CE7"/>
    <w:rsid w:val="00E67759"/>
    <w:rsid w:val="00E6784C"/>
    <w:rsid w:val="00E67883"/>
    <w:rsid w:val="00E67A7A"/>
    <w:rsid w:val="00E67DDE"/>
    <w:rsid w:val="00E67F2A"/>
    <w:rsid w:val="00E7013B"/>
    <w:rsid w:val="00E70491"/>
    <w:rsid w:val="00E707D8"/>
    <w:rsid w:val="00E709CC"/>
    <w:rsid w:val="00E709D0"/>
    <w:rsid w:val="00E712C9"/>
    <w:rsid w:val="00E714BB"/>
    <w:rsid w:val="00E716C5"/>
    <w:rsid w:val="00E716DF"/>
    <w:rsid w:val="00E71933"/>
    <w:rsid w:val="00E71938"/>
    <w:rsid w:val="00E7227B"/>
    <w:rsid w:val="00E72644"/>
    <w:rsid w:val="00E727C1"/>
    <w:rsid w:val="00E7281C"/>
    <w:rsid w:val="00E72886"/>
    <w:rsid w:val="00E72931"/>
    <w:rsid w:val="00E72C55"/>
    <w:rsid w:val="00E72EBD"/>
    <w:rsid w:val="00E731F4"/>
    <w:rsid w:val="00E734C5"/>
    <w:rsid w:val="00E7386F"/>
    <w:rsid w:val="00E738DE"/>
    <w:rsid w:val="00E738DF"/>
    <w:rsid w:val="00E73CEB"/>
    <w:rsid w:val="00E73E79"/>
    <w:rsid w:val="00E73ED1"/>
    <w:rsid w:val="00E73FE7"/>
    <w:rsid w:val="00E74321"/>
    <w:rsid w:val="00E7439E"/>
    <w:rsid w:val="00E74414"/>
    <w:rsid w:val="00E7495A"/>
    <w:rsid w:val="00E74A81"/>
    <w:rsid w:val="00E74BC3"/>
    <w:rsid w:val="00E74D8F"/>
    <w:rsid w:val="00E75364"/>
    <w:rsid w:val="00E7574B"/>
    <w:rsid w:val="00E75873"/>
    <w:rsid w:val="00E758C5"/>
    <w:rsid w:val="00E758FF"/>
    <w:rsid w:val="00E75982"/>
    <w:rsid w:val="00E75AA3"/>
    <w:rsid w:val="00E75DF0"/>
    <w:rsid w:val="00E75ED7"/>
    <w:rsid w:val="00E75F3C"/>
    <w:rsid w:val="00E76095"/>
    <w:rsid w:val="00E767B7"/>
    <w:rsid w:val="00E768C4"/>
    <w:rsid w:val="00E76FA3"/>
    <w:rsid w:val="00E771FA"/>
    <w:rsid w:val="00E773B9"/>
    <w:rsid w:val="00E7787A"/>
    <w:rsid w:val="00E778CC"/>
    <w:rsid w:val="00E778D1"/>
    <w:rsid w:val="00E77AFD"/>
    <w:rsid w:val="00E77C3A"/>
    <w:rsid w:val="00E77E8A"/>
    <w:rsid w:val="00E77F56"/>
    <w:rsid w:val="00E80094"/>
    <w:rsid w:val="00E803FA"/>
    <w:rsid w:val="00E80512"/>
    <w:rsid w:val="00E807B1"/>
    <w:rsid w:val="00E8087D"/>
    <w:rsid w:val="00E8096B"/>
    <w:rsid w:val="00E80AC2"/>
    <w:rsid w:val="00E80CBB"/>
    <w:rsid w:val="00E80DA9"/>
    <w:rsid w:val="00E80DD0"/>
    <w:rsid w:val="00E811B6"/>
    <w:rsid w:val="00E8145D"/>
    <w:rsid w:val="00E81626"/>
    <w:rsid w:val="00E816F7"/>
    <w:rsid w:val="00E81A0E"/>
    <w:rsid w:val="00E81A9F"/>
    <w:rsid w:val="00E8202B"/>
    <w:rsid w:val="00E822F6"/>
    <w:rsid w:val="00E824C2"/>
    <w:rsid w:val="00E829FE"/>
    <w:rsid w:val="00E82F38"/>
    <w:rsid w:val="00E8309D"/>
    <w:rsid w:val="00E8323B"/>
    <w:rsid w:val="00E834E1"/>
    <w:rsid w:val="00E83552"/>
    <w:rsid w:val="00E83556"/>
    <w:rsid w:val="00E8369C"/>
    <w:rsid w:val="00E838C6"/>
    <w:rsid w:val="00E83C98"/>
    <w:rsid w:val="00E84086"/>
    <w:rsid w:val="00E84117"/>
    <w:rsid w:val="00E8435B"/>
    <w:rsid w:val="00E84703"/>
    <w:rsid w:val="00E84921"/>
    <w:rsid w:val="00E84FDF"/>
    <w:rsid w:val="00E8565F"/>
    <w:rsid w:val="00E85965"/>
    <w:rsid w:val="00E85BCF"/>
    <w:rsid w:val="00E85F3B"/>
    <w:rsid w:val="00E86182"/>
    <w:rsid w:val="00E8630D"/>
    <w:rsid w:val="00E86722"/>
    <w:rsid w:val="00E86AA0"/>
    <w:rsid w:val="00E86EA8"/>
    <w:rsid w:val="00E87866"/>
    <w:rsid w:val="00E8792E"/>
    <w:rsid w:val="00E87D1D"/>
    <w:rsid w:val="00E87F2B"/>
    <w:rsid w:val="00E9032F"/>
    <w:rsid w:val="00E903D4"/>
    <w:rsid w:val="00E90574"/>
    <w:rsid w:val="00E905D0"/>
    <w:rsid w:val="00E90672"/>
    <w:rsid w:val="00E90AE6"/>
    <w:rsid w:val="00E90CEF"/>
    <w:rsid w:val="00E90E94"/>
    <w:rsid w:val="00E90F6A"/>
    <w:rsid w:val="00E91005"/>
    <w:rsid w:val="00E91053"/>
    <w:rsid w:val="00E91805"/>
    <w:rsid w:val="00E91930"/>
    <w:rsid w:val="00E91AB0"/>
    <w:rsid w:val="00E92120"/>
    <w:rsid w:val="00E92202"/>
    <w:rsid w:val="00E922D6"/>
    <w:rsid w:val="00E9320E"/>
    <w:rsid w:val="00E93323"/>
    <w:rsid w:val="00E93664"/>
    <w:rsid w:val="00E9372F"/>
    <w:rsid w:val="00E93C3E"/>
    <w:rsid w:val="00E93DA3"/>
    <w:rsid w:val="00E93DFC"/>
    <w:rsid w:val="00E941AE"/>
    <w:rsid w:val="00E9434E"/>
    <w:rsid w:val="00E9436E"/>
    <w:rsid w:val="00E949A1"/>
    <w:rsid w:val="00E94B40"/>
    <w:rsid w:val="00E94C68"/>
    <w:rsid w:val="00E94D5C"/>
    <w:rsid w:val="00E94EB5"/>
    <w:rsid w:val="00E94EFA"/>
    <w:rsid w:val="00E951BB"/>
    <w:rsid w:val="00E954B3"/>
    <w:rsid w:val="00E95994"/>
    <w:rsid w:val="00E95AA3"/>
    <w:rsid w:val="00E95C8C"/>
    <w:rsid w:val="00E95F04"/>
    <w:rsid w:val="00E9611A"/>
    <w:rsid w:val="00E96287"/>
    <w:rsid w:val="00E9683E"/>
    <w:rsid w:val="00E96878"/>
    <w:rsid w:val="00E96A13"/>
    <w:rsid w:val="00E96A47"/>
    <w:rsid w:val="00E96B9C"/>
    <w:rsid w:val="00E96CC0"/>
    <w:rsid w:val="00E96FFA"/>
    <w:rsid w:val="00E9701B"/>
    <w:rsid w:val="00E971C2"/>
    <w:rsid w:val="00E97845"/>
    <w:rsid w:val="00E97857"/>
    <w:rsid w:val="00E97DB4"/>
    <w:rsid w:val="00E97FD9"/>
    <w:rsid w:val="00EA0201"/>
    <w:rsid w:val="00EA02C1"/>
    <w:rsid w:val="00EA04FD"/>
    <w:rsid w:val="00EA0571"/>
    <w:rsid w:val="00EA05B0"/>
    <w:rsid w:val="00EA0CF7"/>
    <w:rsid w:val="00EA1042"/>
    <w:rsid w:val="00EA1125"/>
    <w:rsid w:val="00EA12A9"/>
    <w:rsid w:val="00EA152B"/>
    <w:rsid w:val="00EA155F"/>
    <w:rsid w:val="00EA1637"/>
    <w:rsid w:val="00EA1698"/>
    <w:rsid w:val="00EA1BB9"/>
    <w:rsid w:val="00EA1F83"/>
    <w:rsid w:val="00EA1FD2"/>
    <w:rsid w:val="00EA220C"/>
    <w:rsid w:val="00EA2775"/>
    <w:rsid w:val="00EA2A3E"/>
    <w:rsid w:val="00EA2ABC"/>
    <w:rsid w:val="00EA2CDA"/>
    <w:rsid w:val="00EA2D14"/>
    <w:rsid w:val="00EA2D9B"/>
    <w:rsid w:val="00EA2E9E"/>
    <w:rsid w:val="00EA30DC"/>
    <w:rsid w:val="00EA35E5"/>
    <w:rsid w:val="00EA362A"/>
    <w:rsid w:val="00EA3785"/>
    <w:rsid w:val="00EA3CA8"/>
    <w:rsid w:val="00EA3E56"/>
    <w:rsid w:val="00EA3F24"/>
    <w:rsid w:val="00EA4563"/>
    <w:rsid w:val="00EA4576"/>
    <w:rsid w:val="00EA4782"/>
    <w:rsid w:val="00EA49D6"/>
    <w:rsid w:val="00EA4C49"/>
    <w:rsid w:val="00EA4F50"/>
    <w:rsid w:val="00EA540F"/>
    <w:rsid w:val="00EA5513"/>
    <w:rsid w:val="00EA5515"/>
    <w:rsid w:val="00EA5720"/>
    <w:rsid w:val="00EA57E0"/>
    <w:rsid w:val="00EA58F0"/>
    <w:rsid w:val="00EA5B04"/>
    <w:rsid w:val="00EA5BBD"/>
    <w:rsid w:val="00EA5CA5"/>
    <w:rsid w:val="00EA5D19"/>
    <w:rsid w:val="00EA6018"/>
    <w:rsid w:val="00EA6800"/>
    <w:rsid w:val="00EA6959"/>
    <w:rsid w:val="00EA69A3"/>
    <w:rsid w:val="00EA6C3E"/>
    <w:rsid w:val="00EA6EE8"/>
    <w:rsid w:val="00EA6F85"/>
    <w:rsid w:val="00EA7196"/>
    <w:rsid w:val="00EA7407"/>
    <w:rsid w:val="00EA7889"/>
    <w:rsid w:val="00EA7965"/>
    <w:rsid w:val="00EA7D4B"/>
    <w:rsid w:val="00EA7F24"/>
    <w:rsid w:val="00EB0282"/>
    <w:rsid w:val="00EB0605"/>
    <w:rsid w:val="00EB0CDC"/>
    <w:rsid w:val="00EB0E23"/>
    <w:rsid w:val="00EB0EFF"/>
    <w:rsid w:val="00EB0FB9"/>
    <w:rsid w:val="00EB1060"/>
    <w:rsid w:val="00EB1112"/>
    <w:rsid w:val="00EB12E6"/>
    <w:rsid w:val="00EB198B"/>
    <w:rsid w:val="00EB1BFE"/>
    <w:rsid w:val="00EB1EC3"/>
    <w:rsid w:val="00EB2429"/>
    <w:rsid w:val="00EB243B"/>
    <w:rsid w:val="00EB25A9"/>
    <w:rsid w:val="00EB2DCB"/>
    <w:rsid w:val="00EB2FD0"/>
    <w:rsid w:val="00EB2FD5"/>
    <w:rsid w:val="00EB31B9"/>
    <w:rsid w:val="00EB35FF"/>
    <w:rsid w:val="00EB361C"/>
    <w:rsid w:val="00EB3728"/>
    <w:rsid w:val="00EB3803"/>
    <w:rsid w:val="00EB3A1F"/>
    <w:rsid w:val="00EB3A2E"/>
    <w:rsid w:val="00EB3D7D"/>
    <w:rsid w:val="00EB3EA6"/>
    <w:rsid w:val="00EB410C"/>
    <w:rsid w:val="00EB440B"/>
    <w:rsid w:val="00EB474C"/>
    <w:rsid w:val="00EB49FB"/>
    <w:rsid w:val="00EB4A27"/>
    <w:rsid w:val="00EB4C06"/>
    <w:rsid w:val="00EB4C47"/>
    <w:rsid w:val="00EB4C82"/>
    <w:rsid w:val="00EB5282"/>
    <w:rsid w:val="00EB552A"/>
    <w:rsid w:val="00EB5794"/>
    <w:rsid w:val="00EB5823"/>
    <w:rsid w:val="00EB5912"/>
    <w:rsid w:val="00EB5981"/>
    <w:rsid w:val="00EB5A04"/>
    <w:rsid w:val="00EB5B28"/>
    <w:rsid w:val="00EB6381"/>
    <w:rsid w:val="00EB65E9"/>
    <w:rsid w:val="00EB67DD"/>
    <w:rsid w:val="00EB683A"/>
    <w:rsid w:val="00EB6864"/>
    <w:rsid w:val="00EB69E7"/>
    <w:rsid w:val="00EB6C66"/>
    <w:rsid w:val="00EB6CCF"/>
    <w:rsid w:val="00EB6CF8"/>
    <w:rsid w:val="00EB6D75"/>
    <w:rsid w:val="00EB6D8B"/>
    <w:rsid w:val="00EB6F7E"/>
    <w:rsid w:val="00EB710E"/>
    <w:rsid w:val="00EB72F4"/>
    <w:rsid w:val="00EB72FD"/>
    <w:rsid w:val="00EB73D8"/>
    <w:rsid w:val="00EB7727"/>
    <w:rsid w:val="00EB7AC3"/>
    <w:rsid w:val="00EB7BB8"/>
    <w:rsid w:val="00EB7D5E"/>
    <w:rsid w:val="00EB7FD5"/>
    <w:rsid w:val="00EC0536"/>
    <w:rsid w:val="00EC0575"/>
    <w:rsid w:val="00EC089B"/>
    <w:rsid w:val="00EC08DB"/>
    <w:rsid w:val="00EC0973"/>
    <w:rsid w:val="00EC09A0"/>
    <w:rsid w:val="00EC0B96"/>
    <w:rsid w:val="00EC0BDD"/>
    <w:rsid w:val="00EC1040"/>
    <w:rsid w:val="00EC1492"/>
    <w:rsid w:val="00EC14BF"/>
    <w:rsid w:val="00EC19D2"/>
    <w:rsid w:val="00EC1A3D"/>
    <w:rsid w:val="00EC1AF9"/>
    <w:rsid w:val="00EC1C7F"/>
    <w:rsid w:val="00EC1DA7"/>
    <w:rsid w:val="00EC1FA1"/>
    <w:rsid w:val="00EC203D"/>
    <w:rsid w:val="00EC23F1"/>
    <w:rsid w:val="00EC23F7"/>
    <w:rsid w:val="00EC2AB8"/>
    <w:rsid w:val="00EC2B77"/>
    <w:rsid w:val="00EC2B9F"/>
    <w:rsid w:val="00EC2BA7"/>
    <w:rsid w:val="00EC2FF6"/>
    <w:rsid w:val="00EC2FFD"/>
    <w:rsid w:val="00EC329A"/>
    <w:rsid w:val="00EC3496"/>
    <w:rsid w:val="00EC34AF"/>
    <w:rsid w:val="00EC3636"/>
    <w:rsid w:val="00EC39D8"/>
    <w:rsid w:val="00EC3BD9"/>
    <w:rsid w:val="00EC3BFA"/>
    <w:rsid w:val="00EC3DD8"/>
    <w:rsid w:val="00EC3E1E"/>
    <w:rsid w:val="00EC3EBE"/>
    <w:rsid w:val="00EC3F28"/>
    <w:rsid w:val="00EC4072"/>
    <w:rsid w:val="00EC41CA"/>
    <w:rsid w:val="00EC4586"/>
    <w:rsid w:val="00EC495E"/>
    <w:rsid w:val="00EC4C01"/>
    <w:rsid w:val="00EC4C2F"/>
    <w:rsid w:val="00EC4D2B"/>
    <w:rsid w:val="00EC529A"/>
    <w:rsid w:val="00EC52A4"/>
    <w:rsid w:val="00EC5799"/>
    <w:rsid w:val="00EC5981"/>
    <w:rsid w:val="00EC5AD1"/>
    <w:rsid w:val="00EC5D06"/>
    <w:rsid w:val="00EC5E53"/>
    <w:rsid w:val="00EC5FBC"/>
    <w:rsid w:val="00EC6202"/>
    <w:rsid w:val="00EC66E7"/>
    <w:rsid w:val="00EC676A"/>
    <w:rsid w:val="00EC6AB3"/>
    <w:rsid w:val="00EC6D2A"/>
    <w:rsid w:val="00EC6F9E"/>
    <w:rsid w:val="00EC6FF1"/>
    <w:rsid w:val="00EC7338"/>
    <w:rsid w:val="00EC7573"/>
    <w:rsid w:val="00EC78B0"/>
    <w:rsid w:val="00EC79E5"/>
    <w:rsid w:val="00EC7B8D"/>
    <w:rsid w:val="00EC7C71"/>
    <w:rsid w:val="00EC7D28"/>
    <w:rsid w:val="00ED0230"/>
    <w:rsid w:val="00ED024F"/>
    <w:rsid w:val="00ED02C1"/>
    <w:rsid w:val="00ED0363"/>
    <w:rsid w:val="00ED054E"/>
    <w:rsid w:val="00ED0596"/>
    <w:rsid w:val="00ED0616"/>
    <w:rsid w:val="00ED0674"/>
    <w:rsid w:val="00ED0782"/>
    <w:rsid w:val="00ED0826"/>
    <w:rsid w:val="00ED0891"/>
    <w:rsid w:val="00ED0ACF"/>
    <w:rsid w:val="00ED10C1"/>
    <w:rsid w:val="00ED1510"/>
    <w:rsid w:val="00ED154D"/>
    <w:rsid w:val="00ED1A28"/>
    <w:rsid w:val="00ED1B3B"/>
    <w:rsid w:val="00ED1CFA"/>
    <w:rsid w:val="00ED23EB"/>
    <w:rsid w:val="00ED240D"/>
    <w:rsid w:val="00ED25DB"/>
    <w:rsid w:val="00ED26FB"/>
    <w:rsid w:val="00ED2771"/>
    <w:rsid w:val="00ED2B5F"/>
    <w:rsid w:val="00ED2B70"/>
    <w:rsid w:val="00ED2D52"/>
    <w:rsid w:val="00ED2D5D"/>
    <w:rsid w:val="00ED2F04"/>
    <w:rsid w:val="00ED38CB"/>
    <w:rsid w:val="00ED39B8"/>
    <w:rsid w:val="00ED3B5D"/>
    <w:rsid w:val="00ED3BB2"/>
    <w:rsid w:val="00ED3D0E"/>
    <w:rsid w:val="00ED3FAD"/>
    <w:rsid w:val="00ED41D2"/>
    <w:rsid w:val="00ED45A5"/>
    <w:rsid w:val="00ED45EC"/>
    <w:rsid w:val="00ED47BA"/>
    <w:rsid w:val="00ED4A8C"/>
    <w:rsid w:val="00ED4BD3"/>
    <w:rsid w:val="00ED4CB6"/>
    <w:rsid w:val="00ED4D43"/>
    <w:rsid w:val="00ED4D63"/>
    <w:rsid w:val="00ED4F24"/>
    <w:rsid w:val="00ED512F"/>
    <w:rsid w:val="00ED529B"/>
    <w:rsid w:val="00ED52DF"/>
    <w:rsid w:val="00ED55D5"/>
    <w:rsid w:val="00ED57DE"/>
    <w:rsid w:val="00ED5A26"/>
    <w:rsid w:val="00ED5D99"/>
    <w:rsid w:val="00ED5E69"/>
    <w:rsid w:val="00ED5ECB"/>
    <w:rsid w:val="00ED6073"/>
    <w:rsid w:val="00ED61BD"/>
    <w:rsid w:val="00ED6400"/>
    <w:rsid w:val="00ED693A"/>
    <w:rsid w:val="00ED6A4A"/>
    <w:rsid w:val="00ED6AF0"/>
    <w:rsid w:val="00ED6B4E"/>
    <w:rsid w:val="00ED6CB4"/>
    <w:rsid w:val="00ED71D7"/>
    <w:rsid w:val="00ED7640"/>
    <w:rsid w:val="00ED76B4"/>
    <w:rsid w:val="00ED7746"/>
    <w:rsid w:val="00ED7B71"/>
    <w:rsid w:val="00ED7D2F"/>
    <w:rsid w:val="00ED7E24"/>
    <w:rsid w:val="00ED7E5A"/>
    <w:rsid w:val="00ED7FEB"/>
    <w:rsid w:val="00EE022D"/>
    <w:rsid w:val="00EE04D2"/>
    <w:rsid w:val="00EE0B8D"/>
    <w:rsid w:val="00EE0BE7"/>
    <w:rsid w:val="00EE0BEC"/>
    <w:rsid w:val="00EE130A"/>
    <w:rsid w:val="00EE14C3"/>
    <w:rsid w:val="00EE1631"/>
    <w:rsid w:val="00EE1B9E"/>
    <w:rsid w:val="00EE1EA1"/>
    <w:rsid w:val="00EE27F7"/>
    <w:rsid w:val="00EE2D1C"/>
    <w:rsid w:val="00EE2EB8"/>
    <w:rsid w:val="00EE32AA"/>
    <w:rsid w:val="00EE3477"/>
    <w:rsid w:val="00EE35BA"/>
    <w:rsid w:val="00EE3631"/>
    <w:rsid w:val="00EE393A"/>
    <w:rsid w:val="00EE3A72"/>
    <w:rsid w:val="00EE3BF7"/>
    <w:rsid w:val="00EE3DCC"/>
    <w:rsid w:val="00EE45B0"/>
    <w:rsid w:val="00EE472B"/>
    <w:rsid w:val="00EE4FBB"/>
    <w:rsid w:val="00EE4FF7"/>
    <w:rsid w:val="00EE5357"/>
    <w:rsid w:val="00EE5569"/>
    <w:rsid w:val="00EE5616"/>
    <w:rsid w:val="00EE569D"/>
    <w:rsid w:val="00EE5707"/>
    <w:rsid w:val="00EE5A6E"/>
    <w:rsid w:val="00EE5BE1"/>
    <w:rsid w:val="00EE5C0C"/>
    <w:rsid w:val="00EE6031"/>
    <w:rsid w:val="00EE6099"/>
    <w:rsid w:val="00EE6376"/>
    <w:rsid w:val="00EE6442"/>
    <w:rsid w:val="00EE65A4"/>
    <w:rsid w:val="00EE65DA"/>
    <w:rsid w:val="00EE6B25"/>
    <w:rsid w:val="00EE6BA6"/>
    <w:rsid w:val="00EE6BAD"/>
    <w:rsid w:val="00EE6C21"/>
    <w:rsid w:val="00EE6E0D"/>
    <w:rsid w:val="00EE6EA0"/>
    <w:rsid w:val="00EE7491"/>
    <w:rsid w:val="00EE7531"/>
    <w:rsid w:val="00EE76C3"/>
    <w:rsid w:val="00EE7A4E"/>
    <w:rsid w:val="00EE7E37"/>
    <w:rsid w:val="00EF0334"/>
    <w:rsid w:val="00EF06A4"/>
    <w:rsid w:val="00EF0EBA"/>
    <w:rsid w:val="00EF1144"/>
    <w:rsid w:val="00EF127C"/>
    <w:rsid w:val="00EF1372"/>
    <w:rsid w:val="00EF146A"/>
    <w:rsid w:val="00EF1481"/>
    <w:rsid w:val="00EF18CF"/>
    <w:rsid w:val="00EF1F01"/>
    <w:rsid w:val="00EF2228"/>
    <w:rsid w:val="00EF24E6"/>
    <w:rsid w:val="00EF2570"/>
    <w:rsid w:val="00EF2819"/>
    <w:rsid w:val="00EF296C"/>
    <w:rsid w:val="00EF2C7A"/>
    <w:rsid w:val="00EF2D38"/>
    <w:rsid w:val="00EF3102"/>
    <w:rsid w:val="00EF3173"/>
    <w:rsid w:val="00EF33BD"/>
    <w:rsid w:val="00EF38EF"/>
    <w:rsid w:val="00EF3E06"/>
    <w:rsid w:val="00EF4252"/>
    <w:rsid w:val="00EF443D"/>
    <w:rsid w:val="00EF4AA8"/>
    <w:rsid w:val="00EF4AB4"/>
    <w:rsid w:val="00EF4B49"/>
    <w:rsid w:val="00EF4EDE"/>
    <w:rsid w:val="00EF5099"/>
    <w:rsid w:val="00EF5224"/>
    <w:rsid w:val="00EF53D7"/>
    <w:rsid w:val="00EF54E2"/>
    <w:rsid w:val="00EF56AE"/>
    <w:rsid w:val="00EF56D6"/>
    <w:rsid w:val="00EF5838"/>
    <w:rsid w:val="00EF589A"/>
    <w:rsid w:val="00EF61CB"/>
    <w:rsid w:val="00EF6207"/>
    <w:rsid w:val="00EF65B5"/>
    <w:rsid w:val="00EF6641"/>
    <w:rsid w:val="00EF6E1A"/>
    <w:rsid w:val="00EF71CE"/>
    <w:rsid w:val="00EF72EB"/>
    <w:rsid w:val="00EF7995"/>
    <w:rsid w:val="00EF799C"/>
    <w:rsid w:val="00F00396"/>
    <w:rsid w:val="00F00563"/>
    <w:rsid w:val="00F005C1"/>
    <w:rsid w:val="00F00605"/>
    <w:rsid w:val="00F00703"/>
    <w:rsid w:val="00F00D2B"/>
    <w:rsid w:val="00F0194F"/>
    <w:rsid w:val="00F01A27"/>
    <w:rsid w:val="00F01C3E"/>
    <w:rsid w:val="00F01CD7"/>
    <w:rsid w:val="00F01EB3"/>
    <w:rsid w:val="00F02196"/>
    <w:rsid w:val="00F02328"/>
    <w:rsid w:val="00F02508"/>
    <w:rsid w:val="00F0254C"/>
    <w:rsid w:val="00F02571"/>
    <w:rsid w:val="00F02797"/>
    <w:rsid w:val="00F02D14"/>
    <w:rsid w:val="00F02E64"/>
    <w:rsid w:val="00F030F6"/>
    <w:rsid w:val="00F03215"/>
    <w:rsid w:val="00F034D1"/>
    <w:rsid w:val="00F03CBC"/>
    <w:rsid w:val="00F03CE3"/>
    <w:rsid w:val="00F03EF0"/>
    <w:rsid w:val="00F03F4C"/>
    <w:rsid w:val="00F03F99"/>
    <w:rsid w:val="00F0402B"/>
    <w:rsid w:val="00F04034"/>
    <w:rsid w:val="00F04122"/>
    <w:rsid w:val="00F043BB"/>
    <w:rsid w:val="00F045C9"/>
    <w:rsid w:val="00F04690"/>
    <w:rsid w:val="00F04ABF"/>
    <w:rsid w:val="00F04B54"/>
    <w:rsid w:val="00F04C5A"/>
    <w:rsid w:val="00F04D48"/>
    <w:rsid w:val="00F05014"/>
    <w:rsid w:val="00F05683"/>
    <w:rsid w:val="00F0568E"/>
    <w:rsid w:val="00F059A4"/>
    <w:rsid w:val="00F05C37"/>
    <w:rsid w:val="00F05FA3"/>
    <w:rsid w:val="00F05FE2"/>
    <w:rsid w:val="00F06460"/>
    <w:rsid w:val="00F06C31"/>
    <w:rsid w:val="00F06EEF"/>
    <w:rsid w:val="00F071C3"/>
    <w:rsid w:val="00F07437"/>
    <w:rsid w:val="00F07A1F"/>
    <w:rsid w:val="00F07E2C"/>
    <w:rsid w:val="00F100C9"/>
    <w:rsid w:val="00F10110"/>
    <w:rsid w:val="00F10592"/>
    <w:rsid w:val="00F10610"/>
    <w:rsid w:val="00F107AA"/>
    <w:rsid w:val="00F108AE"/>
    <w:rsid w:val="00F10913"/>
    <w:rsid w:val="00F10B7D"/>
    <w:rsid w:val="00F10FC9"/>
    <w:rsid w:val="00F110E7"/>
    <w:rsid w:val="00F11405"/>
    <w:rsid w:val="00F1154C"/>
    <w:rsid w:val="00F11A2F"/>
    <w:rsid w:val="00F11F96"/>
    <w:rsid w:val="00F126CA"/>
    <w:rsid w:val="00F126E9"/>
    <w:rsid w:val="00F12AD5"/>
    <w:rsid w:val="00F12B77"/>
    <w:rsid w:val="00F12D45"/>
    <w:rsid w:val="00F130C3"/>
    <w:rsid w:val="00F13263"/>
    <w:rsid w:val="00F13319"/>
    <w:rsid w:val="00F13713"/>
    <w:rsid w:val="00F13887"/>
    <w:rsid w:val="00F1389B"/>
    <w:rsid w:val="00F13ACA"/>
    <w:rsid w:val="00F13B5C"/>
    <w:rsid w:val="00F13E8E"/>
    <w:rsid w:val="00F141A1"/>
    <w:rsid w:val="00F14292"/>
    <w:rsid w:val="00F142F5"/>
    <w:rsid w:val="00F14371"/>
    <w:rsid w:val="00F1451E"/>
    <w:rsid w:val="00F14560"/>
    <w:rsid w:val="00F1492F"/>
    <w:rsid w:val="00F14A41"/>
    <w:rsid w:val="00F14A67"/>
    <w:rsid w:val="00F14BA9"/>
    <w:rsid w:val="00F14F9C"/>
    <w:rsid w:val="00F15668"/>
    <w:rsid w:val="00F159A1"/>
    <w:rsid w:val="00F15BEA"/>
    <w:rsid w:val="00F1612D"/>
    <w:rsid w:val="00F16356"/>
    <w:rsid w:val="00F163B8"/>
    <w:rsid w:val="00F163D0"/>
    <w:rsid w:val="00F16898"/>
    <w:rsid w:val="00F17087"/>
    <w:rsid w:val="00F17B88"/>
    <w:rsid w:val="00F17CE7"/>
    <w:rsid w:val="00F17EDB"/>
    <w:rsid w:val="00F201A5"/>
    <w:rsid w:val="00F201BE"/>
    <w:rsid w:val="00F205EC"/>
    <w:rsid w:val="00F20B46"/>
    <w:rsid w:val="00F20C33"/>
    <w:rsid w:val="00F211CC"/>
    <w:rsid w:val="00F212A9"/>
    <w:rsid w:val="00F213F3"/>
    <w:rsid w:val="00F21400"/>
    <w:rsid w:val="00F21F99"/>
    <w:rsid w:val="00F221E3"/>
    <w:rsid w:val="00F2234A"/>
    <w:rsid w:val="00F2264B"/>
    <w:rsid w:val="00F22A89"/>
    <w:rsid w:val="00F22CA3"/>
    <w:rsid w:val="00F22D5F"/>
    <w:rsid w:val="00F22D60"/>
    <w:rsid w:val="00F22E55"/>
    <w:rsid w:val="00F22F05"/>
    <w:rsid w:val="00F22F3D"/>
    <w:rsid w:val="00F23524"/>
    <w:rsid w:val="00F23F74"/>
    <w:rsid w:val="00F23FCB"/>
    <w:rsid w:val="00F24141"/>
    <w:rsid w:val="00F242E0"/>
    <w:rsid w:val="00F24311"/>
    <w:rsid w:val="00F24373"/>
    <w:rsid w:val="00F24465"/>
    <w:rsid w:val="00F24544"/>
    <w:rsid w:val="00F247A7"/>
    <w:rsid w:val="00F24C42"/>
    <w:rsid w:val="00F24D4F"/>
    <w:rsid w:val="00F24E44"/>
    <w:rsid w:val="00F24F34"/>
    <w:rsid w:val="00F24F82"/>
    <w:rsid w:val="00F25332"/>
    <w:rsid w:val="00F25380"/>
    <w:rsid w:val="00F253D3"/>
    <w:rsid w:val="00F253F7"/>
    <w:rsid w:val="00F25910"/>
    <w:rsid w:val="00F2595D"/>
    <w:rsid w:val="00F25A0A"/>
    <w:rsid w:val="00F25A23"/>
    <w:rsid w:val="00F25A54"/>
    <w:rsid w:val="00F25B3F"/>
    <w:rsid w:val="00F25B5D"/>
    <w:rsid w:val="00F25C39"/>
    <w:rsid w:val="00F25D1C"/>
    <w:rsid w:val="00F26DB0"/>
    <w:rsid w:val="00F26ECF"/>
    <w:rsid w:val="00F272A2"/>
    <w:rsid w:val="00F27413"/>
    <w:rsid w:val="00F27468"/>
    <w:rsid w:val="00F27476"/>
    <w:rsid w:val="00F274E2"/>
    <w:rsid w:val="00F276D6"/>
    <w:rsid w:val="00F27702"/>
    <w:rsid w:val="00F279CA"/>
    <w:rsid w:val="00F27FB6"/>
    <w:rsid w:val="00F30119"/>
    <w:rsid w:val="00F30151"/>
    <w:rsid w:val="00F304FA"/>
    <w:rsid w:val="00F3079A"/>
    <w:rsid w:val="00F308DA"/>
    <w:rsid w:val="00F308FB"/>
    <w:rsid w:val="00F30A3E"/>
    <w:rsid w:val="00F30A50"/>
    <w:rsid w:val="00F30B0B"/>
    <w:rsid w:val="00F30BD4"/>
    <w:rsid w:val="00F30E85"/>
    <w:rsid w:val="00F31156"/>
    <w:rsid w:val="00F31360"/>
    <w:rsid w:val="00F318B2"/>
    <w:rsid w:val="00F31F6F"/>
    <w:rsid w:val="00F31F8F"/>
    <w:rsid w:val="00F32011"/>
    <w:rsid w:val="00F320F8"/>
    <w:rsid w:val="00F3214A"/>
    <w:rsid w:val="00F32163"/>
    <w:rsid w:val="00F32713"/>
    <w:rsid w:val="00F32D0D"/>
    <w:rsid w:val="00F32DFA"/>
    <w:rsid w:val="00F32F94"/>
    <w:rsid w:val="00F32FA8"/>
    <w:rsid w:val="00F33208"/>
    <w:rsid w:val="00F33274"/>
    <w:rsid w:val="00F33795"/>
    <w:rsid w:val="00F3388A"/>
    <w:rsid w:val="00F33C2F"/>
    <w:rsid w:val="00F340EF"/>
    <w:rsid w:val="00F3431F"/>
    <w:rsid w:val="00F343C2"/>
    <w:rsid w:val="00F3456B"/>
    <w:rsid w:val="00F346F7"/>
    <w:rsid w:val="00F34796"/>
    <w:rsid w:val="00F34CE7"/>
    <w:rsid w:val="00F35099"/>
    <w:rsid w:val="00F3522B"/>
    <w:rsid w:val="00F35262"/>
    <w:rsid w:val="00F35291"/>
    <w:rsid w:val="00F3573B"/>
    <w:rsid w:val="00F35828"/>
    <w:rsid w:val="00F358F6"/>
    <w:rsid w:val="00F3593F"/>
    <w:rsid w:val="00F359AB"/>
    <w:rsid w:val="00F35C53"/>
    <w:rsid w:val="00F3684A"/>
    <w:rsid w:val="00F36A45"/>
    <w:rsid w:val="00F36B69"/>
    <w:rsid w:val="00F36D8A"/>
    <w:rsid w:val="00F370F4"/>
    <w:rsid w:val="00F376C3"/>
    <w:rsid w:val="00F37BED"/>
    <w:rsid w:val="00F37BF6"/>
    <w:rsid w:val="00F40080"/>
    <w:rsid w:val="00F401E5"/>
    <w:rsid w:val="00F40263"/>
    <w:rsid w:val="00F402A5"/>
    <w:rsid w:val="00F40680"/>
    <w:rsid w:val="00F40E3E"/>
    <w:rsid w:val="00F41088"/>
    <w:rsid w:val="00F41173"/>
    <w:rsid w:val="00F411F0"/>
    <w:rsid w:val="00F417CE"/>
    <w:rsid w:val="00F418EF"/>
    <w:rsid w:val="00F41AC0"/>
    <w:rsid w:val="00F41D45"/>
    <w:rsid w:val="00F42077"/>
    <w:rsid w:val="00F42302"/>
    <w:rsid w:val="00F424D4"/>
    <w:rsid w:val="00F4256C"/>
    <w:rsid w:val="00F42836"/>
    <w:rsid w:val="00F42CE1"/>
    <w:rsid w:val="00F42D8E"/>
    <w:rsid w:val="00F42DC7"/>
    <w:rsid w:val="00F4361E"/>
    <w:rsid w:val="00F43682"/>
    <w:rsid w:val="00F437C8"/>
    <w:rsid w:val="00F43927"/>
    <w:rsid w:val="00F43E07"/>
    <w:rsid w:val="00F440FF"/>
    <w:rsid w:val="00F44119"/>
    <w:rsid w:val="00F4416E"/>
    <w:rsid w:val="00F44279"/>
    <w:rsid w:val="00F446B5"/>
    <w:rsid w:val="00F44BEA"/>
    <w:rsid w:val="00F44D60"/>
    <w:rsid w:val="00F450FC"/>
    <w:rsid w:val="00F45364"/>
    <w:rsid w:val="00F4553E"/>
    <w:rsid w:val="00F45697"/>
    <w:rsid w:val="00F4570E"/>
    <w:rsid w:val="00F457CA"/>
    <w:rsid w:val="00F459C5"/>
    <w:rsid w:val="00F45D47"/>
    <w:rsid w:val="00F45F43"/>
    <w:rsid w:val="00F46031"/>
    <w:rsid w:val="00F46130"/>
    <w:rsid w:val="00F461D6"/>
    <w:rsid w:val="00F4634B"/>
    <w:rsid w:val="00F46527"/>
    <w:rsid w:val="00F4693E"/>
    <w:rsid w:val="00F46988"/>
    <w:rsid w:val="00F46A40"/>
    <w:rsid w:val="00F47287"/>
    <w:rsid w:val="00F4729A"/>
    <w:rsid w:val="00F47803"/>
    <w:rsid w:val="00F47A88"/>
    <w:rsid w:val="00F47BAA"/>
    <w:rsid w:val="00F47D6F"/>
    <w:rsid w:val="00F501FA"/>
    <w:rsid w:val="00F5035A"/>
    <w:rsid w:val="00F503FF"/>
    <w:rsid w:val="00F50676"/>
    <w:rsid w:val="00F5071C"/>
    <w:rsid w:val="00F5071F"/>
    <w:rsid w:val="00F50AAF"/>
    <w:rsid w:val="00F50B73"/>
    <w:rsid w:val="00F50C1E"/>
    <w:rsid w:val="00F51112"/>
    <w:rsid w:val="00F51339"/>
    <w:rsid w:val="00F51490"/>
    <w:rsid w:val="00F51668"/>
    <w:rsid w:val="00F518A9"/>
    <w:rsid w:val="00F519C2"/>
    <w:rsid w:val="00F51A8E"/>
    <w:rsid w:val="00F51C0A"/>
    <w:rsid w:val="00F52358"/>
    <w:rsid w:val="00F5237A"/>
    <w:rsid w:val="00F523BF"/>
    <w:rsid w:val="00F5243A"/>
    <w:rsid w:val="00F527B6"/>
    <w:rsid w:val="00F52CAB"/>
    <w:rsid w:val="00F52D05"/>
    <w:rsid w:val="00F52ECB"/>
    <w:rsid w:val="00F52F48"/>
    <w:rsid w:val="00F5305F"/>
    <w:rsid w:val="00F53211"/>
    <w:rsid w:val="00F53565"/>
    <w:rsid w:val="00F5388A"/>
    <w:rsid w:val="00F539CD"/>
    <w:rsid w:val="00F53DC0"/>
    <w:rsid w:val="00F53E2F"/>
    <w:rsid w:val="00F540CA"/>
    <w:rsid w:val="00F54BDD"/>
    <w:rsid w:val="00F54F61"/>
    <w:rsid w:val="00F55203"/>
    <w:rsid w:val="00F5538F"/>
    <w:rsid w:val="00F553D5"/>
    <w:rsid w:val="00F554C6"/>
    <w:rsid w:val="00F554D7"/>
    <w:rsid w:val="00F557C8"/>
    <w:rsid w:val="00F5590C"/>
    <w:rsid w:val="00F559C1"/>
    <w:rsid w:val="00F55B4A"/>
    <w:rsid w:val="00F55BBE"/>
    <w:rsid w:val="00F55FA8"/>
    <w:rsid w:val="00F5629D"/>
    <w:rsid w:val="00F5649B"/>
    <w:rsid w:val="00F56858"/>
    <w:rsid w:val="00F56968"/>
    <w:rsid w:val="00F56F9D"/>
    <w:rsid w:val="00F5703C"/>
    <w:rsid w:val="00F570A0"/>
    <w:rsid w:val="00F572D1"/>
    <w:rsid w:val="00F573C7"/>
    <w:rsid w:val="00F576A3"/>
    <w:rsid w:val="00F5788E"/>
    <w:rsid w:val="00F57990"/>
    <w:rsid w:val="00F57C5F"/>
    <w:rsid w:val="00F60035"/>
    <w:rsid w:val="00F600C2"/>
    <w:rsid w:val="00F6037D"/>
    <w:rsid w:val="00F604D7"/>
    <w:rsid w:val="00F60556"/>
    <w:rsid w:val="00F60628"/>
    <w:rsid w:val="00F6092F"/>
    <w:rsid w:val="00F6102A"/>
    <w:rsid w:val="00F6103D"/>
    <w:rsid w:val="00F610F5"/>
    <w:rsid w:val="00F61151"/>
    <w:rsid w:val="00F611EE"/>
    <w:rsid w:val="00F61B39"/>
    <w:rsid w:val="00F61BFE"/>
    <w:rsid w:val="00F61F4F"/>
    <w:rsid w:val="00F62118"/>
    <w:rsid w:val="00F62203"/>
    <w:rsid w:val="00F623D1"/>
    <w:rsid w:val="00F62669"/>
    <w:rsid w:val="00F62B97"/>
    <w:rsid w:val="00F62C95"/>
    <w:rsid w:val="00F62F84"/>
    <w:rsid w:val="00F630E9"/>
    <w:rsid w:val="00F632FC"/>
    <w:rsid w:val="00F6344B"/>
    <w:rsid w:val="00F63580"/>
    <w:rsid w:val="00F63797"/>
    <w:rsid w:val="00F63E99"/>
    <w:rsid w:val="00F63F91"/>
    <w:rsid w:val="00F64A21"/>
    <w:rsid w:val="00F64B4C"/>
    <w:rsid w:val="00F65000"/>
    <w:rsid w:val="00F65145"/>
    <w:rsid w:val="00F65165"/>
    <w:rsid w:val="00F6530D"/>
    <w:rsid w:val="00F65403"/>
    <w:rsid w:val="00F655FE"/>
    <w:rsid w:val="00F65673"/>
    <w:rsid w:val="00F656E0"/>
    <w:rsid w:val="00F658B2"/>
    <w:rsid w:val="00F65945"/>
    <w:rsid w:val="00F65BE4"/>
    <w:rsid w:val="00F65EED"/>
    <w:rsid w:val="00F65EFE"/>
    <w:rsid w:val="00F65FE5"/>
    <w:rsid w:val="00F664AC"/>
    <w:rsid w:val="00F6693F"/>
    <w:rsid w:val="00F66AF3"/>
    <w:rsid w:val="00F66E27"/>
    <w:rsid w:val="00F66F5C"/>
    <w:rsid w:val="00F670B3"/>
    <w:rsid w:val="00F6720A"/>
    <w:rsid w:val="00F6743D"/>
    <w:rsid w:val="00F674D0"/>
    <w:rsid w:val="00F67508"/>
    <w:rsid w:val="00F67533"/>
    <w:rsid w:val="00F6777B"/>
    <w:rsid w:val="00F6793A"/>
    <w:rsid w:val="00F67974"/>
    <w:rsid w:val="00F67BA8"/>
    <w:rsid w:val="00F67E3A"/>
    <w:rsid w:val="00F67ECB"/>
    <w:rsid w:val="00F70079"/>
    <w:rsid w:val="00F70565"/>
    <w:rsid w:val="00F7087E"/>
    <w:rsid w:val="00F70A89"/>
    <w:rsid w:val="00F70A91"/>
    <w:rsid w:val="00F70FBA"/>
    <w:rsid w:val="00F71512"/>
    <w:rsid w:val="00F71535"/>
    <w:rsid w:val="00F71586"/>
    <w:rsid w:val="00F71728"/>
    <w:rsid w:val="00F71840"/>
    <w:rsid w:val="00F71C62"/>
    <w:rsid w:val="00F71D4C"/>
    <w:rsid w:val="00F722AC"/>
    <w:rsid w:val="00F72488"/>
    <w:rsid w:val="00F724E0"/>
    <w:rsid w:val="00F728A9"/>
    <w:rsid w:val="00F729E0"/>
    <w:rsid w:val="00F72B3F"/>
    <w:rsid w:val="00F72C32"/>
    <w:rsid w:val="00F730AD"/>
    <w:rsid w:val="00F730F5"/>
    <w:rsid w:val="00F735B0"/>
    <w:rsid w:val="00F73664"/>
    <w:rsid w:val="00F7366E"/>
    <w:rsid w:val="00F73861"/>
    <w:rsid w:val="00F73A0F"/>
    <w:rsid w:val="00F73AC3"/>
    <w:rsid w:val="00F73BFB"/>
    <w:rsid w:val="00F73DFD"/>
    <w:rsid w:val="00F74033"/>
    <w:rsid w:val="00F7430F"/>
    <w:rsid w:val="00F7445D"/>
    <w:rsid w:val="00F7476A"/>
    <w:rsid w:val="00F74817"/>
    <w:rsid w:val="00F74B74"/>
    <w:rsid w:val="00F74C50"/>
    <w:rsid w:val="00F75237"/>
    <w:rsid w:val="00F75296"/>
    <w:rsid w:val="00F75D3D"/>
    <w:rsid w:val="00F75FF4"/>
    <w:rsid w:val="00F76308"/>
    <w:rsid w:val="00F76545"/>
    <w:rsid w:val="00F7657A"/>
    <w:rsid w:val="00F76C31"/>
    <w:rsid w:val="00F76CF4"/>
    <w:rsid w:val="00F76F6D"/>
    <w:rsid w:val="00F772A7"/>
    <w:rsid w:val="00F77505"/>
    <w:rsid w:val="00F77723"/>
    <w:rsid w:val="00F77839"/>
    <w:rsid w:val="00F77CD1"/>
    <w:rsid w:val="00F800B7"/>
    <w:rsid w:val="00F803DC"/>
    <w:rsid w:val="00F80571"/>
    <w:rsid w:val="00F807A4"/>
    <w:rsid w:val="00F80884"/>
    <w:rsid w:val="00F80989"/>
    <w:rsid w:val="00F8107B"/>
    <w:rsid w:val="00F810CB"/>
    <w:rsid w:val="00F81247"/>
    <w:rsid w:val="00F8132C"/>
    <w:rsid w:val="00F81C8E"/>
    <w:rsid w:val="00F81C98"/>
    <w:rsid w:val="00F81CA3"/>
    <w:rsid w:val="00F81CFD"/>
    <w:rsid w:val="00F82041"/>
    <w:rsid w:val="00F823BB"/>
    <w:rsid w:val="00F82688"/>
    <w:rsid w:val="00F827A5"/>
    <w:rsid w:val="00F82871"/>
    <w:rsid w:val="00F829C0"/>
    <w:rsid w:val="00F83201"/>
    <w:rsid w:val="00F8364A"/>
    <w:rsid w:val="00F8382D"/>
    <w:rsid w:val="00F83891"/>
    <w:rsid w:val="00F83E36"/>
    <w:rsid w:val="00F8416C"/>
    <w:rsid w:val="00F84608"/>
    <w:rsid w:val="00F84946"/>
    <w:rsid w:val="00F84A57"/>
    <w:rsid w:val="00F84A79"/>
    <w:rsid w:val="00F84B25"/>
    <w:rsid w:val="00F84BEF"/>
    <w:rsid w:val="00F84BF0"/>
    <w:rsid w:val="00F84C7D"/>
    <w:rsid w:val="00F84D06"/>
    <w:rsid w:val="00F84D7A"/>
    <w:rsid w:val="00F84EB6"/>
    <w:rsid w:val="00F84F2D"/>
    <w:rsid w:val="00F851D2"/>
    <w:rsid w:val="00F85349"/>
    <w:rsid w:val="00F854F8"/>
    <w:rsid w:val="00F856ED"/>
    <w:rsid w:val="00F85AC9"/>
    <w:rsid w:val="00F85B15"/>
    <w:rsid w:val="00F85B4F"/>
    <w:rsid w:val="00F85DBA"/>
    <w:rsid w:val="00F85EC2"/>
    <w:rsid w:val="00F85FE1"/>
    <w:rsid w:val="00F86292"/>
    <w:rsid w:val="00F86405"/>
    <w:rsid w:val="00F8686B"/>
    <w:rsid w:val="00F86A89"/>
    <w:rsid w:val="00F86C6C"/>
    <w:rsid w:val="00F8704C"/>
    <w:rsid w:val="00F870FC"/>
    <w:rsid w:val="00F872BA"/>
    <w:rsid w:val="00F872F8"/>
    <w:rsid w:val="00F87519"/>
    <w:rsid w:val="00F87B34"/>
    <w:rsid w:val="00F87CDC"/>
    <w:rsid w:val="00F87F16"/>
    <w:rsid w:val="00F87FA3"/>
    <w:rsid w:val="00F9007B"/>
    <w:rsid w:val="00F90113"/>
    <w:rsid w:val="00F9039E"/>
    <w:rsid w:val="00F903D0"/>
    <w:rsid w:val="00F906E3"/>
    <w:rsid w:val="00F906EB"/>
    <w:rsid w:val="00F90850"/>
    <w:rsid w:val="00F90A8F"/>
    <w:rsid w:val="00F90AF1"/>
    <w:rsid w:val="00F90B3E"/>
    <w:rsid w:val="00F90D9D"/>
    <w:rsid w:val="00F91BEF"/>
    <w:rsid w:val="00F91F0B"/>
    <w:rsid w:val="00F91F35"/>
    <w:rsid w:val="00F91F84"/>
    <w:rsid w:val="00F92284"/>
    <w:rsid w:val="00F92341"/>
    <w:rsid w:val="00F9234F"/>
    <w:rsid w:val="00F92383"/>
    <w:rsid w:val="00F923BE"/>
    <w:rsid w:val="00F92689"/>
    <w:rsid w:val="00F9288A"/>
    <w:rsid w:val="00F928F2"/>
    <w:rsid w:val="00F92ACA"/>
    <w:rsid w:val="00F92BF9"/>
    <w:rsid w:val="00F92F52"/>
    <w:rsid w:val="00F93037"/>
    <w:rsid w:val="00F93059"/>
    <w:rsid w:val="00F935C2"/>
    <w:rsid w:val="00F93683"/>
    <w:rsid w:val="00F93778"/>
    <w:rsid w:val="00F937A7"/>
    <w:rsid w:val="00F9387B"/>
    <w:rsid w:val="00F93956"/>
    <w:rsid w:val="00F93A6B"/>
    <w:rsid w:val="00F93AA0"/>
    <w:rsid w:val="00F93B97"/>
    <w:rsid w:val="00F93D01"/>
    <w:rsid w:val="00F93E5F"/>
    <w:rsid w:val="00F93E7F"/>
    <w:rsid w:val="00F93FA9"/>
    <w:rsid w:val="00F9444A"/>
    <w:rsid w:val="00F94476"/>
    <w:rsid w:val="00F9459A"/>
    <w:rsid w:val="00F94636"/>
    <w:rsid w:val="00F94713"/>
    <w:rsid w:val="00F94772"/>
    <w:rsid w:val="00F949A2"/>
    <w:rsid w:val="00F949B8"/>
    <w:rsid w:val="00F949FD"/>
    <w:rsid w:val="00F94A27"/>
    <w:rsid w:val="00F94E13"/>
    <w:rsid w:val="00F954C5"/>
    <w:rsid w:val="00F9583D"/>
    <w:rsid w:val="00F95D0D"/>
    <w:rsid w:val="00F96313"/>
    <w:rsid w:val="00F964B6"/>
    <w:rsid w:val="00F964EB"/>
    <w:rsid w:val="00F9690E"/>
    <w:rsid w:val="00F969B0"/>
    <w:rsid w:val="00F969B3"/>
    <w:rsid w:val="00F96D0A"/>
    <w:rsid w:val="00F96D66"/>
    <w:rsid w:val="00F96E35"/>
    <w:rsid w:val="00F96E73"/>
    <w:rsid w:val="00F96EA6"/>
    <w:rsid w:val="00F96EC1"/>
    <w:rsid w:val="00F96F32"/>
    <w:rsid w:val="00F97069"/>
    <w:rsid w:val="00F970B2"/>
    <w:rsid w:val="00F970C8"/>
    <w:rsid w:val="00F971F9"/>
    <w:rsid w:val="00F9748B"/>
    <w:rsid w:val="00F97750"/>
    <w:rsid w:val="00F9775B"/>
    <w:rsid w:val="00F97A04"/>
    <w:rsid w:val="00F97A29"/>
    <w:rsid w:val="00F97AFD"/>
    <w:rsid w:val="00F97E77"/>
    <w:rsid w:val="00F97F0C"/>
    <w:rsid w:val="00F97F2C"/>
    <w:rsid w:val="00FA002E"/>
    <w:rsid w:val="00FA034D"/>
    <w:rsid w:val="00FA0370"/>
    <w:rsid w:val="00FA03B7"/>
    <w:rsid w:val="00FA060B"/>
    <w:rsid w:val="00FA06FA"/>
    <w:rsid w:val="00FA0BEE"/>
    <w:rsid w:val="00FA106B"/>
    <w:rsid w:val="00FA127B"/>
    <w:rsid w:val="00FA1405"/>
    <w:rsid w:val="00FA148A"/>
    <w:rsid w:val="00FA14E3"/>
    <w:rsid w:val="00FA2417"/>
    <w:rsid w:val="00FA2756"/>
    <w:rsid w:val="00FA27B3"/>
    <w:rsid w:val="00FA2A08"/>
    <w:rsid w:val="00FA2A1A"/>
    <w:rsid w:val="00FA2CBB"/>
    <w:rsid w:val="00FA2D8D"/>
    <w:rsid w:val="00FA2EB2"/>
    <w:rsid w:val="00FA30C5"/>
    <w:rsid w:val="00FA38F0"/>
    <w:rsid w:val="00FA3969"/>
    <w:rsid w:val="00FA3B1A"/>
    <w:rsid w:val="00FA3E68"/>
    <w:rsid w:val="00FA4057"/>
    <w:rsid w:val="00FA439C"/>
    <w:rsid w:val="00FA44C9"/>
    <w:rsid w:val="00FA4DB7"/>
    <w:rsid w:val="00FA4EFE"/>
    <w:rsid w:val="00FA51C6"/>
    <w:rsid w:val="00FA5AFD"/>
    <w:rsid w:val="00FA5F37"/>
    <w:rsid w:val="00FA620A"/>
    <w:rsid w:val="00FA6233"/>
    <w:rsid w:val="00FA62EA"/>
    <w:rsid w:val="00FA67F8"/>
    <w:rsid w:val="00FA686C"/>
    <w:rsid w:val="00FA6B24"/>
    <w:rsid w:val="00FA6DE2"/>
    <w:rsid w:val="00FA6E71"/>
    <w:rsid w:val="00FA6E9B"/>
    <w:rsid w:val="00FA7134"/>
    <w:rsid w:val="00FA7144"/>
    <w:rsid w:val="00FA716F"/>
    <w:rsid w:val="00FA7217"/>
    <w:rsid w:val="00FA7368"/>
    <w:rsid w:val="00FA7472"/>
    <w:rsid w:val="00FA74FC"/>
    <w:rsid w:val="00FA75C7"/>
    <w:rsid w:val="00FA76D8"/>
    <w:rsid w:val="00FA79DF"/>
    <w:rsid w:val="00FA79E6"/>
    <w:rsid w:val="00FA7EF4"/>
    <w:rsid w:val="00FB0276"/>
    <w:rsid w:val="00FB032F"/>
    <w:rsid w:val="00FB03CC"/>
    <w:rsid w:val="00FB04BF"/>
    <w:rsid w:val="00FB089E"/>
    <w:rsid w:val="00FB0AB3"/>
    <w:rsid w:val="00FB0B62"/>
    <w:rsid w:val="00FB1094"/>
    <w:rsid w:val="00FB118A"/>
    <w:rsid w:val="00FB11BD"/>
    <w:rsid w:val="00FB1267"/>
    <w:rsid w:val="00FB1506"/>
    <w:rsid w:val="00FB157D"/>
    <w:rsid w:val="00FB19A6"/>
    <w:rsid w:val="00FB1AA4"/>
    <w:rsid w:val="00FB1AF1"/>
    <w:rsid w:val="00FB1E53"/>
    <w:rsid w:val="00FB22FF"/>
    <w:rsid w:val="00FB231E"/>
    <w:rsid w:val="00FB250A"/>
    <w:rsid w:val="00FB254A"/>
    <w:rsid w:val="00FB291E"/>
    <w:rsid w:val="00FB2E3F"/>
    <w:rsid w:val="00FB3698"/>
    <w:rsid w:val="00FB3BB0"/>
    <w:rsid w:val="00FB3C85"/>
    <w:rsid w:val="00FB3DA9"/>
    <w:rsid w:val="00FB3F32"/>
    <w:rsid w:val="00FB3F33"/>
    <w:rsid w:val="00FB3FB6"/>
    <w:rsid w:val="00FB3FBA"/>
    <w:rsid w:val="00FB4457"/>
    <w:rsid w:val="00FB479D"/>
    <w:rsid w:val="00FB47B8"/>
    <w:rsid w:val="00FB4958"/>
    <w:rsid w:val="00FB4B42"/>
    <w:rsid w:val="00FB4BE8"/>
    <w:rsid w:val="00FB4EFC"/>
    <w:rsid w:val="00FB505C"/>
    <w:rsid w:val="00FB5164"/>
    <w:rsid w:val="00FB5796"/>
    <w:rsid w:val="00FB57BD"/>
    <w:rsid w:val="00FB593C"/>
    <w:rsid w:val="00FB598E"/>
    <w:rsid w:val="00FB5E1E"/>
    <w:rsid w:val="00FB5F69"/>
    <w:rsid w:val="00FB605C"/>
    <w:rsid w:val="00FB61E7"/>
    <w:rsid w:val="00FB61FB"/>
    <w:rsid w:val="00FB63F8"/>
    <w:rsid w:val="00FB65AD"/>
    <w:rsid w:val="00FB65D4"/>
    <w:rsid w:val="00FB681B"/>
    <w:rsid w:val="00FB6BB2"/>
    <w:rsid w:val="00FB7900"/>
    <w:rsid w:val="00FB7A2A"/>
    <w:rsid w:val="00FB7CAB"/>
    <w:rsid w:val="00FB7F68"/>
    <w:rsid w:val="00FC0115"/>
    <w:rsid w:val="00FC032B"/>
    <w:rsid w:val="00FC0408"/>
    <w:rsid w:val="00FC05E0"/>
    <w:rsid w:val="00FC0A5A"/>
    <w:rsid w:val="00FC0EE1"/>
    <w:rsid w:val="00FC12C8"/>
    <w:rsid w:val="00FC18F4"/>
    <w:rsid w:val="00FC1A36"/>
    <w:rsid w:val="00FC1A42"/>
    <w:rsid w:val="00FC1A57"/>
    <w:rsid w:val="00FC1A72"/>
    <w:rsid w:val="00FC1B78"/>
    <w:rsid w:val="00FC1C5B"/>
    <w:rsid w:val="00FC20FE"/>
    <w:rsid w:val="00FC222C"/>
    <w:rsid w:val="00FC23A7"/>
    <w:rsid w:val="00FC274E"/>
    <w:rsid w:val="00FC2A80"/>
    <w:rsid w:val="00FC2BDC"/>
    <w:rsid w:val="00FC2E23"/>
    <w:rsid w:val="00FC2E9D"/>
    <w:rsid w:val="00FC2F85"/>
    <w:rsid w:val="00FC3225"/>
    <w:rsid w:val="00FC367B"/>
    <w:rsid w:val="00FC3A15"/>
    <w:rsid w:val="00FC3C46"/>
    <w:rsid w:val="00FC3CF6"/>
    <w:rsid w:val="00FC3E91"/>
    <w:rsid w:val="00FC3F21"/>
    <w:rsid w:val="00FC413C"/>
    <w:rsid w:val="00FC4331"/>
    <w:rsid w:val="00FC45A5"/>
    <w:rsid w:val="00FC468D"/>
    <w:rsid w:val="00FC46BD"/>
    <w:rsid w:val="00FC4AF4"/>
    <w:rsid w:val="00FC4CC4"/>
    <w:rsid w:val="00FC4F56"/>
    <w:rsid w:val="00FC4F74"/>
    <w:rsid w:val="00FC51E3"/>
    <w:rsid w:val="00FC5597"/>
    <w:rsid w:val="00FC5770"/>
    <w:rsid w:val="00FC578A"/>
    <w:rsid w:val="00FC57C5"/>
    <w:rsid w:val="00FC581E"/>
    <w:rsid w:val="00FC585E"/>
    <w:rsid w:val="00FC5B6C"/>
    <w:rsid w:val="00FC5C9F"/>
    <w:rsid w:val="00FC5DD9"/>
    <w:rsid w:val="00FC5DE3"/>
    <w:rsid w:val="00FC5E5C"/>
    <w:rsid w:val="00FC5E82"/>
    <w:rsid w:val="00FC5EEF"/>
    <w:rsid w:val="00FC627C"/>
    <w:rsid w:val="00FC6578"/>
    <w:rsid w:val="00FC6B88"/>
    <w:rsid w:val="00FC6C2A"/>
    <w:rsid w:val="00FC6DBB"/>
    <w:rsid w:val="00FC6EFE"/>
    <w:rsid w:val="00FC6F47"/>
    <w:rsid w:val="00FC7001"/>
    <w:rsid w:val="00FC72D7"/>
    <w:rsid w:val="00FC7428"/>
    <w:rsid w:val="00FC7450"/>
    <w:rsid w:val="00FC7BF1"/>
    <w:rsid w:val="00FC7ED1"/>
    <w:rsid w:val="00FC7F73"/>
    <w:rsid w:val="00FC7FFB"/>
    <w:rsid w:val="00FD00D2"/>
    <w:rsid w:val="00FD01E1"/>
    <w:rsid w:val="00FD0254"/>
    <w:rsid w:val="00FD0263"/>
    <w:rsid w:val="00FD0297"/>
    <w:rsid w:val="00FD03EC"/>
    <w:rsid w:val="00FD0956"/>
    <w:rsid w:val="00FD09D0"/>
    <w:rsid w:val="00FD0C00"/>
    <w:rsid w:val="00FD0CD1"/>
    <w:rsid w:val="00FD0EA4"/>
    <w:rsid w:val="00FD0F3B"/>
    <w:rsid w:val="00FD12F9"/>
    <w:rsid w:val="00FD130C"/>
    <w:rsid w:val="00FD13C1"/>
    <w:rsid w:val="00FD1449"/>
    <w:rsid w:val="00FD179F"/>
    <w:rsid w:val="00FD19A1"/>
    <w:rsid w:val="00FD1C11"/>
    <w:rsid w:val="00FD2020"/>
    <w:rsid w:val="00FD21E8"/>
    <w:rsid w:val="00FD2210"/>
    <w:rsid w:val="00FD259C"/>
    <w:rsid w:val="00FD274C"/>
    <w:rsid w:val="00FD2903"/>
    <w:rsid w:val="00FD2E2C"/>
    <w:rsid w:val="00FD2EDF"/>
    <w:rsid w:val="00FD2EFE"/>
    <w:rsid w:val="00FD2F4C"/>
    <w:rsid w:val="00FD32BA"/>
    <w:rsid w:val="00FD367D"/>
    <w:rsid w:val="00FD370B"/>
    <w:rsid w:val="00FD37B8"/>
    <w:rsid w:val="00FD37C8"/>
    <w:rsid w:val="00FD381F"/>
    <w:rsid w:val="00FD3BC7"/>
    <w:rsid w:val="00FD3C20"/>
    <w:rsid w:val="00FD4075"/>
    <w:rsid w:val="00FD40D6"/>
    <w:rsid w:val="00FD4867"/>
    <w:rsid w:val="00FD496C"/>
    <w:rsid w:val="00FD49CB"/>
    <w:rsid w:val="00FD4CE5"/>
    <w:rsid w:val="00FD4CED"/>
    <w:rsid w:val="00FD4F78"/>
    <w:rsid w:val="00FD531E"/>
    <w:rsid w:val="00FD5452"/>
    <w:rsid w:val="00FD58BD"/>
    <w:rsid w:val="00FD6030"/>
    <w:rsid w:val="00FD607C"/>
    <w:rsid w:val="00FD60DD"/>
    <w:rsid w:val="00FD6135"/>
    <w:rsid w:val="00FD6162"/>
    <w:rsid w:val="00FD6484"/>
    <w:rsid w:val="00FD652B"/>
    <w:rsid w:val="00FD66F5"/>
    <w:rsid w:val="00FD681D"/>
    <w:rsid w:val="00FD6B5A"/>
    <w:rsid w:val="00FD6C07"/>
    <w:rsid w:val="00FD6D08"/>
    <w:rsid w:val="00FD7B38"/>
    <w:rsid w:val="00FD7D30"/>
    <w:rsid w:val="00FD7E39"/>
    <w:rsid w:val="00FE01FF"/>
    <w:rsid w:val="00FE087E"/>
    <w:rsid w:val="00FE09A3"/>
    <w:rsid w:val="00FE09F3"/>
    <w:rsid w:val="00FE0A42"/>
    <w:rsid w:val="00FE0AFB"/>
    <w:rsid w:val="00FE0C42"/>
    <w:rsid w:val="00FE1784"/>
    <w:rsid w:val="00FE1B60"/>
    <w:rsid w:val="00FE1D21"/>
    <w:rsid w:val="00FE1DFB"/>
    <w:rsid w:val="00FE1EBB"/>
    <w:rsid w:val="00FE2378"/>
    <w:rsid w:val="00FE24A3"/>
    <w:rsid w:val="00FE258E"/>
    <w:rsid w:val="00FE2775"/>
    <w:rsid w:val="00FE29B1"/>
    <w:rsid w:val="00FE2A1A"/>
    <w:rsid w:val="00FE2A1D"/>
    <w:rsid w:val="00FE2ABC"/>
    <w:rsid w:val="00FE2B63"/>
    <w:rsid w:val="00FE2DB7"/>
    <w:rsid w:val="00FE307C"/>
    <w:rsid w:val="00FE350E"/>
    <w:rsid w:val="00FE3633"/>
    <w:rsid w:val="00FE3672"/>
    <w:rsid w:val="00FE38D0"/>
    <w:rsid w:val="00FE3B10"/>
    <w:rsid w:val="00FE3F60"/>
    <w:rsid w:val="00FE3F81"/>
    <w:rsid w:val="00FE42C4"/>
    <w:rsid w:val="00FE438D"/>
    <w:rsid w:val="00FE44F6"/>
    <w:rsid w:val="00FE4548"/>
    <w:rsid w:val="00FE459A"/>
    <w:rsid w:val="00FE461C"/>
    <w:rsid w:val="00FE483F"/>
    <w:rsid w:val="00FE4A16"/>
    <w:rsid w:val="00FE4EAA"/>
    <w:rsid w:val="00FE4F58"/>
    <w:rsid w:val="00FE5205"/>
    <w:rsid w:val="00FE5288"/>
    <w:rsid w:val="00FE5341"/>
    <w:rsid w:val="00FE5411"/>
    <w:rsid w:val="00FE5586"/>
    <w:rsid w:val="00FE55F5"/>
    <w:rsid w:val="00FE5EB0"/>
    <w:rsid w:val="00FE6122"/>
    <w:rsid w:val="00FE635D"/>
    <w:rsid w:val="00FE63BA"/>
    <w:rsid w:val="00FE6804"/>
    <w:rsid w:val="00FE6B5C"/>
    <w:rsid w:val="00FE6E81"/>
    <w:rsid w:val="00FE768B"/>
    <w:rsid w:val="00FE7B3E"/>
    <w:rsid w:val="00FE7CF9"/>
    <w:rsid w:val="00FE7E33"/>
    <w:rsid w:val="00FF02AA"/>
    <w:rsid w:val="00FF03C6"/>
    <w:rsid w:val="00FF046B"/>
    <w:rsid w:val="00FF0564"/>
    <w:rsid w:val="00FF0B4D"/>
    <w:rsid w:val="00FF0B64"/>
    <w:rsid w:val="00FF0D6A"/>
    <w:rsid w:val="00FF10C9"/>
    <w:rsid w:val="00FF1136"/>
    <w:rsid w:val="00FF14C2"/>
    <w:rsid w:val="00FF15F1"/>
    <w:rsid w:val="00FF17C3"/>
    <w:rsid w:val="00FF17C5"/>
    <w:rsid w:val="00FF196A"/>
    <w:rsid w:val="00FF1AB0"/>
    <w:rsid w:val="00FF1AEB"/>
    <w:rsid w:val="00FF25ED"/>
    <w:rsid w:val="00FF261A"/>
    <w:rsid w:val="00FF2684"/>
    <w:rsid w:val="00FF2B07"/>
    <w:rsid w:val="00FF301D"/>
    <w:rsid w:val="00FF3157"/>
    <w:rsid w:val="00FF3220"/>
    <w:rsid w:val="00FF3279"/>
    <w:rsid w:val="00FF32F6"/>
    <w:rsid w:val="00FF3562"/>
    <w:rsid w:val="00FF3664"/>
    <w:rsid w:val="00FF3B8D"/>
    <w:rsid w:val="00FF3E9F"/>
    <w:rsid w:val="00FF3F5E"/>
    <w:rsid w:val="00FF4175"/>
    <w:rsid w:val="00FF44A0"/>
    <w:rsid w:val="00FF44BE"/>
    <w:rsid w:val="00FF44EB"/>
    <w:rsid w:val="00FF482C"/>
    <w:rsid w:val="00FF49F3"/>
    <w:rsid w:val="00FF4FD6"/>
    <w:rsid w:val="00FF5140"/>
    <w:rsid w:val="00FF5437"/>
    <w:rsid w:val="00FF5544"/>
    <w:rsid w:val="00FF5A1D"/>
    <w:rsid w:val="00FF5BB8"/>
    <w:rsid w:val="00FF5DA8"/>
    <w:rsid w:val="00FF5DAE"/>
    <w:rsid w:val="00FF629C"/>
    <w:rsid w:val="00FF63FF"/>
    <w:rsid w:val="00FF6738"/>
    <w:rsid w:val="00FF6F66"/>
    <w:rsid w:val="00FF71D9"/>
    <w:rsid w:val="00FF72CD"/>
    <w:rsid w:val="00FF76CA"/>
    <w:rsid w:val="00FF7793"/>
    <w:rsid w:val="00FF7AF6"/>
    <w:rsid w:val="00FF7E22"/>
    <w:rsid w:val="00FF7FDC"/>
    <w:rsid w:val="0132B9A4"/>
    <w:rsid w:val="04177792"/>
    <w:rsid w:val="04F465D3"/>
    <w:rsid w:val="052EAEB0"/>
    <w:rsid w:val="072BE462"/>
    <w:rsid w:val="0981E5E3"/>
    <w:rsid w:val="0E4D5CCD"/>
    <w:rsid w:val="1088B66C"/>
    <w:rsid w:val="12508C0D"/>
    <w:rsid w:val="1423DDD1"/>
    <w:rsid w:val="15A97095"/>
    <w:rsid w:val="1E5D6B44"/>
    <w:rsid w:val="1EB185C8"/>
    <w:rsid w:val="25730D60"/>
    <w:rsid w:val="264FA50F"/>
    <w:rsid w:val="2BC97E9A"/>
    <w:rsid w:val="2D2A1BB8"/>
    <w:rsid w:val="2D70D4F0"/>
    <w:rsid w:val="2E221BE4"/>
    <w:rsid w:val="300F9E51"/>
    <w:rsid w:val="311B14B5"/>
    <w:rsid w:val="32D059D4"/>
    <w:rsid w:val="36EA364C"/>
    <w:rsid w:val="37529751"/>
    <w:rsid w:val="38B304F8"/>
    <w:rsid w:val="38ED6502"/>
    <w:rsid w:val="3A4D4880"/>
    <w:rsid w:val="3CDA0F51"/>
    <w:rsid w:val="44DA8013"/>
    <w:rsid w:val="46CA257F"/>
    <w:rsid w:val="4DFB771E"/>
    <w:rsid w:val="4E9CBB1B"/>
    <w:rsid w:val="4FAF68F3"/>
    <w:rsid w:val="51899B03"/>
    <w:rsid w:val="5397A65D"/>
    <w:rsid w:val="56867E16"/>
    <w:rsid w:val="5CB0251F"/>
    <w:rsid w:val="60F3136D"/>
    <w:rsid w:val="68F00B01"/>
    <w:rsid w:val="6B6BD98E"/>
    <w:rsid w:val="6D98446E"/>
    <w:rsid w:val="6F40F393"/>
    <w:rsid w:val="7281D228"/>
    <w:rsid w:val="758C260A"/>
    <w:rsid w:val="7684577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4FF3"/>
  <w15:docId w15:val="{38DB18BE-E365-4A1E-8F17-F6B4D84E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7629"/>
  </w:style>
  <w:style w:type="paragraph" w:styleId="Heading1">
    <w:name w:val="heading 1"/>
    <w:basedOn w:val="Title"/>
    <w:next w:val="Normal"/>
    <w:link w:val="Heading1Char"/>
    <w:uiPriority w:val="9"/>
    <w:qFormat/>
    <w:rsid w:val="00CD7ABD"/>
    <w:pPr>
      <w:spacing w:after="0"/>
      <w:outlineLvl w:val="0"/>
    </w:pPr>
    <w:rPr>
      <w:rFonts w:ascii="Arial" w:eastAsiaTheme="minorHAnsi" w:hAnsi="Arial" w:cs="Arial"/>
      <w:b/>
      <w:color w:val="auto"/>
      <w:spacing w:val="0"/>
      <w:kern w:val="0"/>
      <w:sz w:val="24"/>
      <w:szCs w:val="24"/>
      <w:lang w:val="mn-MN"/>
    </w:rPr>
  </w:style>
  <w:style w:type="paragraph" w:styleId="Heading2">
    <w:name w:val="heading 2"/>
    <w:basedOn w:val="Normal"/>
    <w:next w:val="Normal"/>
    <w:link w:val="Heading2Char"/>
    <w:uiPriority w:val="9"/>
    <w:unhideWhenUsed/>
    <w:qFormat/>
    <w:rsid w:val="00CD7ABD"/>
    <w:pPr>
      <w:numPr>
        <w:numId w:val="6"/>
      </w:numPr>
      <w:tabs>
        <w:tab w:val="left" w:pos="360"/>
      </w:tabs>
      <w:spacing w:after="0" w:line="240" w:lineRule="auto"/>
      <w:jc w:val="both"/>
      <w:outlineLvl w:val="1"/>
    </w:pPr>
    <w:rPr>
      <w:rFonts w:ascii="Arial" w:hAnsi="Arial" w:cs="Arial"/>
      <w:b/>
      <w:sz w:val="24"/>
      <w:lang w:val="mn-MN"/>
    </w:rPr>
  </w:style>
  <w:style w:type="paragraph" w:styleId="Heading3">
    <w:name w:val="heading 3"/>
    <w:basedOn w:val="Normal"/>
    <w:next w:val="Normal"/>
    <w:link w:val="Heading3Char"/>
    <w:uiPriority w:val="9"/>
    <w:unhideWhenUsed/>
    <w:qFormat/>
    <w:rsid w:val="00982B82"/>
    <w:pPr>
      <w:keepNext/>
      <w:keepLines/>
      <w:spacing w:before="40" w:after="0"/>
      <w:outlineLvl w:val="2"/>
    </w:pPr>
    <w:rPr>
      <w:rFonts w:ascii="Times New Roman" w:eastAsiaTheme="majorEastAsia" w:hAnsi="Times New Roman" w:cs="Times New Roman"/>
      <w:color w:val="1F3763" w:themeColor="accent1" w:themeShade="7F"/>
      <w:sz w:val="24"/>
      <w:szCs w:val="24"/>
      <w:lang w:val="mn-MN"/>
    </w:rPr>
  </w:style>
  <w:style w:type="paragraph" w:styleId="Heading4">
    <w:name w:val="heading 4"/>
    <w:basedOn w:val="Normal"/>
    <w:next w:val="Normal"/>
    <w:link w:val="Heading4Char"/>
    <w:uiPriority w:val="9"/>
    <w:unhideWhenUsed/>
    <w:qFormat/>
    <w:rsid w:val="00F765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C1C5B"/>
    <w:pPr>
      <w:jc w:val="both"/>
    </w:pPr>
    <w:rPr>
      <w:rFonts w:ascii="Times New Roman" w:hAnsi="Times New Roman" w:cs="Times New Roman"/>
      <w:lang w:val="mn-MN"/>
    </w:rPr>
  </w:style>
  <w:style w:type="character" w:customStyle="1" w:styleId="NoSpacingChar">
    <w:name w:val="No Spacing Char"/>
    <w:basedOn w:val="DefaultParagraphFont"/>
    <w:link w:val="NoSpacing"/>
    <w:uiPriority w:val="1"/>
    <w:rsid w:val="00FC1C5B"/>
    <w:rPr>
      <w:rFonts w:ascii="Times New Roman" w:hAnsi="Times New Roman" w:cs="Times New Roman"/>
      <w:lang w:val="mn-MN"/>
    </w:rPr>
  </w:style>
  <w:style w:type="paragraph" w:styleId="Header">
    <w:name w:val="header"/>
    <w:basedOn w:val="Normal"/>
    <w:link w:val="HeaderChar"/>
    <w:uiPriority w:val="99"/>
    <w:unhideWhenUsed/>
    <w:rsid w:val="00B501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0136"/>
  </w:style>
  <w:style w:type="paragraph" w:styleId="Footer">
    <w:name w:val="footer"/>
    <w:basedOn w:val="Normal"/>
    <w:link w:val="FooterChar"/>
    <w:uiPriority w:val="99"/>
    <w:unhideWhenUsed/>
    <w:rsid w:val="00B501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0136"/>
  </w:style>
  <w:style w:type="paragraph" w:styleId="ListParagraph">
    <w:name w:val="List Paragraph"/>
    <w:aliases w:val="IBL List Paragraph,Bullets,List Paragraph1,Colorful List - Accent 11,List Paragraph (numbered (a)),References,List_Paragraph,Multilevel para_II,AusAID List Paragraph,Paragraph,Numbered Paragraph,Main numbered paragraph,List Paragraph Num"/>
    <w:basedOn w:val="Normal"/>
    <w:link w:val="ListParagraphChar"/>
    <w:uiPriority w:val="34"/>
    <w:qFormat/>
    <w:rsid w:val="008F2EE8"/>
    <w:pPr>
      <w:ind w:left="720"/>
      <w:contextualSpacing/>
    </w:pPr>
  </w:style>
  <w:style w:type="character" w:customStyle="1" w:styleId="Heading1Char">
    <w:name w:val="Heading 1 Char"/>
    <w:basedOn w:val="DefaultParagraphFont"/>
    <w:link w:val="Heading1"/>
    <w:uiPriority w:val="9"/>
    <w:rsid w:val="00CD7ABD"/>
    <w:rPr>
      <w:rFonts w:ascii="Arial" w:hAnsi="Arial" w:cs="Arial"/>
      <w:b/>
      <w:sz w:val="24"/>
      <w:szCs w:val="24"/>
      <w:lang w:val="mn-MN"/>
    </w:rPr>
  </w:style>
  <w:style w:type="paragraph" w:styleId="Title">
    <w:name w:val="Title"/>
    <w:basedOn w:val="Normal"/>
    <w:next w:val="Normal"/>
    <w:link w:val="TitleChar"/>
    <w:uiPriority w:val="10"/>
    <w:qFormat/>
    <w:rsid w:val="008F2E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2EE8"/>
    <w:rPr>
      <w:rFonts w:asciiTheme="majorHAnsi" w:eastAsiaTheme="majorEastAsia" w:hAnsiTheme="majorHAnsi" w:cstheme="majorBidi"/>
      <w:color w:val="323E4F" w:themeColor="text2" w:themeShade="BF"/>
      <w:spacing w:val="5"/>
      <w:kern w:val="28"/>
      <w:sz w:val="52"/>
      <w:szCs w:val="52"/>
    </w:rPr>
  </w:style>
  <w:style w:type="character" w:styleId="SubtleReference">
    <w:name w:val="Subtle Reference"/>
    <w:basedOn w:val="DefaultParagraphFont"/>
    <w:uiPriority w:val="31"/>
    <w:qFormat/>
    <w:rsid w:val="008F2EE8"/>
    <w:rPr>
      <w:smallCaps/>
      <w:color w:val="ED7D31" w:themeColor="accent2"/>
      <w:u w:val="single"/>
    </w:rPr>
  </w:style>
  <w:style w:type="paragraph" w:styleId="BalloonText">
    <w:name w:val="Balloon Text"/>
    <w:basedOn w:val="Normal"/>
    <w:link w:val="BalloonTextChar"/>
    <w:uiPriority w:val="99"/>
    <w:semiHidden/>
    <w:unhideWhenUsed/>
    <w:rsid w:val="00FA2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D8D"/>
    <w:rPr>
      <w:rFonts w:ascii="Segoe UI" w:hAnsi="Segoe UI" w:cs="Segoe UI"/>
      <w:sz w:val="18"/>
      <w:szCs w:val="18"/>
    </w:rPr>
  </w:style>
  <w:style w:type="paragraph" w:styleId="TOCHeading">
    <w:name w:val="TOC Heading"/>
    <w:basedOn w:val="Heading1"/>
    <w:next w:val="Normal"/>
    <w:uiPriority w:val="39"/>
    <w:unhideWhenUsed/>
    <w:qFormat/>
    <w:rsid w:val="004F0271"/>
    <w:pPr>
      <w:keepNext/>
      <w:keepLines/>
      <w:pBdr>
        <w:bottom w:val="none" w:sz="0" w:space="0" w:color="auto"/>
      </w:pBdr>
      <w:spacing w:before="240" w:line="259" w:lineRule="auto"/>
      <w:contextualSpacing w:val="0"/>
      <w:outlineLvl w:val="9"/>
    </w:pPr>
    <w:rPr>
      <w:rFonts w:asciiTheme="majorHAnsi" w:hAnsiTheme="majorHAnsi" w:cstheme="majorBidi"/>
      <w:b w:val="0"/>
      <w:color w:val="2F5496" w:themeColor="accent1" w:themeShade="BF"/>
      <w:sz w:val="32"/>
      <w:szCs w:val="32"/>
      <w:lang w:val="en-US"/>
    </w:rPr>
  </w:style>
  <w:style w:type="paragraph" w:styleId="Index1">
    <w:name w:val="index 1"/>
    <w:basedOn w:val="Normal"/>
    <w:next w:val="Normal"/>
    <w:autoRedefine/>
    <w:uiPriority w:val="99"/>
    <w:semiHidden/>
    <w:unhideWhenUsed/>
    <w:rsid w:val="0063074B"/>
    <w:pPr>
      <w:spacing w:after="0" w:line="240" w:lineRule="auto"/>
      <w:ind w:left="220" w:hanging="220"/>
    </w:pPr>
  </w:style>
  <w:style w:type="paragraph" w:styleId="TOC1">
    <w:name w:val="toc 1"/>
    <w:basedOn w:val="Normal"/>
    <w:next w:val="Normal"/>
    <w:autoRedefine/>
    <w:uiPriority w:val="39"/>
    <w:unhideWhenUsed/>
    <w:rsid w:val="00DC47E3"/>
    <w:pPr>
      <w:tabs>
        <w:tab w:val="right" w:leader="dot" w:pos="8822"/>
      </w:tabs>
      <w:spacing w:after="0"/>
    </w:pPr>
  </w:style>
  <w:style w:type="character" w:styleId="Hyperlink">
    <w:name w:val="Hyperlink"/>
    <w:basedOn w:val="DefaultParagraphFont"/>
    <w:uiPriority w:val="99"/>
    <w:unhideWhenUsed/>
    <w:rsid w:val="004F0271"/>
    <w:rPr>
      <w:color w:val="0563C1" w:themeColor="hyperlink"/>
      <w:u w:val="single"/>
    </w:rPr>
  </w:style>
  <w:style w:type="table" w:styleId="TableGrid">
    <w:name w:val="Table Grid"/>
    <w:basedOn w:val="TableNormal"/>
    <w:uiPriority w:val="39"/>
    <w:rsid w:val="00070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0708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CD7ABD"/>
    <w:rPr>
      <w:rFonts w:ascii="Arial" w:hAnsi="Arial" w:cs="Arial"/>
      <w:b/>
      <w:sz w:val="24"/>
      <w:lang w:val="mn-MN"/>
    </w:rPr>
  </w:style>
  <w:style w:type="paragraph" w:styleId="Caption">
    <w:name w:val="caption"/>
    <w:aliases w:val="Хавсралт"/>
    <w:basedOn w:val="Normal"/>
    <w:next w:val="Normal"/>
    <w:uiPriority w:val="35"/>
    <w:unhideWhenUsed/>
    <w:qFormat/>
    <w:rsid w:val="00C20717"/>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982B82"/>
    <w:rPr>
      <w:rFonts w:ascii="Times New Roman" w:eastAsiaTheme="majorEastAsia" w:hAnsi="Times New Roman" w:cs="Times New Roman"/>
      <w:color w:val="1F3763" w:themeColor="accent1" w:themeShade="7F"/>
      <w:sz w:val="24"/>
      <w:szCs w:val="24"/>
      <w:lang w:val="mn-MN"/>
    </w:rPr>
  </w:style>
  <w:style w:type="paragraph" w:styleId="FootnoteText">
    <w:name w:val="footnote text"/>
    <w:basedOn w:val="Normal"/>
    <w:link w:val="FootnoteTextChar"/>
    <w:uiPriority w:val="99"/>
    <w:unhideWhenUsed/>
    <w:rsid w:val="00B6334E"/>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sid w:val="00B6334E"/>
    <w:rPr>
      <w:rFonts w:eastAsia="SimSun"/>
      <w:sz w:val="20"/>
      <w:szCs w:val="20"/>
    </w:rPr>
  </w:style>
  <w:style w:type="character" w:styleId="FootnoteReference">
    <w:name w:val="footnote reference"/>
    <w:basedOn w:val="DefaultParagraphFont"/>
    <w:uiPriority w:val="99"/>
    <w:semiHidden/>
    <w:unhideWhenUsed/>
    <w:rsid w:val="00B6334E"/>
    <w:rPr>
      <w:vertAlign w:val="superscript"/>
    </w:rPr>
  </w:style>
  <w:style w:type="table" w:customStyle="1" w:styleId="LightShading-Accent11">
    <w:name w:val="Light Shading - Accent 11"/>
    <w:basedOn w:val="TableNormal"/>
    <w:uiPriority w:val="60"/>
    <w:rsid w:val="00B6334E"/>
    <w:pPr>
      <w:spacing w:after="0" w:line="240" w:lineRule="auto"/>
    </w:pPr>
    <w:rPr>
      <w:rFonts w:eastAsia="SimSu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ListParagraphChar">
    <w:name w:val="List Paragraph Char"/>
    <w:aliases w:val="IBL List Paragraph Char,Bullets Char,List Paragraph1 Char,Colorful List - Accent 11 Char,List Paragraph (numbered (a)) Char,References Char,List_Paragraph Char,Multilevel para_II Char,AusAID List Paragraph Char,Paragraph Char"/>
    <w:link w:val="ListParagraph"/>
    <w:uiPriority w:val="34"/>
    <w:qFormat/>
    <w:locked/>
    <w:rsid w:val="00B6334E"/>
  </w:style>
  <w:style w:type="paragraph" w:styleId="TOC2">
    <w:name w:val="toc 2"/>
    <w:basedOn w:val="Normal"/>
    <w:next w:val="Normal"/>
    <w:autoRedefine/>
    <w:uiPriority w:val="39"/>
    <w:unhideWhenUsed/>
    <w:rsid w:val="00D70A4F"/>
    <w:pPr>
      <w:tabs>
        <w:tab w:val="right" w:leader="dot" w:pos="8810"/>
      </w:tabs>
      <w:spacing w:after="100"/>
      <w:ind w:left="220"/>
    </w:pPr>
  </w:style>
  <w:style w:type="paragraph" w:styleId="TOC3">
    <w:name w:val="toc 3"/>
    <w:basedOn w:val="Normal"/>
    <w:next w:val="Normal"/>
    <w:autoRedefine/>
    <w:uiPriority w:val="39"/>
    <w:unhideWhenUsed/>
    <w:rsid w:val="00724EC9"/>
    <w:pPr>
      <w:tabs>
        <w:tab w:val="right" w:leader="dot" w:pos="9247"/>
      </w:tabs>
      <w:spacing w:after="100"/>
      <w:ind w:left="440"/>
    </w:pPr>
  </w:style>
  <w:style w:type="paragraph" w:styleId="NormalWeb">
    <w:name w:val="Normal (Web)"/>
    <w:basedOn w:val="Normal"/>
    <w:uiPriority w:val="99"/>
    <w:unhideWhenUsed/>
    <w:rsid w:val="00C144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7657A"/>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62B45"/>
    <w:rPr>
      <w:b/>
      <w:bCs/>
    </w:rPr>
  </w:style>
  <w:style w:type="character" w:styleId="CommentReference">
    <w:name w:val="annotation reference"/>
    <w:basedOn w:val="DefaultParagraphFont"/>
    <w:uiPriority w:val="99"/>
    <w:semiHidden/>
    <w:unhideWhenUsed/>
    <w:rsid w:val="00045C3B"/>
    <w:rPr>
      <w:sz w:val="16"/>
      <w:szCs w:val="16"/>
    </w:rPr>
  </w:style>
  <w:style w:type="paragraph" w:styleId="CommentText">
    <w:name w:val="annotation text"/>
    <w:basedOn w:val="Normal"/>
    <w:link w:val="CommentTextChar"/>
    <w:uiPriority w:val="99"/>
    <w:unhideWhenUsed/>
    <w:rsid w:val="00045C3B"/>
    <w:pPr>
      <w:spacing w:line="240" w:lineRule="auto"/>
    </w:pPr>
    <w:rPr>
      <w:sz w:val="20"/>
      <w:szCs w:val="20"/>
    </w:rPr>
  </w:style>
  <w:style w:type="character" w:customStyle="1" w:styleId="CommentTextChar">
    <w:name w:val="Comment Text Char"/>
    <w:basedOn w:val="DefaultParagraphFont"/>
    <w:link w:val="CommentText"/>
    <w:uiPriority w:val="99"/>
    <w:rsid w:val="00045C3B"/>
    <w:rPr>
      <w:sz w:val="20"/>
      <w:szCs w:val="20"/>
    </w:rPr>
  </w:style>
  <w:style w:type="paragraph" w:styleId="CommentSubject">
    <w:name w:val="annotation subject"/>
    <w:basedOn w:val="CommentText"/>
    <w:next w:val="CommentText"/>
    <w:link w:val="CommentSubjectChar"/>
    <w:uiPriority w:val="99"/>
    <w:semiHidden/>
    <w:unhideWhenUsed/>
    <w:rsid w:val="00045C3B"/>
    <w:rPr>
      <w:b/>
      <w:bCs/>
    </w:rPr>
  </w:style>
  <w:style w:type="character" w:customStyle="1" w:styleId="CommentSubjectChar">
    <w:name w:val="Comment Subject Char"/>
    <w:basedOn w:val="CommentTextChar"/>
    <w:link w:val="CommentSubject"/>
    <w:uiPriority w:val="99"/>
    <w:semiHidden/>
    <w:rsid w:val="00045C3B"/>
    <w:rPr>
      <w:b/>
      <w:bCs/>
      <w:sz w:val="20"/>
      <w:szCs w:val="20"/>
    </w:rPr>
  </w:style>
  <w:style w:type="paragraph" w:styleId="Revision">
    <w:name w:val="Revision"/>
    <w:hidden/>
    <w:uiPriority w:val="99"/>
    <w:semiHidden/>
    <w:rsid w:val="00B02CF7"/>
    <w:pPr>
      <w:spacing w:after="0" w:line="240" w:lineRule="auto"/>
    </w:pPr>
  </w:style>
  <w:style w:type="paragraph" w:styleId="EndnoteText">
    <w:name w:val="endnote text"/>
    <w:basedOn w:val="Normal"/>
    <w:link w:val="EndnoteTextChar"/>
    <w:uiPriority w:val="99"/>
    <w:semiHidden/>
    <w:unhideWhenUsed/>
    <w:rsid w:val="00E03E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3EE2"/>
    <w:rPr>
      <w:sz w:val="20"/>
      <w:szCs w:val="20"/>
    </w:rPr>
  </w:style>
  <w:style w:type="character" w:styleId="EndnoteReference">
    <w:name w:val="endnote reference"/>
    <w:basedOn w:val="DefaultParagraphFont"/>
    <w:uiPriority w:val="99"/>
    <w:semiHidden/>
    <w:unhideWhenUsed/>
    <w:rsid w:val="00E03EE2"/>
    <w:rPr>
      <w:vertAlign w:val="superscript"/>
    </w:rPr>
  </w:style>
  <w:style w:type="table" w:customStyle="1" w:styleId="GridTable4-Accent11">
    <w:name w:val="Grid Table 4 - Accent 11"/>
    <w:basedOn w:val="TableNormal"/>
    <w:uiPriority w:val="49"/>
    <w:rsid w:val="008211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1">
    <w:name w:val="Grid Table 21"/>
    <w:basedOn w:val="TableNormal"/>
    <w:uiPriority w:val="47"/>
    <w:rsid w:val="001229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rsid w:val="00FD202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658B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DefaultParagraphFont"/>
    <w:rsid w:val="00F77839"/>
  </w:style>
  <w:style w:type="numbering" w:customStyle="1" w:styleId="Style2">
    <w:name w:val="Style2"/>
    <w:uiPriority w:val="99"/>
    <w:rsid w:val="00D84F61"/>
    <w:pPr>
      <w:numPr>
        <w:numId w:val="3"/>
      </w:numPr>
    </w:pPr>
  </w:style>
  <w:style w:type="paragraph" w:styleId="ListBullet">
    <w:name w:val="List Bullet"/>
    <w:basedOn w:val="Normal"/>
    <w:uiPriority w:val="99"/>
    <w:unhideWhenUsed/>
    <w:rsid w:val="003431B2"/>
    <w:pPr>
      <w:numPr>
        <w:numId w:val="4"/>
      </w:numPr>
      <w:contextualSpacing/>
    </w:pPr>
  </w:style>
  <w:style w:type="table" w:styleId="LightShading-Accent1">
    <w:name w:val="Light Shading Accent 1"/>
    <w:basedOn w:val="TableNormal"/>
    <w:uiPriority w:val="60"/>
    <w:rsid w:val="00BD3AA6"/>
    <w:pPr>
      <w:spacing w:after="0" w:line="240" w:lineRule="auto"/>
    </w:pPr>
    <w:rPr>
      <w:rFonts w:eastAsia="SimSu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UnresolvedMention">
    <w:name w:val="Unresolved Mention"/>
    <w:basedOn w:val="DefaultParagraphFont"/>
    <w:uiPriority w:val="99"/>
    <w:unhideWhenUsed/>
    <w:rsid w:val="000A6B76"/>
    <w:rPr>
      <w:color w:val="605E5C"/>
      <w:shd w:val="clear" w:color="auto" w:fill="E1DFDD"/>
    </w:rPr>
  </w:style>
  <w:style w:type="character" w:customStyle="1" w:styleId="Mention">
    <w:name w:val="Mention"/>
    <w:basedOn w:val="DefaultParagraphFont"/>
    <w:uiPriority w:val="99"/>
    <w:unhideWhenUsed/>
    <w:rsid w:val="000A6B76"/>
    <w:rPr>
      <w:color w:val="2B579A"/>
      <w:shd w:val="clear" w:color="auto" w:fill="E1DFDD"/>
    </w:rPr>
  </w:style>
  <w:style w:type="paragraph" w:customStyle="1" w:styleId="paragraph">
    <w:name w:val="paragraph"/>
    <w:basedOn w:val="Normal"/>
    <w:rsid w:val="00B05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052FA"/>
  </w:style>
  <w:style w:type="character" w:customStyle="1" w:styleId="superscript">
    <w:name w:val="superscript"/>
    <w:basedOn w:val="DefaultParagraphFont"/>
    <w:rsid w:val="00B052FA"/>
  </w:style>
  <w:style w:type="table" w:styleId="GridTable4-Accent1">
    <w:name w:val="Grid Table 4 Accent 1"/>
    <w:basedOn w:val="TableNormal"/>
    <w:uiPriority w:val="49"/>
    <w:rsid w:val="00B052FA"/>
    <w:pPr>
      <w:spacing w:after="0" w:line="240" w:lineRule="auto"/>
    </w:pPr>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052FA"/>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
    <w:name w:val="List Table 3"/>
    <w:basedOn w:val="TableNormal"/>
    <w:uiPriority w:val="48"/>
    <w:rsid w:val="00B052FA"/>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B052FA"/>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B052FA"/>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3">
    <w:name w:val="Plain Table 3"/>
    <w:basedOn w:val="TableNormal"/>
    <w:uiPriority w:val="43"/>
    <w:rsid w:val="00B052FA"/>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B052FA"/>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B052FA"/>
    <w:pPr>
      <w:spacing w:after="0" w:line="276" w:lineRule="auto"/>
    </w:pPr>
    <w:rPr>
      <w:rFonts w:ascii="Arial" w:eastAsia="SimSun" w:hAnsi="Arial" w:cs="Arial"/>
    </w:rPr>
  </w:style>
  <w:style w:type="character" w:styleId="LineNumber">
    <w:name w:val="line number"/>
    <w:basedOn w:val="DefaultParagraphFont"/>
    <w:uiPriority w:val="99"/>
    <w:semiHidden/>
    <w:unhideWhenUsed/>
    <w:rsid w:val="00B052FA"/>
  </w:style>
  <w:style w:type="character" w:customStyle="1" w:styleId="UnresolvedMention1">
    <w:name w:val="Unresolved Mention1"/>
    <w:basedOn w:val="DefaultParagraphFont"/>
    <w:uiPriority w:val="99"/>
    <w:unhideWhenUsed/>
    <w:rsid w:val="00B0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7715">
      <w:bodyDiv w:val="1"/>
      <w:marLeft w:val="0"/>
      <w:marRight w:val="0"/>
      <w:marTop w:val="0"/>
      <w:marBottom w:val="0"/>
      <w:divBdr>
        <w:top w:val="none" w:sz="0" w:space="0" w:color="auto"/>
        <w:left w:val="none" w:sz="0" w:space="0" w:color="auto"/>
        <w:bottom w:val="none" w:sz="0" w:space="0" w:color="auto"/>
        <w:right w:val="none" w:sz="0" w:space="0" w:color="auto"/>
      </w:divBdr>
    </w:div>
    <w:div w:id="56248605">
      <w:bodyDiv w:val="1"/>
      <w:marLeft w:val="0"/>
      <w:marRight w:val="0"/>
      <w:marTop w:val="0"/>
      <w:marBottom w:val="0"/>
      <w:divBdr>
        <w:top w:val="none" w:sz="0" w:space="0" w:color="auto"/>
        <w:left w:val="none" w:sz="0" w:space="0" w:color="auto"/>
        <w:bottom w:val="none" w:sz="0" w:space="0" w:color="auto"/>
        <w:right w:val="none" w:sz="0" w:space="0" w:color="auto"/>
      </w:divBdr>
    </w:div>
    <w:div w:id="137502550">
      <w:bodyDiv w:val="1"/>
      <w:marLeft w:val="0"/>
      <w:marRight w:val="0"/>
      <w:marTop w:val="0"/>
      <w:marBottom w:val="0"/>
      <w:divBdr>
        <w:top w:val="none" w:sz="0" w:space="0" w:color="auto"/>
        <w:left w:val="none" w:sz="0" w:space="0" w:color="auto"/>
        <w:bottom w:val="none" w:sz="0" w:space="0" w:color="auto"/>
        <w:right w:val="none" w:sz="0" w:space="0" w:color="auto"/>
      </w:divBdr>
    </w:div>
    <w:div w:id="185481791">
      <w:bodyDiv w:val="1"/>
      <w:marLeft w:val="0"/>
      <w:marRight w:val="0"/>
      <w:marTop w:val="0"/>
      <w:marBottom w:val="0"/>
      <w:divBdr>
        <w:top w:val="none" w:sz="0" w:space="0" w:color="auto"/>
        <w:left w:val="none" w:sz="0" w:space="0" w:color="auto"/>
        <w:bottom w:val="none" w:sz="0" w:space="0" w:color="auto"/>
        <w:right w:val="none" w:sz="0" w:space="0" w:color="auto"/>
      </w:divBdr>
    </w:div>
    <w:div w:id="294137895">
      <w:bodyDiv w:val="1"/>
      <w:marLeft w:val="0"/>
      <w:marRight w:val="0"/>
      <w:marTop w:val="0"/>
      <w:marBottom w:val="0"/>
      <w:divBdr>
        <w:top w:val="none" w:sz="0" w:space="0" w:color="auto"/>
        <w:left w:val="none" w:sz="0" w:space="0" w:color="auto"/>
        <w:bottom w:val="none" w:sz="0" w:space="0" w:color="auto"/>
        <w:right w:val="none" w:sz="0" w:space="0" w:color="auto"/>
      </w:divBdr>
    </w:div>
    <w:div w:id="298189961">
      <w:bodyDiv w:val="1"/>
      <w:marLeft w:val="0"/>
      <w:marRight w:val="0"/>
      <w:marTop w:val="0"/>
      <w:marBottom w:val="0"/>
      <w:divBdr>
        <w:top w:val="none" w:sz="0" w:space="0" w:color="auto"/>
        <w:left w:val="none" w:sz="0" w:space="0" w:color="auto"/>
        <w:bottom w:val="none" w:sz="0" w:space="0" w:color="auto"/>
        <w:right w:val="none" w:sz="0" w:space="0" w:color="auto"/>
      </w:divBdr>
    </w:div>
    <w:div w:id="393047948">
      <w:bodyDiv w:val="1"/>
      <w:marLeft w:val="0"/>
      <w:marRight w:val="0"/>
      <w:marTop w:val="0"/>
      <w:marBottom w:val="0"/>
      <w:divBdr>
        <w:top w:val="none" w:sz="0" w:space="0" w:color="auto"/>
        <w:left w:val="none" w:sz="0" w:space="0" w:color="auto"/>
        <w:bottom w:val="none" w:sz="0" w:space="0" w:color="auto"/>
        <w:right w:val="none" w:sz="0" w:space="0" w:color="auto"/>
      </w:divBdr>
    </w:div>
    <w:div w:id="436414336">
      <w:bodyDiv w:val="1"/>
      <w:marLeft w:val="0"/>
      <w:marRight w:val="0"/>
      <w:marTop w:val="0"/>
      <w:marBottom w:val="0"/>
      <w:divBdr>
        <w:top w:val="none" w:sz="0" w:space="0" w:color="auto"/>
        <w:left w:val="none" w:sz="0" w:space="0" w:color="auto"/>
        <w:bottom w:val="none" w:sz="0" w:space="0" w:color="auto"/>
        <w:right w:val="none" w:sz="0" w:space="0" w:color="auto"/>
      </w:divBdr>
    </w:div>
    <w:div w:id="533662012">
      <w:bodyDiv w:val="1"/>
      <w:marLeft w:val="0"/>
      <w:marRight w:val="0"/>
      <w:marTop w:val="0"/>
      <w:marBottom w:val="0"/>
      <w:divBdr>
        <w:top w:val="none" w:sz="0" w:space="0" w:color="auto"/>
        <w:left w:val="none" w:sz="0" w:space="0" w:color="auto"/>
        <w:bottom w:val="none" w:sz="0" w:space="0" w:color="auto"/>
        <w:right w:val="none" w:sz="0" w:space="0" w:color="auto"/>
      </w:divBdr>
    </w:div>
    <w:div w:id="559176756">
      <w:bodyDiv w:val="1"/>
      <w:marLeft w:val="0"/>
      <w:marRight w:val="0"/>
      <w:marTop w:val="0"/>
      <w:marBottom w:val="0"/>
      <w:divBdr>
        <w:top w:val="none" w:sz="0" w:space="0" w:color="auto"/>
        <w:left w:val="none" w:sz="0" w:space="0" w:color="auto"/>
        <w:bottom w:val="none" w:sz="0" w:space="0" w:color="auto"/>
        <w:right w:val="none" w:sz="0" w:space="0" w:color="auto"/>
      </w:divBdr>
    </w:div>
    <w:div w:id="631902838">
      <w:bodyDiv w:val="1"/>
      <w:marLeft w:val="0"/>
      <w:marRight w:val="0"/>
      <w:marTop w:val="0"/>
      <w:marBottom w:val="0"/>
      <w:divBdr>
        <w:top w:val="none" w:sz="0" w:space="0" w:color="auto"/>
        <w:left w:val="none" w:sz="0" w:space="0" w:color="auto"/>
        <w:bottom w:val="none" w:sz="0" w:space="0" w:color="auto"/>
        <w:right w:val="none" w:sz="0" w:space="0" w:color="auto"/>
      </w:divBdr>
    </w:div>
    <w:div w:id="706564964">
      <w:bodyDiv w:val="1"/>
      <w:marLeft w:val="0"/>
      <w:marRight w:val="0"/>
      <w:marTop w:val="0"/>
      <w:marBottom w:val="0"/>
      <w:divBdr>
        <w:top w:val="none" w:sz="0" w:space="0" w:color="auto"/>
        <w:left w:val="none" w:sz="0" w:space="0" w:color="auto"/>
        <w:bottom w:val="none" w:sz="0" w:space="0" w:color="auto"/>
        <w:right w:val="none" w:sz="0" w:space="0" w:color="auto"/>
      </w:divBdr>
    </w:div>
    <w:div w:id="729424983">
      <w:bodyDiv w:val="1"/>
      <w:marLeft w:val="0"/>
      <w:marRight w:val="0"/>
      <w:marTop w:val="0"/>
      <w:marBottom w:val="0"/>
      <w:divBdr>
        <w:top w:val="none" w:sz="0" w:space="0" w:color="auto"/>
        <w:left w:val="none" w:sz="0" w:space="0" w:color="auto"/>
        <w:bottom w:val="none" w:sz="0" w:space="0" w:color="auto"/>
        <w:right w:val="none" w:sz="0" w:space="0" w:color="auto"/>
      </w:divBdr>
    </w:div>
    <w:div w:id="747191832">
      <w:bodyDiv w:val="1"/>
      <w:marLeft w:val="0"/>
      <w:marRight w:val="0"/>
      <w:marTop w:val="0"/>
      <w:marBottom w:val="0"/>
      <w:divBdr>
        <w:top w:val="none" w:sz="0" w:space="0" w:color="auto"/>
        <w:left w:val="none" w:sz="0" w:space="0" w:color="auto"/>
        <w:bottom w:val="none" w:sz="0" w:space="0" w:color="auto"/>
        <w:right w:val="none" w:sz="0" w:space="0" w:color="auto"/>
      </w:divBdr>
    </w:div>
    <w:div w:id="759981673">
      <w:bodyDiv w:val="1"/>
      <w:marLeft w:val="0"/>
      <w:marRight w:val="0"/>
      <w:marTop w:val="0"/>
      <w:marBottom w:val="0"/>
      <w:divBdr>
        <w:top w:val="none" w:sz="0" w:space="0" w:color="auto"/>
        <w:left w:val="none" w:sz="0" w:space="0" w:color="auto"/>
        <w:bottom w:val="none" w:sz="0" w:space="0" w:color="auto"/>
        <w:right w:val="none" w:sz="0" w:space="0" w:color="auto"/>
      </w:divBdr>
    </w:div>
    <w:div w:id="763459401">
      <w:bodyDiv w:val="1"/>
      <w:marLeft w:val="0"/>
      <w:marRight w:val="0"/>
      <w:marTop w:val="0"/>
      <w:marBottom w:val="0"/>
      <w:divBdr>
        <w:top w:val="none" w:sz="0" w:space="0" w:color="auto"/>
        <w:left w:val="none" w:sz="0" w:space="0" w:color="auto"/>
        <w:bottom w:val="none" w:sz="0" w:space="0" w:color="auto"/>
        <w:right w:val="none" w:sz="0" w:space="0" w:color="auto"/>
      </w:divBdr>
    </w:div>
    <w:div w:id="776868912">
      <w:bodyDiv w:val="1"/>
      <w:marLeft w:val="0"/>
      <w:marRight w:val="0"/>
      <w:marTop w:val="0"/>
      <w:marBottom w:val="0"/>
      <w:divBdr>
        <w:top w:val="none" w:sz="0" w:space="0" w:color="auto"/>
        <w:left w:val="none" w:sz="0" w:space="0" w:color="auto"/>
        <w:bottom w:val="none" w:sz="0" w:space="0" w:color="auto"/>
        <w:right w:val="none" w:sz="0" w:space="0" w:color="auto"/>
      </w:divBdr>
    </w:div>
    <w:div w:id="847258432">
      <w:bodyDiv w:val="1"/>
      <w:marLeft w:val="0"/>
      <w:marRight w:val="0"/>
      <w:marTop w:val="0"/>
      <w:marBottom w:val="0"/>
      <w:divBdr>
        <w:top w:val="none" w:sz="0" w:space="0" w:color="auto"/>
        <w:left w:val="none" w:sz="0" w:space="0" w:color="auto"/>
        <w:bottom w:val="none" w:sz="0" w:space="0" w:color="auto"/>
        <w:right w:val="none" w:sz="0" w:space="0" w:color="auto"/>
      </w:divBdr>
    </w:div>
    <w:div w:id="888879028">
      <w:bodyDiv w:val="1"/>
      <w:marLeft w:val="0"/>
      <w:marRight w:val="0"/>
      <w:marTop w:val="0"/>
      <w:marBottom w:val="0"/>
      <w:divBdr>
        <w:top w:val="none" w:sz="0" w:space="0" w:color="auto"/>
        <w:left w:val="none" w:sz="0" w:space="0" w:color="auto"/>
        <w:bottom w:val="none" w:sz="0" w:space="0" w:color="auto"/>
        <w:right w:val="none" w:sz="0" w:space="0" w:color="auto"/>
      </w:divBdr>
    </w:div>
    <w:div w:id="897594106">
      <w:bodyDiv w:val="1"/>
      <w:marLeft w:val="0"/>
      <w:marRight w:val="0"/>
      <w:marTop w:val="0"/>
      <w:marBottom w:val="0"/>
      <w:divBdr>
        <w:top w:val="none" w:sz="0" w:space="0" w:color="auto"/>
        <w:left w:val="none" w:sz="0" w:space="0" w:color="auto"/>
        <w:bottom w:val="none" w:sz="0" w:space="0" w:color="auto"/>
        <w:right w:val="none" w:sz="0" w:space="0" w:color="auto"/>
      </w:divBdr>
    </w:div>
    <w:div w:id="910429127">
      <w:bodyDiv w:val="1"/>
      <w:marLeft w:val="0"/>
      <w:marRight w:val="0"/>
      <w:marTop w:val="0"/>
      <w:marBottom w:val="0"/>
      <w:divBdr>
        <w:top w:val="none" w:sz="0" w:space="0" w:color="auto"/>
        <w:left w:val="none" w:sz="0" w:space="0" w:color="auto"/>
        <w:bottom w:val="none" w:sz="0" w:space="0" w:color="auto"/>
        <w:right w:val="none" w:sz="0" w:space="0" w:color="auto"/>
      </w:divBdr>
    </w:div>
    <w:div w:id="924265235">
      <w:bodyDiv w:val="1"/>
      <w:marLeft w:val="0"/>
      <w:marRight w:val="0"/>
      <w:marTop w:val="0"/>
      <w:marBottom w:val="0"/>
      <w:divBdr>
        <w:top w:val="none" w:sz="0" w:space="0" w:color="auto"/>
        <w:left w:val="none" w:sz="0" w:space="0" w:color="auto"/>
        <w:bottom w:val="none" w:sz="0" w:space="0" w:color="auto"/>
        <w:right w:val="none" w:sz="0" w:space="0" w:color="auto"/>
      </w:divBdr>
    </w:div>
    <w:div w:id="1014453863">
      <w:bodyDiv w:val="1"/>
      <w:marLeft w:val="0"/>
      <w:marRight w:val="0"/>
      <w:marTop w:val="0"/>
      <w:marBottom w:val="0"/>
      <w:divBdr>
        <w:top w:val="none" w:sz="0" w:space="0" w:color="auto"/>
        <w:left w:val="none" w:sz="0" w:space="0" w:color="auto"/>
        <w:bottom w:val="none" w:sz="0" w:space="0" w:color="auto"/>
        <w:right w:val="none" w:sz="0" w:space="0" w:color="auto"/>
      </w:divBdr>
    </w:div>
    <w:div w:id="1181630546">
      <w:bodyDiv w:val="1"/>
      <w:marLeft w:val="0"/>
      <w:marRight w:val="0"/>
      <w:marTop w:val="0"/>
      <w:marBottom w:val="0"/>
      <w:divBdr>
        <w:top w:val="none" w:sz="0" w:space="0" w:color="auto"/>
        <w:left w:val="none" w:sz="0" w:space="0" w:color="auto"/>
        <w:bottom w:val="none" w:sz="0" w:space="0" w:color="auto"/>
        <w:right w:val="none" w:sz="0" w:space="0" w:color="auto"/>
      </w:divBdr>
    </w:div>
    <w:div w:id="1198004715">
      <w:bodyDiv w:val="1"/>
      <w:marLeft w:val="0"/>
      <w:marRight w:val="0"/>
      <w:marTop w:val="0"/>
      <w:marBottom w:val="0"/>
      <w:divBdr>
        <w:top w:val="none" w:sz="0" w:space="0" w:color="auto"/>
        <w:left w:val="none" w:sz="0" w:space="0" w:color="auto"/>
        <w:bottom w:val="none" w:sz="0" w:space="0" w:color="auto"/>
        <w:right w:val="none" w:sz="0" w:space="0" w:color="auto"/>
      </w:divBdr>
    </w:div>
    <w:div w:id="1237667998">
      <w:bodyDiv w:val="1"/>
      <w:marLeft w:val="0"/>
      <w:marRight w:val="0"/>
      <w:marTop w:val="0"/>
      <w:marBottom w:val="0"/>
      <w:divBdr>
        <w:top w:val="none" w:sz="0" w:space="0" w:color="auto"/>
        <w:left w:val="none" w:sz="0" w:space="0" w:color="auto"/>
        <w:bottom w:val="none" w:sz="0" w:space="0" w:color="auto"/>
        <w:right w:val="none" w:sz="0" w:space="0" w:color="auto"/>
      </w:divBdr>
    </w:div>
    <w:div w:id="1238127544">
      <w:bodyDiv w:val="1"/>
      <w:marLeft w:val="0"/>
      <w:marRight w:val="0"/>
      <w:marTop w:val="0"/>
      <w:marBottom w:val="0"/>
      <w:divBdr>
        <w:top w:val="none" w:sz="0" w:space="0" w:color="auto"/>
        <w:left w:val="none" w:sz="0" w:space="0" w:color="auto"/>
        <w:bottom w:val="none" w:sz="0" w:space="0" w:color="auto"/>
        <w:right w:val="none" w:sz="0" w:space="0" w:color="auto"/>
      </w:divBdr>
    </w:div>
    <w:div w:id="1281838905">
      <w:bodyDiv w:val="1"/>
      <w:marLeft w:val="0"/>
      <w:marRight w:val="0"/>
      <w:marTop w:val="0"/>
      <w:marBottom w:val="0"/>
      <w:divBdr>
        <w:top w:val="none" w:sz="0" w:space="0" w:color="auto"/>
        <w:left w:val="none" w:sz="0" w:space="0" w:color="auto"/>
        <w:bottom w:val="none" w:sz="0" w:space="0" w:color="auto"/>
        <w:right w:val="none" w:sz="0" w:space="0" w:color="auto"/>
      </w:divBdr>
    </w:div>
    <w:div w:id="1360357886">
      <w:bodyDiv w:val="1"/>
      <w:marLeft w:val="0"/>
      <w:marRight w:val="0"/>
      <w:marTop w:val="0"/>
      <w:marBottom w:val="0"/>
      <w:divBdr>
        <w:top w:val="none" w:sz="0" w:space="0" w:color="auto"/>
        <w:left w:val="none" w:sz="0" w:space="0" w:color="auto"/>
        <w:bottom w:val="none" w:sz="0" w:space="0" w:color="auto"/>
        <w:right w:val="none" w:sz="0" w:space="0" w:color="auto"/>
      </w:divBdr>
    </w:div>
    <w:div w:id="1419012930">
      <w:bodyDiv w:val="1"/>
      <w:marLeft w:val="0"/>
      <w:marRight w:val="0"/>
      <w:marTop w:val="0"/>
      <w:marBottom w:val="0"/>
      <w:divBdr>
        <w:top w:val="none" w:sz="0" w:space="0" w:color="auto"/>
        <w:left w:val="none" w:sz="0" w:space="0" w:color="auto"/>
        <w:bottom w:val="none" w:sz="0" w:space="0" w:color="auto"/>
        <w:right w:val="none" w:sz="0" w:space="0" w:color="auto"/>
      </w:divBdr>
    </w:div>
    <w:div w:id="1447699736">
      <w:bodyDiv w:val="1"/>
      <w:marLeft w:val="0"/>
      <w:marRight w:val="0"/>
      <w:marTop w:val="0"/>
      <w:marBottom w:val="0"/>
      <w:divBdr>
        <w:top w:val="none" w:sz="0" w:space="0" w:color="auto"/>
        <w:left w:val="none" w:sz="0" w:space="0" w:color="auto"/>
        <w:bottom w:val="none" w:sz="0" w:space="0" w:color="auto"/>
        <w:right w:val="none" w:sz="0" w:space="0" w:color="auto"/>
      </w:divBdr>
    </w:div>
    <w:div w:id="1471745987">
      <w:bodyDiv w:val="1"/>
      <w:marLeft w:val="0"/>
      <w:marRight w:val="0"/>
      <w:marTop w:val="0"/>
      <w:marBottom w:val="0"/>
      <w:divBdr>
        <w:top w:val="none" w:sz="0" w:space="0" w:color="auto"/>
        <w:left w:val="none" w:sz="0" w:space="0" w:color="auto"/>
        <w:bottom w:val="none" w:sz="0" w:space="0" w:color="auto"/>
        <w:right w:val="none" w:sz="0" w:space="0" w:color="auto"/>
      </w:divBdr>
    </w:div>
    <w:div w:id="1512597342">
      <w:bodyDiv w:val="1"/>
      <w:marLeft w:val="0"/>
      <w:marRight w:val="0"/>
      <w:marTop w:val="0"/>
      <w:marBottom w:val="0"/>
      <w:divBdr>
        <w:top w:val="none" w:sz="0" w:space="0" w:color="auto"/>
        <w:left w:val="none" w:sz="0" w:space="0" w:color="auto"/>
        <w:bottom w:val="none" w:sz="0" w:space="0" w:color="auto"/>
        <w:right w:val="none" w:sz="0" w:space="0" w:color="auto"/>
      </w:divBdr>
    </w:div>
    <w:div w:id="1523203070">
      <w:bodyDiv w:val="1"/>
      <w:marLeft w:val="0"/>
      <w:marRight w:val="0"/>
      <w:marTop w:val="0"/>
      <w:marBottom w:val="0"/>
      <w:divBdr>
        <w:top w:val="none" w:sz="0" w:space="0" w:color="auto"/>
        <w:left w:val="none" w:sz="0" w:space="0" w:color="auto"/>
        <w:bottom w:val="none" w:sz="0" w:space="0" w:color="auto"/>
        <w:right w:val="none" w:sz="0" w:space="0" w:color="auto"/>
      </w:divBdr>
    </w:div>
    <w:div w:id="1577590016">
      <w:bodyDiv w:val="1"/>
      <w:marLeft w:val="0"/>
      <w:marRight w:val="0"/>
      <w:marTop w:val="0"/>
      <w:marBottom w:val="0"/>
      <w:divBdr>
        <w:top w:val="none" w:sz="0" w:space="0" w:color="auto"/>
        <w:left w:val="none" w:sz="0" w:space="0" w:color="auto"/>
        <w:bottom w:val="none" w:sz="0" w:space="0" w:color="auto"/>
        <w:right w:val="none" w:sz="0" w:space="0" w:color="auto"/>
      </w:divBdr>
    </w:div>
    <w:div w:id="1582904460">
      <w:bodyDiv w:val="1"/>
      <w:marLeft w:val="0"/>
      <w:marRight w:val="0"/>
      <w:marTop w:val="0"/>
      <w:marBottom w:val="0"/>
      <w:divBdr>
        <w:top w:val="none" w:sz="0" w:space="0" w:color="auto"/>
        <w:left w:val="none" w:sz="0" w:space="0" w:color="auto"/>
        <w:bottom w:val="none" w:sz="0" w:space="0" w:color="auto"/>
        <w:right w:val="none" w:sz="0" w:space="0" w:color="auto"/>
      </w:divBdr>
    </w:div>
    <w:div w:id="1597859758">
      <w:bodyDiv w:val="1"/>
      <w:marLeft w:val="0"/>
      <w:marRight w:val="0"/>
      <w:marTop w:val="0"/>
      <w:marBottom w:val="0"/>
      <w:divBdr>
        <w:top w:val="none" w:sz="0" w:space="0" w:color="auto"/>
        <w:left w:val="none" w:sz="0" w:space="0" w:color="auto"/>
        <w:bottom w:val="none" w:sz="0" w:space="0" w:color="auto"/>
        <w:right w:val="none" w:sz="0" w:space="0" w:color="auto"/>
      </w:divBdr>
      <w:divsChild>
        <w:div w:id="419369701">
          <w:marLeft w:val="360"/>
          <w:marRight w:val="0"/>
          <w:marTop w:val="200"/>
          <w:marBottom w:val="0"/>
          <w:divBdr>
            <w:top w:val="none" w:sz="0" w:space="0" w:color="auto"/>
            <w:left w:val="none" w:sz="0" w:space="0" w:color="auto"/>
            <w:bottom w:val="none" w:sz="0" w:space="0" w:color="auto"/>
            <w:right w:val="none" w:sz="0" w:space="0" w:color="auto"/>
          </w:divBdr>
        </w:div>
        <w:div w:id="614287950">
          <w:marLeft w:val="360"/>
          <w:marRight w:val="0"/>
          <w:marTop w:val="200"/>
          <w:marBottom w:val="0"/>
          <w:divBdr>
            <w:top w:val="none" w:sz="0" w:space="0" w:color="auto"/>
            <w:left w:val="none" w:sz="0" w:space="0" w:color="auto"/>
            <w:bottom w:val="none" w:sz="0" w:space="0" w:color="auto"/>
            <w:right w:val="none" w:sz="0" w:space="0" w:color="auto"/>
          </w:divBdr>
        </w:div>
        <w:div w:id="681859655">
          <w:marLeft w:val="360"/>
          <w:marRight w:val="0"/>
          <w:marTop w:val="200"/>
          <w:marBottom w:val="0"/>
          <w:divBdr>
            <w:top w:val="none" w:sz="0" w:space="0" w:color="auto"/>
            <w:left w:val="none" w:sz="0" w:space="0" w:color="auto"/>
            <w:bottom w:val="none" w:sz="0" w:space="0" w:color="auto"/>
            <w:right w:val="none" w:sz="0" w:space="0" w:color="auto"/>
          </w:divBdr>
        </w:div>
        <w:div w:id="686711497">
          <w:marLeft w:val="360"/>
          <w:marRight w:val="0"/>
          <w:marTop w:val="200"/>
          <w:marBottom w:val="0"/>
          <w:divBdr>
            <w:top w:val="none" w:sz="0" w:space="0" w:color="auto"/>
            <w:left w:val="none" w:sz="0" w:space="0" w:color="auto"/>
            <w:bottom w:val="none" w:sz="0" w:space="0" w:color="auto"/>
            <w:right w:val="none" w:sz="0" w:space="0" w:color="auto"/>
          </w:divBdr>
        </w:div>
        <w:div w:id="1379014751">
          <w:marLeft w:val="360"/>
          <w:marRight w:val="0"/>
          <w:marTop w:val="200"/>
          <w:marBottom w:val="0"/>
          <w:divBdr>
            <w:top w:val="none" w:sz="0" w:space="0" w:color="auto"/>
            <w:left w:val="none" w:sz="0" w:space="0" w:color="auto"/>
            <w:bottom w:val="none" w:sz="0" w:space="0" w:color="auto"/>
            <w:right w:val="none" w:sz="0" w:space="0" w:color="auto"/>
          </w:divBdr>
        </w:div>
      </w:divsChild>
    </w:div>
    <w:div w:id="1703282904">
      <w:bodyDiv w:val="1"/>
      <w:marLeft w:val="0"/>
      <w:marRight w:val="0"/>
      <w:marTop w:val="0"/>
      <w:marBottom w:val="0"/>
      <w:divBdr>
        <w:top w:val="none" w:sz="0" w:space="0" w:color="auto"/>
        <w:left w:val="none" w:sz="0" w:space="0" w:color="auto"/>
        <w:bottom w:val="none" w:sz="0" w:space="0" w:color="auto"/>
        <w:right w:val="none" w:sz="0" w:space="0" w:color="auto"/>
      </w:divBdr>
    </w:div>
    <w:div w:id="1727022068">
      <w:bodyDiv w:val="1"/>
      <w:marLeft w:val="0"/>
      <w:marRight w:val="0"/>
      <w:marTop w:val="0"/>
      <w:marBottom w:val="0"/>
      <w:divBdr>
        <w:top w:val="none" w:sz="0" w:space="0" w:color="auto"/>
        <w:left w:val="none" w:sz="0" w:space="0" w:color="auto"/>
        <w:bottom w:val="none" w:sz="0" w:space="0" w:color="auto"/>
        <w:right w:val="none" w:sz="0" w:space="0" w:color="auto"/>
      </w:divBdr>
    </w:div>
    <w:div w:id="1780955436">
      <w:bodyDiv w:val="1"/>
      <w:marLeft w:val="0"/>
      <w:marRight w:val="0"/>
      <w:marTop w:val="0"/>
      <w:marBottom w:val="0"/>
      <w:divBdr>
        <w:top w:val="none" w:sz="0" w:space="0" w:color="auto"/>
        <w:left w:val="none" w:sz="0" w:space="0" w:color="auto"/>
        <w:bottom w:val="none" w:sz="0" w:space="0" w:color="auto"/>
        <w:right w:val="none" w:sz="0" w:space="0" w:color="auto"/>
      </w:divBdr>
    </w:div>
    <w:div w:id="1782073033">
      <w:bodyDiv w:val="1"/>
      <w:marLeft w:val="0"/>
      <w:marRight w:val="0"/>
      <w:marTop w:val="0"/>
      <w:marBottom w:val="0"/>
      <w:divBdr>
        <w:top w:val="none" w:sz="0" w:space="0" w:color="auto"/>
        <w:left w:val="none" w:sz="0" w:space="0" w:color="auto"/>
        <w:bottom w:val="none" w:sz="0" w:space="0" w:color="auto"/>
        <w:right w:val="none" w:sz="0" w:space="0" w:color="auto"/>
      </w:divBdr>
    </w:div>
    <w:div w:id="1803571972">
      <w:bodyDiv w:val="1"/>
      <w:marLeft w:val="0"/>
      <w:marRight w:val="0"/>
      <w:marTop w:val="0"/>
      <w:marBottom w:val="0"/>
      <w:divBdr>
        <w:top w:val="none" w:sz="0" w:space="0" w:color="auto"/>
        <w:left w:val="none" w:sz="0" w:space="0" w:color="auto"/>
        <w:bottom w:val="none" w:sz="0" w:space="0" w:color="auto"/>
        <w:right w:val="none" w:sz="0" w:space="0" w:color="auto"/>
      </w:divBdr>
    </w:div>
    <w:div w:id="1818917783">
      <w:bodyDiv w:val="1"/>
      <w:marLeft w:val="0"/>
      <w:marRight w:val="0"/>
      <w:marTop w:val="0"/>
      <w:marBottom w:val="0"/>
      <w:divBdr>
        <w:top w:val="none" w:sz="0" w:space="0" w:color="auto"/>
        <w:left w:val="none" w:sz="0" w:space="0" w:color="auto"/>
        <w:bottom w:val="none" w:sz="0" w:space="0" w:color="auto"/>
        <w:right w:val="none" w:sz="0" w:space="0" w:color="auto"/>
      </w:divBdr>
    </w:div>
    <w:div w:id="1824158295">
      <w:bodyDiv w:val="1"/>
      <w:marLeft w:val="0"/>
      <w:marRight w:val="0"/>
      <w:marTop w:val="0"/>
      <w:marBottom w:val="0"/>
      <w:divBdr>
        <w:top w:val="none" w:sz="0" w:space="0" w:color="auto"/>
        <w:left w:val="none" w:sz="0" w:space="0" w:color="auto"/>
        <w:bottom w:val="none" w:sz="0" w:space="0" w:color="auto"/>
        <w:right w:val="none" w:sz="0" w:space="0" w:color="auto"/>
      </w:divBdr>
    </w:div>
    <w:div w:id="1852329305">
      <w:bodyDiv w:val="1"/>
      <w:marLeft w:val="0"/>
      <w:marRight w:val="0"/>
      <w:marTop w:val="0"/>
      <w:marBottom w:val="0"/>
      <w:divBdr>
        <w:top w:val="none" w:sz="0" w:space="0" w:color="auto"/>
        <w:left w:val="none" w:sz="0" w:space="0" w:color="auto"/>
        <w:bottom w:val="none" w:sz="0" w:space="0" w:color="auto"/>
        <w:right w:val="none" w:sz="0" w:space="0" w:color="auto"/>
      </w:divBdr>
    </w:div>
    <w:div w:id="1852793463">
      <w:bodyDiv w:val="1"/>
      <w:marLeft w:val="0"/>
      <w:marRight w:val="0"/>
      <w:marTop w:val="0"/>
      <w:marBottom w:val="0"/>
      <w:divBdr>
        <w:top w:val="none" w:sz="0" w:space="0" w:color="auto"/>
        <w:left w:val="none" w:sz="0" w:space="0" w:color="auto"/>
        <w:bottom w:val="none" w:sz="0" w:space="0" w:color="auto"/>
        <w:right w:val="none" w:sz="0" w:space="0" w:color="auto"/>
      </w:divBdr>
    </w:div>
    <w:div w:id="1874996841">
      <w:bodyDiv w:val="1"/>
      <w:marLeft w:val="0"/>
      <w:marRight w:val="0"/>
      <w:marTop w:val="0"/>
      <w:marBottom w:val="0"/>
      <w:divBdr>
        <w:top w:val="none" w:sz="0" w:space="0" w:color="auto"/>
        <w:left w:val="none" w:sz="0" w:space="0" w:color="auto"/>
        <w:bottom w:val="none" w:sz="0" w:space="0" w:color="auto"/>
        <w:right w:val="none" w:sz="0" w:space="0" w:color="auto"/>
      </w:divBdr>
    </w:div>
    <w:div w:id="1905141147">
      <w:bodyDiv w:val="1"/>
      <w:marLeft w:val="0"/>
      <w:marRight w:val="0"/>
      <w:marTop w:val="0"/>
      <w:marBottom w:val="0"/>
      <w:divBdr>
        <w:top w:val="none" w:sz="0" w:space="0" w:color="auto"/>
        <w:left w:val="none" w:sz="0" w:space="0" w:color="auto"/>
        <w:bottom w:val="none" w:sz="0" w:space="0" w:color="auto"/>
        <w:right w:val="none" w:sz="0" w:space="0" w:color="auto"/>
      </w:divBdr>
    </w:div>
    <w:div w:id="1930193467">
      <w:bodyDiv w:val="1"/>
      <w:marLeft w:val="0"/>
      <w:marRight w:val="0"/>
      <w:marTop w:val="0"/>
      <w:marBottom w:val="0"/>
      <w:divBdr>
        <w:top w:val="none" w:sz="0" w:space="0" w:color="auto"/>
        <w:left w:val="none" w:sz="0" w:space="0" w:color="auto"/>
        <w:bottom w:val="none" w:sz="0" w:space="0" w:color="auto"/>
        <w:right w:val="none" w:sz="0" w:space="0" w:color="auto"/>
      </w:divBdr>
      <w:divsChild>
        <w:div w:id="143396878">
          <w:marLeft w:val="360"/>
          <w:marRight w:val="0"/>
          <w:marTop w:val="200"/>
          <w:marBottom w:val="0"/>
          <w:divBdr>
            <w:top w:val="none" w:sz="0" w:space="0" w:color="auto"/>
            <w:left w:val="none" w:sz="0" w:space="0" w:color="auto"/>
            <w:bottom w:val="none" w:sz="0" w:space="0" w:color="auto"/>
            <w:right w:val="none" w:sz="0" w:space="0" w:color="auto"/>
          </w:divBdr>
        </w:div>
        <w:div w:id="165444000">
          <w:marLeft w:val="360"/>
          <w:marRight w:val="0"/>
          <w:marTop w:val="200"/>
          <w:marBottom w:val="0"/>
          <w:divBdr>
            <w:top w:val="none" w:sz="0" w:space="0" w:color="auto"/>
            <w:left w:val="none" w:sz="0" w:space="0" w:color="auto"/>
            <w:bottom w:val="none" w:sz="0" w:space="0" w:color="auto"/>
            <w:right w:val="none" w:sz="0" w:space="0" w:color="auto"/>
          </w:divBdr>
        </w:div>
        <w:div w:id="189808113">
          <w:marLeft w:val="360"/>
          <w:marRight w:val="0"/>
          <w:marTop w:val="200"/>
          <w:marBottom w:val="0"/>
          <w:divBdr>
            <w:top w:val="none" w:sz="0" w:space="0" w:color="auto"/>
            <w:left w:val="none" w:sz="0" w:space="0" w:color="auto"/>
            <w:bottom w:val="none" w:sz="0" w:space="0" w:color="auto"/>
            <w:right w:val="none" w:sz="0" w:space="0" w:color="auto"/>
          </w:divBdr>
        </w:div>
        <w:div w:id="387650611">
          <w:marLeft w:val="360"/>
          <w:marRight w:val="0"/>
          <w:marTop w:val="200"/>
          <w:marBottom w:val="0"/>
          <w:divBdr>
            <w:top w:val="none" w:sz="0" w:space="0" w:color="auto"/>
            <w:left w:val="none" w:sz="0" w:space="0" w:color="auto"/>
            <w:bottom w:val="none" w:sz="0" w:space="0" w:color="auto"/>
            <w:right w:val="none" w:sz="0" w:space="0" w:color="auto"/>
          </w:divBdr>
        </w:div>
        <w:div w:id="409083006">
          <w:marLeft w:val="360"/>
          <w:marRight w:val="0"/>
          <w:marTop w:val="200"/>
          <w:marBottom w:val="0"/>
          <w:divBdr>
            <w:top w:val="none" w:sz="0" w:space="0" w:color="auto"/>
            <w:left w:val="none" w:sz="0" w:space="0" w:color="auto"/>
            <w:bottom w:val="none" w:sz="0" w:space="0" w:color="auto"/>
            <w:right w:val="none" w:sz="0" w:space="0" w:color="auto"/>
          </w:divBdr>
        </w:div>
        <w:div w:id="609092723">
          <w:marLeft w:val="360"/>
          <w:marRight w:val="0"/>
          <w:marTop w:val="200"/>
          <w:marBottom w:val="0"/>
          <w:divBdr>
            <w:top w:val="none" w:sz="0" w:space="0" w:color="auto"/>
            <w:left w:val="none" w:sz="0" w:space="0" w:color="auto"/>
            <w:bottom w:val="none" w:sz="0" w:space="0" w:color="auto"/>
            <w:right w:val="none" w:sz="0" w:space="0" w:color="auto"/>
          </w:divBdr>
        </w:div>
        <w:div w:id="909778868">
          <w:marLeft w:val="360"/>
          <w:marRight w:val="0"/>
          <w:marTop w:val="200"/>
          <w:marBottom w:val="0"/>
          <w:divBdr>
            <w:top w:val="none" w:sz="0" w:space="0" w:color="auto"/>
            <w:left w:val="none" w:sz="0" w:space="0" w:color="auto"/>
            <w:bottom w:val="none" w:sz="0" w:space="0" w:color="auto"/>
            <w:right w:val="none" w:sz="0" w:space="0" w:color="auto"/>
          </w:divBdr>
        </w:div>
        <w:div w:id="1979333167">
          <w:marLeft w:val="360"/>
          <w:marRight w:val="0"/>
          <w:marTop w:val="200"/>
          <w:marBottom w:val="0"/>
          <w:divBdr>
            <w:top w:val="none" w:sz="0" w:space="0" w:color="auto"/>
            <w:left w:val="none" w:sz="0" w:space="0" w:color="auto"/>
            <w:bottom w:val="none" w:sz="0" w:space="0" w:color="auto"/>
            <w:right w:val="none" w:sz="0" w:space="0" w:color="auto"/>
          </w:divBdr>
        </w:div>
        <w:div w:id="2067097803">
          <w:marLeft w:val="360"/>
          <w:marRight w:val="0"/>
          <w:marTop w:val="200"/>
          <w:marBottom w:val="0"/>
          <w:divBdr>
            <w:top w:val="none" w:sz="0" w:space="0" w:color="auto"/>
            <w:left w:val="none" w:sz="0" w:space="0" w:color="auto"/>
            <w:bottom w:val="none" w:sz="0" w:space="0" w:color="auto"/>
            <w:right w:val="none" w:sz="0" w:space="0" w:color="auto"/>
          </w:divBdr>
        </w:div>
      </w:divsChild>
    </w:div>
    <w:div w:id="1983073346">
      <w:bodyDiv w:val="1"/>
      <w:marLeft w:val="0"/>
      <w:marRight w:val="0"/>
      <w:marTop w:val="0"/>
      <w:marBottom w:val="0"/>
      <w:divBdr>
        <w:top w:val="none" w:sz="0" w:space="0" w:color="auto"/>
        <w:left w:val="none" w:sz="0" w:space="0" w:color="auto"/>
        <w:bottom w:val="none" w:sz="0" w:space="0" w:color="auto"/>
        <w:right w:val="none" w:sz="0" w:space="0" w:color="auto"/>
      </w:divBdr>
    </w:div>
    <w:div w:id="1984115924">
      <w:bodyDiv w:val="1"/>
      <w:marLeft w:val="0"/>
      <w:marRight w:val="0"/>
      <w:marTop w:val="0"/>
      <w:marBottom w:val="0"/>
      <w:divBdr>
        <w:top w:val="none" w:sz="0" w:space="0" w:color="auto"/>
        <w:left w:val="none" w:sz="0" w:space="0" w:color="auto"/>
        <w:bottom w:val="none" w:sz="0" w:space="0" w:color="auto"/>
        <w:right w:val="none" w:sz="0" w:space="0" w:color="auto"/>
      </w:divBdr>
    </w:div>
    <w:div w:id="2036078229">
      <w:bodyDiv w:val="1"/>
      <w:marLeft w:val="0"/>
      <w:marRight w:val="0"/>
      <w:marTop w:val="0"/>
      <w:marBottom w:val="0"/>
      <w:divBdr>
        <w:top w:val="none" w:sz="0" w:space="0" w:color="auto"/>
        <w:left w:val="none" w:sz="0" w:space="0" w:color="auto"/>
        <w:bottom w:val="none" w:sz="0" w:space="0" w:color="auto"/>
        <w:right w:val="none" w:sz="0" w:space="0" w:color="auto"/>
      </w:divBdr>
    </w:div>
    <w:div w:id="2062899899">
      <w:bodyDiv w:val="1"/>
      <w:marLeft w:val="0"/>
      <w:marRight w:val="0"/>
      <w:marTop w:val="0"/>
      <w:marBottom w:val="0"/>
      <w:divBdr>
        <w:top w:val="none" w:sz="0" w:space="0" w:color="auto"/>
        <w:left w:val="none" w:sz="0" w:space="0" w:color="auto"/>
        <w:bottom w:val="none" w:sz="0" w:space="0" w:color="auto"/>
        <w:right w:val="none" w:sz="0" w:space="0" w:color="auto"/>
      </w:divBdr>
    </w:div>
    <w:div w:id="2080708796">
      <w:bodyDiv w:val="1"/>
      <w:marLeft w:val="0"/>
      <w:marRight w:val="0"/>
      <w:marTop w:val="0"/>
      <w:marBottom w:val="0"/>
      <w:divBdr>
        <w:top w:val="none" w:sz="0" w:space="0" w:color="auto"/>
        <w:left w:val="none" w:sz="0" w:space="0" w:color="auto"/>
        <w:bottom w:val="none" w:sz="0" w:space="0" w:color="auto"/>
        <w:right w:val="none" w:sz="0" w:space="0" w:color="auto"/>
      </w:divBdr>
    </w:div>
    <w:div w:id="21190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6.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chart" Target="charts/chart12.xml"/><Relationship Id="rId10" Type="http://schemas.openxmlformats.org/officeDocument/2006/relationships/footnotes" Target="footnotes.xml"/><Relationship Id="rId19" Type="http://schemas.openxmlformats.org/officeDocument/2006/relationships/chart" Target="charts/chart5.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image" Target="media/image4.emf"/><Relationship Id="rId30" Type="http://schemas.openxmlformats.org/officeDocument/2006/relationships/chart" Target="charts/chart14.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https://mofgovmn.sharepoint.com/sites/-765/DS/DSA/10.%20&#1256;&#1088;&#1080;&#1081;&#1085;%20&#1089;&#1090;&#1088;&#1072;&#1090;&#1077;&#1075;&#1080;%202023-2025/&#1057;&#1090;&#1088;&#1072;&#1090;&#1077;&#1075;&#1080;%202023-2025/MTDS%20AT%20Revised%20-%202022.xlsm"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https://mofgovmn.sharepoint.com/sites/-765/DS/DSA/10.%20&#1256;&#1088;&#1080;&#1081;&#1085;%20&#1089;&#1090;&#1088;&#1072;&#1090;&#1077;&#1075;&#1080;%202023-2025/&#1057;&#1090;&#1088;&#1072;&#1090;&#1077;&#1075;&#1080;%202023-2025/MTDS%20AT%20Revised%20-%202022.xlsm"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1057;&#1090;&#1088;&#1072;&#1090;&#1077;&#1075;&#1080;\&#1053;&#1080;&#1081;&#1090;%20&#1075;&#1072;&#1076;&#1072;&#1072;&#1076;%20&#1257;&#1088;%20(&#1089;&#1077;&#1082;&#1090;&#1086;&#1088;&#1086;&#1086;&#1088;,%20&#1199;&#1083;&#1076;&#1101;&#1075;&#1076;&#1101;&#1083;)%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1057;&#1090;&#1088;&#1072;&#1090;&#1077;&#1075;&#1080;\&#1053;&#1080;&#1081;&#1090;%20&#1075;&#1072;&#1076;&#1072;&#1072;&#1076;%20&#1257;&#1088;%20(&#1089;&#1077;&#1082;&#1090;&#1086;&#1088;&#1086;&#1086;&#1088;,%20&#1199;&#1083;&#1076;&#1101;&#1075;&#1076;&#1101;&#1083;)%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mofgovmn.sharepoint.com/sites/-765/DS/DSA/10.%20&#1256;&#1088;&#1080;&#1081;&#1085;%20&#1089;&#1090;&#1088;&#1072;&#1090;&#1077;&#1075;&#1080;%202023-2025/&#1057;&#1090;&#1088;&#1072;&#1090;&#1077;&#1075;&#1080;%202023-2025/&#1043;&#1088;&#1072;&#1092;&#1080;&#1082;&#1091;&#1091;&#1076;.xlsx" TargetMode="Externa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ENOVO\Desktop\&#1057;&#1090;&#1088;&#1072;&#1090;&#1077;&#1075;&#1080;\&#1053;&#1080;&#1081;&#1090;%20&#1075;&#1072;&#1076;&#1072;&#1072;&#1076;%20&#1257;&#1088;%20(&#1089;&#1077;&#1082;&#1090;&#1086;&#1088;&#1086;&#1086;&#1088;,%20&#1199;&#1083;&#1076;&#1101;&#1075;&#1076;&#1101;&#1083;)%20(1).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ENOVO\Desktop\&#1057;&#1090;&#1088;&#1072;&#1090;&#1077;&#1075;&#1080;\&#1053;&#1080;&#1081;&#1090;%20&#1075;&#1072;&#1076;&#1072;&#1072;&#1076;%20&#1257;&#1088;%20(&#1089;&#1077;&#1082;&#1090;&#1086;&#1088;&#1086;&#1086;&#1088;,%20&#1199;&#1083;&#1076;&#1101;&#1075;&#1076;&#1101;&#1083;)%20(1).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4.xml"/></Relationships>
</file>

<file path=word/charts/_rels/chart9.xml.rels><?xml version="1.0" encoding="UTF-8" standalone="yes"?>
<Relationships xmlns="http://schemas.openxmlformats.org/package/2006/relationships"><Relationship Id="rId3" Type="http://schemas.openxmlformats.org/officeDocument/2006/relationships/oleObject" Target="https://mofgovmn-my.sharepoint.com/personal/nyamragchaa_b_mof_gov_mn/Documents/Microsoft%20Teams%20Chat%20Files/Copy%20of%20rating%20graph%20(1)_163240492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Үлдэгдэл</c:v>
                </c:pt>
              </c:strCache>
            </c:strRef>
          </c:tx>
          <c:spPr>
            <a:solidFill>
              <a:srgbClr val="002060"/>
            </a:solidFill>
            <a:ln>
              <a:noFill/>
            </a:ln>
            <a:effectLst/>
          </c:spPr>
          <c:invertIfNegative val="0"/>
          <c:dLbls>
            <c:dLbl>
              <c:idx val="5"/>
              <c:tx>
                <c:rich>
                  <a:bodyPr/>
                  <a:lstStyle/>
                  <a:p>
                    <a:r>
                      <a:rPr lang="en-US"/>
                      <a:t>657.3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6F-43FF-9E8D-CCFB1A71FFF9}"/>
                </c:ext>
              </c:extLst>
            </c:dLbl>
            <c:numFmt formatCode="#,##0.0" sourceLinked="0"/>
            <c:spPr>
              <a:solidFill>
                <a:schemeClr val="bg1"/>
              </a:solidFill>
              <a:ln>
                <a:solidFill>
                  <a:srgbClr val="00B050"/>
                </a:solid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5488.8</c:v>
                </c:pt>
                <c:pt idx="1">
                  <c:v>3461.9</c:v>
                </c:pt>
                <c:pt idx="2">
                  <c:v>1564.7</c:v>
                </c:pt>
                <c:pt idx="3">
                  <c:v>1399.6</c:v>
                </c:pt>
                <c:pt idx="4">
                  <c:v>1136.5999999999999</c:v>
                </c:pt>
                <c:pt idx="5">
                  <c:v>643.23400000000004</c:v>
                </c:pt>
              </c:numCache>
            </c:numRef>
          </c:val>
          <c:extLst>
            <c:ext xmlns:c16="http://schemas.microsoft.com/office/drawing/2014/chart" uri="{C3380CC4-5D6E-409C-BE32-E72D297353CC}">
              <c16:uniqueId val="{00000001-BB6F-43FF-9E8D-CCFB1A71FFF9}"/>
            </c:ext>
          </c:extLst>
        </c:ser>
        <c:dLbls>
          <c:showLegendKey val="0"/>
          <c:showVal val="1"/>
          <c:showCatName val="0"/>
          <c:showSerName val="0"/>
          <c:showPercent val="0"/>
          <c:showBubbleSize val="0"/>
        </c:dLbls>
        <c:gapWidth val="86"/>
        <c:axId val="1765834191"/>
        <c:axId val="1765827951"/>
      </c:barChart>
      <c:lineChart>
        <c:grouping val="standard"/>
        <c:varyColors val="0"/>
        <c:ser>
          <c:idx val="1"/>
          <c:order val="1"/>
          <c:tx>
            <c:strRef>
              <c:f>Sheet1!$C$1</c:f>
              <c:strCache>
                <c:ptCount val="1"/>
                <c:pt idx="0">
                  <c:v>Засгийн газрын өрд эзлэх хувь</c:v>
                </c:pt>
              </c:strCache>
            </c:strRef>
          </c:tx>
          <c:spPr>
            <a:ln w="28575" cap="rnd">
              <a:solidFill>
                <a:schemeClr val="accent2"/>
              </a:solidFill>
              <a:round/>
            </a:ln>
            <a:effectLst/>
          </c:spPr>
          <c:marker>
            <c:symbol val="circle"/>
            <c:size val="5"/>
            <c:spPr>
              <a:solidFill>
                <a:schemeClr val="accent1"/>
              </a:solidFill>
              <a:ln w="9525">
                <a:solidFill>
                  <a:schemeClr val="accent2"/>
                </a:solidFill>
              </a:ln>
              <a:effectLst/>
            </c:spPr>
          </c:marker>
          <c:dLbls>
            <c:dLbl>
              <c:idx val="0"/>
              <c:layout>
                <c:manualLayout>
                  <c:x val="-4.5584536307961512E-2"/>
                  <c:y val="-9.719253843269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6F-43FF-9E8D-CCFB1A71FFF9}"/>
                </c:ext>
              </c:extLst>
            </c:dLbl>
            <c:dLbl>
              <c:idx val="1"/>
              <c:layout>
                <c:manualLayout>
                  <c:x val="-5.7158610382035582E-2"/>
                  <c:y val="-8.9256030496188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6F-43FF-9E8D-CCFB1A71FFF9}"/>
                </c:ext>
              </c:extLst>
            </c:dLbl>
            <c:dLbl>
              <c:idx val="4"/>
              <c:layout>
                <c:manualLayout>
                  <c:x val="-4.6383238553514228E-2"/>
                  <c:y val="-6.47815898012748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6F-43FF-9E8D-CCFB1A71FFF9}"/>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0.00%</c:formatCode>
                <c:ptCount val="6"/>
                <c:pt idx="0">
                  <c:v>0.246</c:v>
                </c:pt>
                <c:pt idx="1">
                  <c:v>0.152</c:v>
                </c:pt>
                <c:pt idx="2" formatCode="0%">
                  <c:v>7.0000000000000007E-2</c:v>
                </c:pt>
                <c:pt idx="3">
                  <c:v>5.8000000000000003E-2</c:v>
                </c:pt>
                <c:pt idx="4">
                  <c:v>4.1000000000000002E-2</c:v>
                </c:pt>
                <c:pt idx="5">
                  <c:v>2.4E-2</c:v>
                </c:pt>
              </c:numCache>
            </c:numRef>
          </c:val>
          <c:smooth val="0"/>
          <c:extLst>
            <c:ext xmlns:c16="http://schemas.microsoft.com/office/drawing/2014/chart" uri="{C3380CC4-5D6E-409C-BE32-E72D297353CC}">
              <c16:uniqueId val="{00000005-BB6F-43FF-9E8D-CCFB1A71FFF9}"/>
            </c:ext>
          </c:extLst>
        </c:ser>
        <c:dLbls>
          <c:showLegendKey val="0"/>
          <c:showVal val="1"/>
          <c:showCatName val="0"/>
          <c:showSerName val="0"/>
          <c:showPercent val="0"/>
          <c:showBubbleSize val="0"/>
        </c:dLbls>
        <c:marker val="1"/>
        <c:smooth val="0"/>
        <c:axId val="1611417407"/>
        <c:axId val="1611414911"/>
      </c:lineChart>
      <c:catAx>
        <c:axId val="17658341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65827951"/>
        <c:crosses val="autoZero"/>
        <c:auto val="1"/>
        <c:lblAlgn val="ctr"/>
        <c:lblOffset val="100"/>
        <c:noMultiLvlLbl val="0"/>
      </c:catAx>
      <c:valAx>
        <c:axId val="1765827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1765834191"/>
        <c:crosses val="autoZero"/>
        <c:crossBetween val="between"/>
      </c:valAx>
      <c:valAx>
        <c:axId val="161141491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1611417407"/>
        <c:crosses val="max"/>
        <c:crossBetween val="between"/>
      </c:valAx>
      <c:catAx>
        <c:axId val="1611417407"/>
        <c:scaling>
          <c:orientation val="minMax"/>
        </c:scaling>
        <c:delete val="1"/>
        <c:axPos val="b"/>
        <c:numFmt formatCode="General" sourceLinked="1"/>
        <c:majorTickMark val="out"/>
        <c:minorTickMark val="none"/>
        <c:tickLblPos val="nextTo"/>
        <c:crossAx val="16114149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91440355669824E-2"/>
          <c:y val="2.3864739510300937E-3"/>
          <c:w val="0.87723721348018313"/>
          <c:h val="0.63912224726556033"/>
        </c:manualLayout>
      </c:layout>
      <c:barChart>
        <c:barDir val="col"/>
        <c:grouping val="stacked"/>
        <c:varyColors val="0"/>
        <c:ser>
          <c:idx val="0"/>
          <c:order val="0"/>
          <c:tx>
            <c:strRef>
              <c:f>Sheet1!$B$1</c:f>
              <c:strCache>
                <c:ptCount val="1"/>
                <c:pt idx="0">
                  <c:v>Улсын төсөв</c:v>
                </c:pt>
              </c:strCache>
            </c:strRef>
          </c:tx>
          <c:spPr>
            <a:solidFill>
              <a:schemeClr val="accent1">
                <a:lumMod val="50000"/>
              </a:schemeClr>
            </a:solidFill>
            <a:ln>
              <a:noFill/>
            </a:ln>
            <a:effectLst/>
          </c:spPr>
          <c:invertIfNegative val="0"/>
          <c:dLbls>
            <c:dLbl>
              <c:idx val="3"/>
              <c:layout>
                <c:manualLayout>
                  <c:x val="2.3148148148148147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65-4D03-9F7F-89998BD4C5E1}"/>
                </c:ext>
              </c:extLst>
            </c:dLbl>
            <c:dLbl>
              <c:idx val="4"/>
              <c:layout>
                <c:manualLayout>
                  <c:x val="-1.6858042802343716E-16"/>
                  <c:y val="-0.112847358923884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65-4D03-9F7F-89998BD4C5E1}"/>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750.9</c:v>
                </c:pt>
                <c:pt idx="1">
                  <c:v>803.5</c:v>
                </c:pt>
                <c:pt idx="2">
                  <c:v>993.5</c:v>
                </c:pt>
                <c:pt idx="3">
                  <c:v>849.5</c:v>
                </c:pt>
                <c:pt idx="4">
                  <c:v>673.5</c:v>
                </c:pt>
              </c:numCache>
            </c:numRef>
          </c:val>
          <c:extLst>
            <c:ext xmlns:c16="http://schemas.microsoft.com/office/drawing/2014/chart" uri="{C3380CC4-5D6E-409C-BE32-E72D297353CC}">
              <c16:uniqueId val="{00000002-5E65-4D03-9F7F-89998BD4C5E1}"/>
            </c:ext>
          </c:extLst>
        </c:ser>
        <c:ser>
          <c:idx val="1"/>
          <c:order val="1"/>
          <c:tx>
            <c:strRef>
              <c:f>Sheet1!$C$1</c:f>
              <c:strCache>
                <c:ptCount val="1"/>
                <c:pt idx="0">
                  <c:v>Орон Нутаг</c:v>
                </c:pt>
              </c:strCache>
            </c:strRef>
          </c:tx>
          <c:spPr>
            <a:solidFill>
              <a:srgbClr val="FF0000"/>
            </a:solidFill>
            <a:ln>
              <a:noFill/>
            </a:ln>
            <a:effectLst/>
          </c:spPr>
          <c:invertIfNegative val="0"/>
          <c:dLbls>
            <c:dLbl>
              <c:idx val="1"/>
              <c:layout>
                <c:manualLayout>
                  <c:x val="-1.1574061589904041E-2"/>
                  <c:y val="-2.68201203224509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65-4D03-9F7F-89998BD4C5E1}"/>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17.3</c:v>
                </c:pt>
                <c:pt idx="1">
                  <c:v>2.5</c:v>
                </c:pt>
                <c:pt idx="2">
                  <c:v>2.2000000000000002</c:v>
                </c:pt>
                <c:pt idx="3">
                  <c:v>0.7</c:v>
                </c:pt>
                <c:pt idx="4">
                  <c:v>0.4</c:v>
                </c:pt>
              </c:numCache>
            </c:numRef>
          </c:val>
          <c:extLst>
            <c:ext xmlns:c16="http://schemas.microsoft.com/office/drawing/2014/chart" uri="{C3380CC4-5D6E-409C-BE32-E72D297353CC}">
              <c16:uniqueId val="{00000004-5E65-4D03-9F7F-89998BD4C5E1}"/>
            </c:ext>
          </c:extLst>
        </c:ser>
        <c:dLbls>
          <c:showLegendKey val="0"/>
          <c:showVal val="1"/>
          <c:showCatName val="0"/>
          <c:showSerName val="0"/>
          <c:showPercent val="0"/>
          <c:showBubbleSize val="0"/>
        </c:dLbls>
        <c:gapWidth val="138"/>
        <c:overlap val="100"/>
        <c:axId val="1815653535"/>
        <c:axId val="1815638559"/>
      </c:barChart>
      <c:lineChart>
        <c:grouping val="standard"/>
        <c:varyColors val="0"/>
        <c:ser>
          <c:idx val="2"/>
          <c:order val="2"/>
          <c:tx>
            <c:strRef>
              <c:f>Sheet1!$D$1</c:f>
              <c:strCache>
                <c:ptCount val="1"/>
                <c:pt idx="0">
                  <c:v>ЗГ-ын өрд бүртгэлтэй концесс</c:v>
                </c:pt>
              </c:strCache>
            </c:strRef>
          </c:tx>
          <c:spPr>
            <a:ln w="28575" cap="rnd">
              <a:solidFill>
                <a:schemeClr val="accent3"/>
              </a:solidFill>
              <a:round/>
            </a:ln>
            <a:effectLst/>
          </c:spPr>
          <c:marker>
            <c:symbol val="none"/>
          </c:marker>
          <c:dLbls>
            <c:spPr>
              <a:solidFill>
                <a:schemeClr val="accent4"/>
              </a:solid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Sheet1!$D$2:$D$6</c:f>
              <c:numCache>
                <c:formatCode>General</c:formatCode>
                <c:ptCount val="5"/>
                <c:pt idx="0">
                  <c:v>36</c:v>
                </c:pt>
                <c:pt idx="1">
                  <c:v>31</c:v>
                </c:pt>
                <c:pt idx="2">
                  <c:v>23</c:v>
                </c:pt>
                <c:pt idx="3">
                  <c:v>16</c:v>
                </c:pt>
                <c:pt idx="4">
                  <c:v>13</c:v>
                </c:pt>
              </c:numCache>
            </c:numRef>
          </c:val>
          <c:smooth val="0"/>
          <c:extLst>
            <c:ext xmlns:c16="http://schemas.microsoft.com/office/drawing/2014/chart" uri="{C3380CC4-5D6E-409C-BE32-E72D297353CC}">
              <c16:uniqueId val="{00000005-5E65-4D03-9F7F-89998BD4C5E1}"/>
            </c:ext>
          </c:extLst>
        </c:ser>
        <c:dLbls>
          <c:showLegendKey val="0"/>
          <c:showVal val="1"/>
          <c:showCatName val="0"/>
          <c:showSerName val="0"/>
          <c:showPercent val="0"/>
          <c:showBubbleSize val="0"/>
        </c:dLbls>
        <c:marker val="1"/>
        <c:smooth val="0"/>
        <c:axId val="1815648127"/>
        <c:axId val="1815642303"/>
      </c:lineChart>
      <c:catAx>
        <c:axId val="181565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638559"/>
        <c:crosses val="autoZero"/>
        <c:auto val="1"/>
        <c:lblAlgn val="ctr"/>
        <c:lblOffset val="100"/>
        <c:noMultiLvlLbl val="0"/>
      </c:catAx>
      <c:valAx>
        <c:axId val="18156385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653535"/>
        <c:crosses val="autoZero"/>
        <c:crossBetween val="between"/>
      </c:valAx>
      <c:valAx>
        <c:axId val="181564230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648127"/>
        <c:crosses val="max"/>
        <c:crossBetween val="between"/>
      </c:valAx>
      <c:catAx>
        <c:axId val="1815648127"/>
        <c:scaling>
          <c:orientation val="minMax"/>
        </c:scaling>
        <c:delete val="1"/>
        <c:axPos val="b"/>
        <c:numFmt formatCode="General" sourceLinked="1"/>
        <c:majorTickMark val="out"/>
        <c:minorTickMark val="none"/>
        <c:tickLblPos val="nextTo"/>
        <c:crossAx val="1815642303"/>
        <c:crosses val="autoZero"/>
        <c:auto val="1"/>
        <c:lblAlgn val="ctr"/>
        <c:lblOffset val="100"/>
        <c:noMultiLvlLbl val="0"/>
      </c:catAx>
      <c:spPr>
        <a:noFill/>
        <a:ln>
          <a:noFill/>
        </a:ln>
        <a:effectLst/>
      </c:spPr>
    </c:plotArea>
    <c:legend>
      <c:legendPos val="b"/>
      <c:layout>
        <c:manualLayout>
          <c:xMode val="edge"/>
          <c:yMode val="edge"/>
          <c:x val="1.9263643768666849E-2"/>
          <c:y val="0.80904409253676002"/>
          <c:w val="0.96497726243389426"/>
          <c:h val="8.1909840951156013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Чингис</c:v>
                </c:pt>
              </c:strCache>
            </c:strRef>
          </c:tx>
          <c:spPr>
            <a:ln w="12700" cap="rnd">
              <a:solidFill>
                <a:schemeClr val="accent1"/>
              </a:solidFill>
              <a:round/>
            </a:ln>
            <a:effectLst/>
          </c:spPr>
          <c:marker>
            <c:symbol val="triangle"/>
            <c:size val="5"/>
            <c:spPr>
              <a:solidFill>
                <a:schemeClr val="accent1"/>
              </a:solidFill>
              <a:ln w="9525">
                <a:solidFill>
                  <a:schemeClr val="accent1"/>
                </a:solidFill>
              </a:ln>
              <a:effectLst/>
            </c:spPr>
          </c:marker>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Sheet1!$B$2:$B$37</c:f>
              <c:numCache>
                <c:formatCode>General</c:formatCode>
                <c:ptCount val="36"/>
                <c:pt idx="0">
                  <c:v>2.3740000000000001</c:v>
                </c:pt>
                <c:pt idx="1">
                  <c:v>2.605</c:v>
                </c:pt>
                <c:pt idx="2">
                  <c:v>2.8410000000000002</c:v>
                </c:pt>
                <c:pt idx="3">
                  <c:v>3.22</c:v>
                </c:pt>
                <c:pt idx="4">
                  <c:v>3.036</c:v>
                </c:pt>
                <c:pt idx="5">
                  <c:v>3.4</c:v>
                </c:pt>
                <c:pt idx="6">
                  <c:v>3.1589999999999998</c:v>
                </c:pt>
                <c:pt idx="7">
                  <c:v>3.359</c:v>
                </c:pt>
                <c:pt idx="8">
                  <c:v>3.8330000000000002</c:v>
                </c:pt>
                <c:pt idx="9">
                  <c:v>4.194</c:v>
                </c:pt>
                <c:pt idx="10">
                  <c:v>4.28</c:v>
                </c:pt>
                <c:pt idx="11">
                  <c:v>4.9130000000000003</c:v>
                </c:pt>
                <c:pt idx="12">
                  <c:v>5.5910000000000002</c:v>
                </c:pt>
                <c:pt idx="13">
                  <c:v>7.5389999999999997</c:v>
                </c:pt>
                <c:pt idx="14">
                  <c:v>9.5730000000000004</c:v>
                </c:pt>
                <c:pt idx="15">
                  <c:v>10.875</c:v>
                </c:pt>
                <c:pt idx="16">
                  <c:v>5.2850000000000001</c:v>
                </c:pt>
                <c:pt idx="17">
                  <c:v>4.5430000000000001</c:v>
                </c:pt>
                <c:pt idx="18">
                  <c:v>4.3659999999999997</c:v>
                </c:pt>
                <c:pt idx="19">
                  <c:v>4.5430000000000001</c:v>
                </c:pt>
                <c:pt idx="20">
                  <c:v>4.944</c:v>
                </c:pt>
                <c:pt idx="21">
                  <c:v>5.2350000000000003</c:v>
                </c:pt>
                <c:pt idx="22">
                  <c:v>5.2469999999999999</c:v>
                </c:pt>
                <c:pt idx="23">
                  <c:v>4.8819999999999997</c:v>
                </c:pt>
                <c:pt idx="24">
                  <c:v>4.875</c:v>
                </c:pt>
                <c:pt idx="25">
                  <c:v>5.5970000000000004</c:v>
                </c:pt>
                <c:pt idx="26">
                  <c:v>5.6909999999999998</c:v>
                </c:pt>
                <c:pt idx="27">
                  <c:v>5.17</c:v>
                </c:pt>
                <c:pt idx="28">
                  <c:v>5.3040000000000003</c:v>
                </c:pt>
                <c:pt idx="29">
                  <c:v>5.8869999999999996</c:v>
                </c:pt>
              </c:numCache>
            </c:numRef>
          </c:val>
          <c:smooth val="0"/>
          <c:extLst>
            <c:ext xmlns:c16="http://schemas.microsoft.com/office/drawing/2014/chart" uri="{C3380CC4-5D6E-409C-BE32-E72D297353CC}">
              <c16:uniqueId val="{00000000-41D5-4754-92A7-16615A71DDA6}"/>
            </c:ext>
          </c:extLst>
        </c:ser>
        <c:ser>
          <c:idx val="1"/>
          <c:order val="1"/>
          <c:tx>
            <c:strRef>
              <c:f>Sheet1!$C$1</c:f>
              <c:strCache>
                <c:ptCount val="1"/>
                <c:pt idx="0">
                  <c:v>Гэрэгэ</c:v>
                </c:pt>
              </c:strCache>
            </c:strRef>
          </c:tx>
          <c:spPr>
            <a:ln w="12700" cap="rnd">
              <a:solidFill>
                <a:schemeClr val="accent2"/>
              </a:solidFill>
              <a:round/>
            </a:ln>
            <a:effectLst/>
          </c:spPr>
          <c:marker>
            <c:symbol val="square"/>
            <c:size val="6"/>
            <c:spPr>
              <a:solidFill>
                <a:schemeClr val="accent2"/>
              </a:solidFill>
              <a:ln w="9525">
                <a:solidFill>
                  <a:schemeClr val="accent2"/>
                </a:solidFill>
              </a:ln>
              <a:effectLst/>
            </c:spPr>
          </c:marker>
          <c:dLbls>
            <c:dLbl>
              <c:idx val="35"/>
              <c:layout>
                <c:manualLayout>
                  <c:x val="-1.5088988928023694E-16"/>
                  <c:y val="6.1916284854637071E-2"/>
                </c:manualLayout>
              </c:layout>
              <c:tx>
                <c:rich>
                  <a:bodyPr/>
                  <a:lstStyle/>
                  <a:p>
                    <a:r>
                      <a:rPr lang="ru"/>
                      <a:t>Гэрэгэ</a:t>
                    </a:r>
                  </a:p>
                  <a:p>
                    <a:fld id="{53CA0C6D-810D-4E5A-A8DE-77214FF067DA}"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1D5-4754-92A7-16615A71DDA6}"/>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accent2"/>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Sheet1!$C$2:$C$37</c:f>
              <c:numCache>
                <c:formatCode>General</c:formatCode>
                <c:ptCount val="36"/>
                <c:pt idx="0">
                  <c:v>2.7490000000000001</c:v>
                </c:pt>
                <c:pt idx="1">
                  <c:v>2.899</c:v>
                </c:pt>
                <c:pt idx="2">
                  <c:v>3.032</c:v>
                </c:pt>
                <c:pt idx="3">
                  <c:v>3.323</c:v>
                </c:pt>
                <c:pt idx="4">
                  <c:v>3.0019999999999998</c:v>
                </c:pt>
                <c:pt idx="5">
                  <c:v>3.4510000000000001</c:v>
                </c:pt>
                <c:pt idx="6">
                  <c:v>3.2509999999999999</c:v>
                </c:pt>
                <c:pt idx="7">
                  <c:v>3.51</c:v>
                </c:pt>
                <c:pt idx="8">
                  <c:v>3.948</c:v>
                </c:pt>
                <c:pt idx="9">
                  <c:v>4.5250000000000004</c:v>
                </c:pt>
                <c:pt idx="10">
                  <c:v>4.375</c:v>
                </c:pt>
                <c:pt idx="11">
                  <c:v>5.0609999999999999</c:v>
                </c:pt>
                <c:pt idx="12">
                  <c:v>5.7130000000000001</c:v>
                </c:pt>
                <c:pt idx="13">
                  <c:v>7.7619999999999996</c:v>
                </c:pt>
                <c:pt idx="14">
                  <c:v>9.5050000000000008</c:v>
                </c:pt>
                <c:pt idx="15">
                  <c:v>10.446</c:v>
                </c:pt>
                <c:pt idx="16">
                  <c:v>5.5119999999999996</c:v>
                </c:pt>
                <c:pt idx="17">
                  <c:v>4.8680000000000003</c:v>
                </c:pt>
                <c:pt idx="18">
                  <c:v>4.6159999999999997</c:v>
                </c:pt>
                <c:pt idx="19">
                  <c:v>4.8490000000000002</c:v>
                </c:pt>
                <c:pt idx="20">
                  <c:v>5.173</c:v>
                </c:pt>
                <c:pt idx="21">
                  <c:v>5.3129999999999997</c:v>
                </c:pt>
                <c:pt idx="22">
                  <c:v>5.4359999999999999</c:v>
                </c:pt>
                <c:pt idx="23">
                  <c:v>5.0380000000000003</c:v>
                </c:pt>
                <c:pt idx="24">
                  <c:v>5.1219999999999999</c:v>
                </c:pt>
                <c:pt idx="25">
                  <c:v>5.9770000000000003</c:v>
                </c:pt>
                <c:pt idx="26">
                  <c:v>6.048</c:v>
                </c:pt>
                <c:pt idx="27">
                  <c:v>5.4139999999999997</c:v>
                </c:pt>
                <c:pt idx="28">
                  <c:v>5.7249999999999996</c:v>
                </c:pt>
                <c:pt idx="29">
                  <c:v>6.0750000000000002</c:v>
                </c:pt>
                <c:pt idx="30">
                  <c:v>3.024</c:v>
                </c:pt>
                <c:pt idx="31">
                  <c:v>2.8959999999999999</c:v>
                </c:pt>
                <c:pt idx="32">
                  <c:v>3.0329999999999999</c:v>
                </c:pt>
                <c:pt idx="33">
                  <c:v>2.657</c:v>
                </c:pt>
                <c:pt idx="34">
                  <c:v>3.4169999999999998</c:v>
                </c:pt>
                <c:pt idx="35">
                  <c:v>3.609</c:v>
                </c:pt>
              </c:numCache>
            </c:numRef>
          </c:val>
          <c:smooth val="0"/>
          <c:extLst>
            <c:ext xmlns:c16="http://schemas.microsoft.com/office/drawing/2014/chart" uri="{C3380CC4-5D6E-409C-BE32-E72D297353CC}">
              <c16:uniqueId val="{00000002-41D5-4754-92A7-16615A71DDA6}"/>
            </c:ext>
          </c:extLst>
        </c:ser>
        <c:ser>
          <c:idx val="2"/>
          <c:order val="2"/>
          <c:tx>
            <c:strRef>
              <c:f>Sheet1!$D$1</c:f>
              <c:strCache>
                <c:ptCount val="1"/>
                <c:pt idx="0">
                  <c:v>Хуралдай</c:v>
                </c:pt>
              </c:strCache>
            </c:strRef>
          </c:tx>
          <c:spPr>
            <a:ln w="12700" cap="rnd">
              <a:solidFill>
                <a:schemeClr val="accent3"/>
              </a:solidFill>
              <a:round/>
            </a:ln>
            <a:effectLst/>
          </c:spPr>
          <c:marker>
            <c:symbol val="triangle"/>
            <c:size val="6"/>
            <c:spPr>
              <a:solidFill>
                <a:schemeClr val="accent3"/>
              </a:solidFill>
              <a:ln w="9525">
                <a:solidFill>
                  <a:schemeClr val="accent3"/>
                </a:solidFill>
              </a:ln>
              <a:effectLst/>
            </c:spPr>
          </c:marker>
          <c:dLbls>
            <c:dLbl>
              <c:idx val="35"/>
              <c:layout>
                <c:manualLayout>
                  <c:x val="-1.1251255630083277E-3"/>
                  <c:y val="-7.7456537445014489E-2"/>
                </c:manualLayout>
              </c:layout>
              <c:tx>
                <c:rich>
                  <a:bodyPr rot="0" spcFirstLastPara="1" vertOverflow="ellipsis" vert="horz" wrap="square" lIns="38100" tIns="19050" rIns="38100" bIns="19050" anchor="ctr" anchorCtr="1">
                    <a:spAutoFit/>
                  </a:bodyPr>
                  <a:lstStyle/>
                  <a:p>
                    <a:pPr>
                      <a:defRPr sz="600" b="1" i="0" u="none" strike="noStrike" kern="1200" baseline="0">
                        <a:solidFill>
                          <a:schemeClr val="bg2">
                            <a:lumMod val="50000"/>
                          </a:schemeClr>
                        </a:solidFill>
                        <a:latin typeface="Arial" panose="020B0604020202020204" pitchFamily="34" charset="0"/>
                        <a:ea typeface="+mn-ea"/>
                        <a:cs typeface="Arial" panose="020B0604020202020204" pitchFamily="34" charset="0"/>
                      </a:defRPr>
                    </a:pPr>
                    <a:r>
                      <a:rPr lang="ru" sz="600">
                        <a:solidFill>
                          <a:schemeClr val="bg2">
                            <a:lumMod val="50000"/>
                          </a:schemeClr>
                        </a:solidFill>
                      </a:rPr>
                      <a:t>Хуралдай</a:t>
                    </a:r>
                  </a:p>
                  <a:p>
                    <a:pPr>
                      <a:defRPr sz="600" b="1">
                        <a:solidFill>
                          <a:schemeClr val="bg2">
                            <a:lumMod val="50000"/>
                          </a:schemeClr>
                        </a:solidFill>
                      </a:defRPr>
                    </a:pPr>
                    <a:fld id="{71DE2030-FDE7-447C-8C62-51A09DBB2CA0}" type="VALUE">
                      <a:rPr lang="en-US" sz="600">
                        <a:solidFill>
                          <a:schemeClr val="bg2">
                            <a:lumMod val="50000"/>
                          </a:schemeClr>
                        </a:solidFill>
                      </a:rPr>
                      <a:pPr>
                        <a:defRPr sz="600" b="1">
                          <a:solidFill>
                            <a:schemeClr val="bg2">
                              <a:lumMod val="50000"/>
                            </a:schemeClr>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bg2">
                          <a:lumMod val="50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7.4878973461650622E-2"/>
                      <c:h val="0.11005807200929152"/>
                    </c:manualLayout>
                  </c15:layout>
                  <c15:dlblFieldTable/>
                  <c15:showDataLabelsRange val="0"/>
                </c:ext>
                <c:ext xmlns:c16="http://schemas.microsoft.com/office/drawing/2014/chart" uri="{C3380CC4-5D6E-409C-BE32-E72D297353CC}">
                  <c16:uniqueId val="{00000003-41D5-4754-92A7-16615A71DDA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50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Sheet1!$D$2:$D$37</c:f>
              <c:numCache>
                <c:formatCode>General</c:formatCode>
                <c:ptCount val="36"/>
                <c:pt idx="0">
                  <c:v>3.056</c:v>
                </c:pt>
                <c:pt idx="1">
                  <c:v>3.1880000000000002</c:v>
                </c:pt>
                <c:pt idx="2">
                  <c:v>3.0459999999999998</c:v>
                </c:pt>
                <c:pt idx="3">
                  <c:v>3.3069999999999999</c:v>
                </c:pt>
                <c:pt idx="4">
                  <c:v>3.0619999999999998</c:v>
                </c:pt>
                <c:pt idx="5">
                  <c:v>3.4009999999999998</c:v>
                </c:pt>
                <c:pt idx="6">
                  <c:v>3.387</c:v>
                </c:pt>
                <c:pt idx="7">
                  <c:v>3.8119999999999998</c:v>
                </c:pt>
                <c:pt idx="8">
                  <c:v>4.2409999999999997</c:v>
                </c:pt>
                <c:pt idx="9">
                  <c:v>5.0549999999999997</c:v>
                </c:pt>
                <c:pt idx="10">
                  <c:v>4.8860000000000001</c:v>
                </c:pt>
                <c:pt idx="11">
                  <c:v>5.6440000000000001</c:v>
                </c:pt>
                <c:pt idx="12">
                  <c:v>6.4669999999999996</c:v>
                </c:pt>
                <c:pt idx="13">
                  <c:v>8.6489999999999991</c:v>
                </c:pt>
                <c:pt idx="14">
                  <c:v>9.2769999999999992</c:v>
                </c:pt>
                <c:pt idx="15">
                  <c:v>10.926</c:v>
                </c:pt>
                <c:pt idx="16">
                  <c:v>5.7290000000000001</c:v>
                </c:pt>
                <c:pt idx="17">
                  <c:v>5.1849999999999996</c:v>
                </c:pt>
                <c:pt idx="18">
                  <c:v>5.1189999999999998</c:v>
                </c:pt>
                <c:pt idx="19">
                  <c:v>5.3659999999999997</c:v>
                </c:pt>
                <c:pt idx="20">
                  <c:v>5.53</c:v>
                </c:pt>
                <c:pt idx="21">
                  <c:v>5.7039999999999997</c:v>
                </c:pt>
                <c:pt idx="22">
                  <c:v>5.9059999999999997</c:v>
                </c:pt>
                <c:pt idx="23">
                  <c:v>5.4279999999999999</c:v>
                </c:pt>
                <c:pt idx="24">
                  <c:v>5.5810000000000004</c:v>
                </c:pt>
                <c:pt idx="25">
                  <c:v>6.2309999999999999</c:v>
                </c:pt>
                <c:pt idx="26">
                  <c:v>6.2169999999999996</c:v>
                </c:pt>
                <c:pt idx="27">
                  <c:v>5.8319999999999999</c:v>
                </c:pt>
                <c:pt idx="28">
                  <c:v>6.0990000000000002</c:v>
                </c:pt>
                <c:pt idx="29">
                  <c:v>6.5449999999999999</c:v>
                </c:pt>
                <c:pt idx="30">
                  <c:v>2.613</c:v>
                </c:pt>
                <c:pt idx="31">
                  <c:v>2.52</c:v>
                </c:pt>
                <c:pt idx="32">
                  <c:v>2.4279999999999999</c:v>
                </c:pt>
                <c:pt idx="33">
                  <c:v>3.0609999999999999</c:v>
                </c:pt>
                <c:pt idx="34">
                  <c:v>3.9249999999999998</c:v>
                </c:pt>
                <c:pt idx="35">
                  <c:v>3.8879999999999999</c:v>
                </c:pt>
              </c:numCache>
            </c:numRef>
          </c:val>
          <c:smooth val="0"/>
          <c:extLst>
            <c:ext xmlns:c16="http://schemas.microsoft.com/office/drawing/2014/chart" uri="{C3380CC4-5D6E-409C-BE32-E72D297353CC}">
              <c16:uniqueId val="{00000004-41D5-4754-92A7-16615A71DDA6}"/>
            </c:ext>
          </c:extLst>
        </c:ser>
        <c:ser>
          <c:idx val="3"/>
          <c:order val="3"/>
          <c:tx>
            <c:strRef>
              <c:f>Sheet1!$E$1</c:f>
              <c:strCache>
                <c:ptCount val="1"/>
                <c:pt idx="0">
                  <c:v>Номад</c:v>
                </c:pt>
              </c:strCache>
            </c:strRef>
          </c:tx>
          <c:spPr>
            <a:ln w="12700" cap="rnd">
              <a:solidFill>
                <a:schemeClr val="accent4"/>
              </a:solidFill>
              <a:round/>
            </a:ln>
            <a:effectLst/>
          </c:spPr>
          <c:marker>
            <c:symbol val="diamond"/>
            <c:size val="6"/>
            <c:spPr>
              <a:solidFill>
                <a:schemeClr val="accent4"/>
              </a:solidFill>
              <a:ln w="9525">
                <a:solidFill>
                  <a:schemeClr val="accent4"/>
                </a:solidFill>
              </a:ln>
              <a:effectLst/>
            </c:spPr>
          </c:marker>
          <c:dLbls>
            <c:dLbl>
              <c:idx val="35"/>
              <c:layout>
                <c:manualLayout>
                  <c:x val="-4.11522633744856E-3"/>
                  <c:y val="-0.10997686264826653"/>
                </c:manualLayout>
              </c:layout>
              <c:tx>
                <c:rich>
                  <a:bodyPr rot="0" spcFirstLastPara="1" vertOverflow="ellipsis" vert="horz" wrap="square" lIns="38100" tIns="19050" rIns="38100" bIns="19050" anchor="ctr" anchorCtr="1">
                    <a:spAutoFit/>
                  </a:bodyPr>
                  <a:lstStyle/>
                  <a:p>
                    <a:pPr>
                      <a:defRPr sz="600" b="1" i="0" u="none" strike="noStrike" kern="1200" baseline="0">
                        <a:solidFill>
                          <a:schemeClr val="accent4">
                            <a:lumMod val="75000"/>
                          </a:schemeClr>
                        </a:solidFill>
                        <a:latin typeface="Arial" panose="020B0604020202020204" pitchFamily="34" charset="0"/>
                        <a:ea typeface="+mn-ea"/>
                        <a:cs typeface="Arial" panose="020B0604020202020204" pitchFamily="34" charset="0"/>
                      </a:defRPr>
                    </a:pPr>
                    <a:r>
                      <a:rPr lang="ru" sz="600" b="1">
                        <a:solidFill>
                          <a:schemeClr val="accent4">
                            <a:lumMod val="75000"/>
                          </a:schemeClr>
                        </a:solidFill>
                      </a:rPr>
                      <a:t>Номад</a:t>
                    </a:r>
                  </a:p>
                  <a:p>
                    <a:pPr>
                      <a:defRPr sz="600" b="1">
                        <a:solidFill>
                          <a:schemeClr val="accent4">
                            <a:lumMod val="75000"/>
                          </a:schemeClr>
                        </a:solidFill>
                      </a:defRPr>
                    </a:pPr>
                    <a:fld id="{D7946A94-6514-4BAC-BF01-660E07D1B6D9}" type="VALUE">
                      <a:rPr lang="en-US" sz="600" b="1">
                        <a:solidFill>
                          <a:schemeClr val="accent4">
                            <a:lumMod val="75000"/>
                          </a:schemeClr>
                        </a:solidFill>
                      </a:rPr>
                      <a:pPr>
                        <a:defRPr sz="600" b="1">
                          <a:solidFill>
                            <a:schemeClr val="accent4">
                              <a:lumMod val="75000"/>
                            </a:schemeClr>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accent4">
                          <a:lumMod val="7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1D5-4754-92A7-16615A71DDA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accent4">
                        <a:lumMod val="7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Sheet1!$E$2:$E$37</c:f>
              <c:numCache>
                <c:formatCode>General</c:formatCode>
                <c:ptCount val="36"/>
                <c:pt idx="0">
                  <c:v>3.49</c:v>
                </c:pt>
                <c:pt idx="1">
                  <c:v>3.5129999999999999</c:v>
                </c:pt>
                <c:pt idx="2">
                  <c:v>3.5219999999999998</c:v>
                </c:pt>
                <c:pt idx="3">
                  <c:v>3.6320000000000001</c:v>
                </c:pt>
                <c:pt idx="4">
                  <c:v>3.1560000000000001</c:v>
                </c:pt>
                <c:pt idx="5">
                  <c:v>3.6840000000000002</c:v>
                </c:pt>
                <c:pt idx="6">
                  <c:v>3.758</c:v>
                </c:pt>
                <c:pt idx="7">
                  <c:v>3.9359999999999999</c:v>
                </c:pt>
                <c:pt idx="8">
                  <c:v>4.41</c:v>
                </c:pt>
                <c:pt idx="30">
                  <c:v>3.8660000000000001</c:v>
                </c:pt>
                <c:pt idx="31">
                  <c:v>3.8279999999999998</c:v>
                </c:pt>
                <c:pt idx="32">
                  <c:v>3.92</c:v>
                </c:pt>
                <c:pt idx="33">
                  <c:v>4.2030000000000003</c:v>
                </c:pt>
                <c:pt idx="34">
                  <c:v>4.5410000000000004</c:v>
                </c:pt>
                <c:pt idx="35">
                  <c:v>4.59</c:v>
                </c:pt>
              </c:numCache>
            </c:numRef>
          </c:val>
          <c:smooth val="0"/>
          <c:extLst>
            <c:ext xmlns:c16="http://schemas.microsoft.com/office/drawing/2014/chart" uri="{C3380CC4-5D6E-409C-BE32-E72D297353CC}">
              <c16:uniqueId val="{00000006-41D5-4754-92A7-16615A71DDA6}"/>
            </c:ext>
          </c:extLst>
        </c:ser>
        <c:ser>
          <c:idx val="4"/>
          <c:order val="4"/>
          <c:tx>
            <c:strRef>
              <c:f>Sheet1!$F$1</c:f>
              <c:strCache>
                <c:ptCount val="1"/>
                <c:pt idx="0">
                  <c:v>Мазаалай</c:v>
                </c:pt>
              </c:strCache>
            </c:strRef>
          </c:tx>
          <c:spPr>
            <a:ln w="12700" cap="rnd">
              <a:solidFill>
                <a:schemeClr val="accent5"/>
              </a:solidFill>
              <a:round/>
            </a:ln>
            <a:effectLst/>
          </c:spPr>
          <c:marker>
            <c:symbol val="circle"/>
            <c:size val="6"/>
            <c:spPr>
              <a:solidFill>
                <a:schemeClr val="accent5">
                  <a:lumMod val="75000"/>
                </a:schemeClr>
              </a:solidFill>
              <a:ln w="9525">
                <a:solidFill>
                  <a:schemeClr val="accent5"/>
                </a:solidFill>
                <a:headEnd type="diamond"/>
              </a:ln>
              <a:effectLst/>
            </c:spPr>
          </c:marker>
          <c:dLbls>
            <c:dLbl>
              <c:idx val="26"/>
              <c:layout>
                <c:manualLayout>
                  <c:x val="-3.900732315867924E-2"/>
                  <c:y val="-4.573733161403605E-2"/>
                </c:manualLayout>
              </c:layout>
              <c:tx>
                <c:rich>
                  <a:bodyPr rot="0" spcFirstLastPara="1" vertOverflow="ellipsis" vert="horz" wrap="square" lIns="38100" tIns="19050" rIns="38100" bIns="19050" anchor="ctr" anchorCtr="1">
                    <a:spAutoFit/>
                  </a:bodyPr>
                  <a:lstStyle/>
                  <a:p>
                    <a:pPr>
                      <a:defRPr sz="500" b="1" i="0" u="none" strike="noStrike" kern="1200" baseline="0">
                        <a:solidFill>
                          <a:srgbClr val="002060"/>
                        </a:solidFill>
                        <a:latin typeface="Arial" panose="020B0604020202020204" pitchFamily="34" charset="0"/>
                        <a:ea typeface="+mn-ea"/>
                        <a:cs typeface="Arial" panose="020B0604020202020204" pitchFamily="34" charset="0"/>
                      </a:defRPr>
                    </a:pPr>
                    <a:r>
                      <a:rPr lang="ru" sz="500" b="1">
                        <a:solidFill>
                          <a:srgbClr val="002060"/>
                        </a:solidFill>
                      </a:rPr>
                      <a:t>Мазаалай</a:t>
                    </a:r>
                  </a:p>
                  <a:p>
                    <a:pPr>
                      <a:defRPr sz="500" b="1">
                        <a:solidFill>
                          <a:srgbClr val="002060"/>
                        </a:solidFill>
                      </a:defRPr>
                    </a:pPr>
                    <a:fld id="{15713CA6-53E8-4689-B956-C56D8EF83648}" type="VALUE">
                      <a:rPr lang="en-US" sz="500" b="1">
                        <a:solidFill>
                          <a:srgbClr val="002060"/>
                        </a:solidFill>
                      </a:rPr>
                      <a:pPr>
                        <a:defRPr sz="500" b="1">
                          <a:solidFill>
                            <a:srgbClr val="002060"/>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1D5-4754-92A7-16615A71D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Sheet1!$F$2:$F$37</c:f>
              <c:numCache>
                <c:formatCode>General</c:formatCode>
                <c:ptCount val="36"/>
                <c:pt idx="3">
                  <c:v>7.3070000000000004</c:v>
                </c:pt>
                <c:pt idx="4">
                  <c:v>6.0529999999999999</c:v>
                </c:pt>
                <c:pt idx="5">
                  <c:v>4.7140000000000004</c:v>
                </c:pt>
                <c:pt idx="6">
                  <c:v>1.5309999999999999</c:v>
                </c:pt>
                <c:pt idx="7">
                  <c:v>2.9249999999999998</c:v>
                </c:pt>
                <c:pt idx="8">
                  <c:v>2.8039999999999998</c:v>
                </c:pt>
                <c:pt idx="9">
                  <c:v>2.9689999999999999</c:v>
                </c:pt>
                <c:pt idx="10">
                  <c:v>4.0609999999999999</c:v>
                </c:pt>
                <c:pt idx="11">
                  <c:v>4.4569999999999999</c:v>
                </c:pt>
                <c:pt idx="12">
                  <c:v>5.8419999999999996</c:v>
                </c:pt>
                <c:pt idx="13">
                  <c:v>8.7379999999999995</c:v>
                </c:pt>
                <c:pt idx="14">
                  <c:v>12.561999999999999</c:v>
                </c:pt>
                <c:pt idx="15">
                  <c:v>12.474</c:v>
                </c:pt>
                <c:pt idx="16">
                  <c:v>4.7869999999999999</c:v>
                </c:pt>
                <c:pt idx="17">
                  <c:v>4.1050000000000004</c:v>
                </c:pt>
                <c:pt idx="18">
                  <c:v>3.5710000000000002</c:v>
                </c:pt>
                <c:pt idx="19">
                  <c:v>3.7850000000000001</c:v>
                </c:pt>
                <c:pt idx="20">
                  <c:v>4.2009999999999996</c:v>
                </c:pt>
                <c:pt idx="21">
                  <c:v>4.673</c:v>
                </c:pt>
                <c:pt idx="22">
                  <c:v>4.734</c:v>
                </c:pt>
                <c:pt idx="23">
                  <c:v>4.2060000000000004</c:v>
                </c:pt>
                <c:pt idx="24">
                  <c:v>4.2300000000000004</c:v>
                </c:pt>
              </c:numCache>
            </c:numRef>
          </c:val>
          <c:smooth val="0"/>
          <c:extLst>
            <c:ext xmlns:c16="http://schemas.microsoft.com/office/drawing/2014/chart" uri="{C3380CC4-5D6E-409C-BE32-E72D297353CC}">
              <c16:uniqueId val="{00000008-41D5-4754-92A7-16615A71DDA6}"/>
            </c:ext>
          </c:extLst>
        </c:ser>
        <c:ser>
          <c:idx val="5"/>
          <c:order val="5"/>
          <c:tx>
            <c:strRef>
              <c:f>Sheet1!$G$1</c:f>
              <c:strCache>
                <c:ptCount val="1"/>
                <c:pt idx="0">
                  <c:v>Сенчири</c:v>
                </c:pt>
              </c:strCache>
            </c:strRef>
          </c:tx>
          <c:spPr>
            <a:ln w="12700" cap="rnd">
              <a:solidFill>
                <a:schemeClr val="accent6"/>
              </a:solidFill>
              <a:round/>
            </a:ln>
            <a:effectLst/>
          </c:spPr>
          <c:marker>
            <c:symbol val="star"/>
            <c:size val="5"/>
            <c:spPr>
              <a:noFill/>
              <a:ln w="9525">
                <a:solidFill>
                  <a:schemeClr val="accent6"/>
                </a:solidFill>
              </a:ln>
              <a:effectLst/>
            </c:spPr>
          </c:marker>
          <c:dLbls>
            <c:dLbl>
              <c:idx val="35"/>
              <c:layout>
                <c:manualLayout>
                  <c:x val="-1.5088988928023694E-16"/>
                  <c:y val="-0.15875735045314457"/>
                </c:manualLayout>
              </c:layout>
              <c:tx>
                <c:rich>
                  <a:bodyPr/>
                  <a:lstStyle/>
                  <a:p>
                    <a:r>
                      <a:rPr lang="ru"/>
                      <a:t>Сенчири</a:t>
                    </a:r>
                  </a:p>
                  <a:p>
                    <a:fld id="{A5C8E5BE-D46D-42CF-B5B9-888C9C9CEC8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1D5-4754-92A7-16615A71DDA6}"/>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00B050"/>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Sheet1!$G$2:$G$37</c:f>
              <c:numCache>
                <c:formatCode>General</c:formatCode>
                <c:ptCount val="36"/>
                <c:pt idx="30">
                  <c:v>4.0579999999999998</c:v>
                </c:pt>
                <c:pt idx="31">
                  <c:v>3.8519999999999999</c:v>
                </c:pt>
                <c:pt idx="32">
                  <c:v>4.0880000000000001</c:v>
                </c:pt>
                <c:pt idx="33">
                  <c:v>4.181</c:v>
                </c:pt>
                <c:pt idx="34">
                  <c:v>4.7</c:v>
                </c:pt>
                <c:pt idx="35">
                  <c:v>4.742</c:v>
                </c:pt>
              </c:numCache>
            </c:numRef>
          </c:val>
          <c:smooth val="0"/>
          <c:extLst>
            <c:ext xmlns:c16="http://schemas.microsoft.com/office/drawing/2014/chart" uri="{C3380CC4-5D6E-409C-BE32-E72D297353CC}">
              <c16:uniqueId val="{0000000A-41D5-4754-92A7-16615A71DDA6}"/>
            </c:ext>
          </c:extLst>
        </c:ser>
        <c:dLbls>
          <c:showLegendKey val="0"/>
          <c:showVal val="0"/>
          <c:showCatName val="0"/>
          <c:showSerName val="0"/>
          <c:showPercent val="0"/>
          <c:showBubbleSize val="0"/>
        </c:dLbls>
        <c:marker val="1"/>
        <c:smooth val="0"/>
        <c:axId val="954644223"/>
        <c:axId val="954644639"/>
      </c:lineChart>
      <c:dateAx>
        <c:axId val="954644223"/>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54644639"/>
        <c:crosses val="autoZero"/>
        <c:auto val="1"/>
        <c:lblOffset val="100"/>
        <c:baseTimeUnit val="days"/>
        <c:majorUnit val="1"/>
        <c:majorTimeUnit val="months"/>
      </c:dateAx>
      <c:valAx>
        <c:axId val="95464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5464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Arial" panose="020B0604020202020204" pitchFamily="34" charset="0"/>
                <a:ea typeface="+mn-ea"/>
                <a:cs typeface="Arial" panose="020B0604020202020204" pitchFamily="34" charset="0"/>
              </a:defRPr>
            </a:pPr>
            <a:r>
              <a:rPr lang="mn-MN" sz="1050"/>
              <a:t>Нийт</a:t>
            </a:r>
            <a:r>
              <a:rPr lang="en-US" sz="1050"/>
              <a:t>: 16,51</a:t>
            </a:r>
            <a:r>
              <a:rPr lang="mn-MN" sz="1050"/>
              <a:t>7</a:t>
            </a:r>
            <a:r>
              <a:rPr lang="en-US" sz="1050"/>
              <a:t>.</a:t>
            </a:r>
            <a:r>
              <a:rPr lang="mn-MN" sz="1050"/>
              <a:t>1</a:t>
            </a:r>
            <a:r>
              <a:rPr lang="en-US" sz="1050"/>
              <a:t> </a:t>
            </a:r>
            <a:r>
              <a:rPr lang="mn-MN" sz="1050"/>
              <a:t>тэрбум төгрөг</a:t>
            </a:r>
            <a:endParaRPr lang="en-US" sz="1050"/>
          </a:p>
        </c:rich>
      </c:tx>
      <c:layout>
        <c:manualLayout>
          <c:xMode val="edge"/>
          <c:yMode val="edge"/>
          <c:x val="0.1676045116856541"/>
          <c:y val="2.878736490883924E-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1802007855540816"/>
          <c:y val="0.2410954351529857"/>
          <c:w val="0.74049668005483349"/>
          <c:h val="0.7589045648470143"/>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91-44AA-A02F-D271A8F44C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91-44AA-A02F-D271A8F44C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91-44AA-A02F-D271A8F44C1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91-44AA-A02F-D271A8F44C1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791-44AA-A02F-D271A8F44C1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791-44AA-A02F-D271A8F44C1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791-44AA-A02F-D271A8F44C13}"/>
              </c:ext>
            </c:extLst>
          </c:dPt>
          <c:dLbls>
            <c:dLbl>
              <c:idx val="0"/>
              <c:layout>
                <c:manualLayout>
                  <c:x val="-8.9826205819176011E-2"/>
                  <c:y val="-9.5785440613026823E-2"/>
                </c:manualLayout>
              </c:layout>
              <c:tx>
                <c:rich>
                  <a:bodyPr/>
                  <a:lstStyle/>
                  <a:p>
                    <a:fld id="{653F6FE1-BE2C-4452-AAB1-F4EDD1161C2B}" type="CATEGORYNAME">
                      <a:rPr lang="en-US" sz="700"/>
                      <a:pPr/>
                      <a:t>[CATEGORY NAME]</a:t>
                    </a:fld>
                    <a:r>
                      <a:rPr lang="en-US" sz="700"/>
                      <a:t/>
                    </a:r>
                    <a:br>
                      <a:rPr lang="en-US" sz="700"/>
                    </a:br>
                    <a:fld id="{945604AD-6236-477D-8867-A613A1E662A7}"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91-44AA-A02F-D271A8F44C13}"/>
                </c:ext>
              </c:extLst>
            </c:dLbl>
            <c:dLbl>
              <c:idx val="1"/>
              <c:layout>
                <c:manualLayout>
                  <c:x val="0.12888107791446984"/>
                  <c:y val="-8.6206896551724144E-2"/>
                </c:manualLayout>
              </c:layout>
              <c:tx>
                <c:rich>
                  <a:bodyPr/>
                  <a:lstStyle/>
                  <a:p>
                    <a:fld id="{7A8BC717-BDD1-4A05-8513-1D0D4F676EB0}" type="CATEGORYNAME">
                      <a:rPr lang="en-US" sz="700"/>
                      <a:pPr/>
                      <a:t>[CATEGORY NAME]</a:t>
                    </a:fld>
                    <a:r>
                      <a:rPr lang="en-US" sz="700"/>
                      <a:t/>
                    </a:r>
                    <a:br>
                      <a:rPr lang="en-US" sz="700"/>
                    </a:br>
                    <a:fld id="{0EA354D5-9792-447C-9379-AC128C743731}"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91-44AA-A02F-D271A8F44C13}"/>
                </c:ext>
              </c:extLst>
            </c:dLbl>
            <c:dLbl>
              <c:idx val="2"/>
              <c:layout>
                <c:manualLayout>
                  <c:x val="0.17423301322435569"/>
                  <c:y val="-0.15172245345761989"/>
                </c:manualLayout>
              </c:layout>
              <c:tx>
                <c:rich>
                  <a:bodyPr/>
                  <a:lstStyle/>
                  <a:p>
                    <a:fld id="{8C4CD1E4-E71E-4760-BB47-FC478B99951F}" type="CATEGORYNAME">
                      <a:rPr lang="en-US" sz="700"/>
                      <a:pPr/>
                      <a:t>[CATEGORY NAME]</a:t>
                    </a:fld>
                    <a:r>
                      <a:rPr lang="en-US" sz="700"/>
                      <a:t/>
                    </a:r>
                    <a:br>
                      <a:rPr lang="en-US" sz="700"/>
                    </a:br>
                    <a:fld id="{DB3A2292-2F7B-4CBF-BB10-3EB301F0723C}"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791-44AA-A02F-D271A8F44C13}"/>
                </c:ext>
              </c:extLst>
            </c:dLbl>
            <c:dLbl>
              <c:idx val="3"/>
              <c:layout>
                <c:manualLayout>
                  <c:x val="0.12888107791446984"/>
                  <c:y val="-7.6628352490421547E-2"/>
                </c:manualLayout>
              </c:layout>
              <c:tx>
                <c:rich>
                  <a:bodyPr/>
                  <a:lstStyle/>
                  <a:p>
                    <a:fld id="{D4921DC0-2DC1-45E8-8AA8-3C5F1DFD219C}" type="CATEGORYNAME">
                      <a:rPr lang="en-US" sz="700"/>
                      <a:pPr/>
                      <a:t>[CATEGORY NAME]</a:t>
                    </a:fld>
                    <a:r>
                      <a:rPr lang="en-US" sz="700"/>
                      <a:t/>
                    </a:r>
                    <a:br>
                      <a:rPr lang="en-US" sz="700"/>
                    </a:br>
                    <a:fld id="{B4452A57-205E-4499-B684-C590593AE6D3}"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791-44AA-A02F-D271A8F44C13}"/>
                </c:ext>
              </c:extLst>
            </c:dLbl>
            <c:dLbl>
              <c:idx val="4"/>
              <c:layout>
                <c:manualLayout>
                  <c:x val="0.11325912907635227"/>
                  <c:y val="0.10536398467432942"/>
                </c:manualLayout>
              </c:layout>
              <c:tx>
                <c:rich>
                  <a:bodyPr/>
                  <a:lstStyle/>
                  <a:p>
                    <a:fld id="{82C9E57F-037A-4FC5-9244-E4006858B29A}" type="CATEGORYNAME">
                      <a:rPr lang="en-US" sz="700"/>
                      <a:pPr/>
                      <a:t>[CATEGORY NAME]</a:t>
                    </a:fld>
                    <a:r>
                      <a:rPr lang="en-US" sz="700"/>
                      <a:t/>
                    </a:r>
                    <a:br>
                      <a:rPr lang="en-US" sz="700"/>
                    </a:br>
                    <a:fld id="{695FE620-7C42-4CFB-89AE-1EFC8A5F7687}"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791-44AA-A02F-D271A8F44C13}"/>
                </c:ext>
              </c:extLst>
            </c:dLbl>
            <c:dLbl>
              <c:idx val="5"/>
              <c:layout>
                <c:manualLayout>
                  <c:x val="-0.39835969537199772"/>
                  <c:y val="8.141762452107279E-2"/>
                </c:manualLayout>
              </c:layout>
              <c:tx>
                <c:rich>
                  <a:bodyPr/>
                  <a:lstStyle/>
                  <a:p>
                    <a:fld id="{E7795040-7682-4876-A7EC-34F3CB6A0E1C}" type="CATEGORYNAME">
                      <a:rPr lang="en-US" sz="700"/>
                      <a:pPr/>
                      <a:t>[CATEGORY NAME]</a:t>
                    </a:fld>
                    <a:r>
                      <a:rPr lang="en-US" sz="700"/>
                      <a:t/>
                    </a:r>
                    <a:br>
                      <a:rPr lang="en-US" sz="700"/>
                    </a:br>
                    <a:fld id="{7877866E-61F9-495A-952A-A62A94EC9B1C}"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791-44AA-A02F-D271A8F44C13}"/>
                </c:ext>
              </c:extLst>
            </c:dLbl>
            <c:dLbl>
              <c:idx val="6"/>
              <c:layout>
                <c:manualLayout>
                  <c:x val="-0.14450302675258739"/>
                  <c:y val="-4.7892720306513412E-2"/>
                </c:manualLayout>
              </c:layout>
              <c:tx>
                <c:rich>
                  <a:bodyPr/>
                  <a:lstStyle/>
                  <a:p>
                    <a:fld id="{5AD4C641-A897-4997-A1F5-C2F2091DA53B}" type="CATEGORYNAME">
                      <a:rPr lang="en-US" sz="700"/>
                      <a:pPr/>
                      <a:t>[CATEGORY NAME]</a:t>
                    </a:fld>
                    <a:r>
                      <a:rPr lang="en-US" sz="700"/>
                      <a:t/>
                    </a:r>
                    <a:br>
                      <a:rPr lang="en-US" sz="700"/>
                    </a:br>
                    <a:fld id="{5BDA37F5-74DD-4BBB-AA6C-93C4DEE310A2}"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791-44AA-A02F-D271A8F44C13}"/>
                </c:ext>
              </c:extLst>
            </c:dLbl>
            <c:spPr>
              <a:noFill/>
              <a:ln>
                <a:noFill/>
              </a:ln>
              <a:effectLst>
                <a:softEdge rad="0"/>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AED</c:v>
                </c:pt>
                <c:pt idx="1">
                  <c:v>EUR</c:v>
                </c:pt>
                <c:pt idx="2">
                  <c:v>JPY</c:v>
                </c:pt>
                <c:pt idx="3">
                  <c:v>KRW</c:v>
                </c:pt>
                <c:pt idx="4">
                  <c:v>KWD</c:v>
                </c:pt>
                <c:pt idx="5">
                  <c:v>SDR</c:v>
                </c:pt>
                <c:pt idx="6">
                  <c:v>USD</c:v>
                </c:pt>
              </c:strCache>
            </c:strRef>
          </c:cat>
          <c:val>
            <c:numRef>
              <c:f>Sheet1!$B$2:$B$8</c:f>
              <c:numCache>
                <c:formatCode>0.0</c:formatCode>
                <c:ptCount val="7"/>
                <c:pt idx="0">
                  <c:v>5.1422280000000002</c:v>
                </c:pt>
                <c:pt idx="1">
                  <c:v>928.81242766522439</c:v>
                </c:pt>
                <c:pt idx="2">
                  <c:v>3614.1752370107597</c:v>
                </c:pt>
                <c:pt idx="3">
                  <c:v>262.57900932000001</c:v>
                </c:pt>
                <c:pt idx="4">
                  <c:v>60.734310029072709</c:v>
                </c:pt>
                <c:pt idx="5">
                  <c:v>4101.643562754607</c:v>
                </c:pt>
                <c:pt idx="6">
                  <c:v>7499.8197850651213</c:v>
                </c:pt>
              </c:numCache>
            </c:numRef>
          </c:val>
          <c:extLst>
            <c:ext xmlns:c16="http://schemas.microsoft.com/office/drawing/2014/chart" uri="{C3380CC4-5D6E-409C-BE32-E72D297353CC}">
              <c16:uniqueId val="{0000000E-8791-44AA-A02F-D271A8F44C13}"/>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12700" cap="flat" cmpd="sng" algn="ctr">
      <a:noFill/>
      <a:prstDash val="solid"/>
      <a:miter lim="800000"/>
    </a:ln>
    <a:effectLst/>
  </c:spPr>
  <c:txPr>
    <a:bodyPr/>
    <a:lstStyle/>
    <a:p>
      <a:pPr>
        <a:defRPr>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11491450492489"/>
          <c:y val="0.16368130858519822"/>
          <c:w val="0.80062816428336014"/>
          <c:h val="0.65414825319460757"/>
        </c:manualLayout>
      </c:layout>
      <c:scatterChart>
        <c:scatterStyle val="lineMarker"/>
        <c:varyColors val="0"/>
        <c:ser>
          <c:idx val="0"/>
          <c:order val="0"/>
          <c:tx>
            <c:strRef>
              <c:f>Tables!$C$192</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Tables!$C$198</c:f>
              <c:numCache>
                <c:formatCode>0.0_);[Red]\(0.0\)</c:formatCode>
                <c:ptCount val="1"/>
                <c:pt idx="0">
                  <c:v>1.2925131981567923</c:v>
                </c:pt>
              </c:numCache>
            </c:numRef>
          </c:xVal>
          <c:yVal>
            <c:numRef>
              <c:f>Tables!$C$193</c:f>
              <c:numCache>
                <c:formatCode>0.0_);[Red]\(0.0\)</c:formatCode>
                <c:ptCount val="1"/>
                <c:pt idx="0">
                  <c:v>2.438445731075864</c:v>
                </c:pt>
              </c:numCache>
            </c:numRef>
          </c:yVal>
          <c:smooth val="0"/>
          <c:extLst>
            <c:ext xmlns:c16="http://schemas.microsoft.com/office/drawing/2014/chart" uri="{C3380CC4-5D6E-409C-BE32-E72D297353CC}">
              <c16:uniqueId val="{00000000-3FCD-4CEC-93E7-ACD433A84754}"/>
            </c:ext>
          </c:extLst>
        </c:ser>
        <c:ser>
          <c:idx val="1"/>
          <c:order val="1"/>
          <c:tx>
            <c:strRef>
              <c:f>Tables!$D$192</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Tables!$D$198</c:f>
              <c:numCache>
                <c:formatCode>0.0_);[Red]\(0.0\)</c:formatCode>
                <c:ptCount val="1"/>
                <c:pt idx="0">
                  <c:v>1.3790332725251826</c:v>
                </c:pt>
              </c:numCache>
            </c:numRef>
          </c:xVal>
          <c:yVal>
            <c:numRef>
              <c:f>Tables!$D$193</c:f>
              <c:numCache>
                <c:formatCode>0.0_);[Red]\(0.0\)</c:formatCode>
                <c:ptCount val="1"/>
                <c:pt idx="0">
                  <c:v>2.5208431538011906</c:v>
                </c:pt>
              </c:numCache>
            </c:numRef>
          </c:yVal>
          <c:smooth val="0"/>
          <c:extLst>
            <c:ext xmlns:c16="http://schemas.microsoft.com/office/drawing/2014/chart" uri="{C3380CC4-5D6E-409C-BE32-E72D297353CC}">
              <c16:uniqueId val="{00000001-3FCD-4CEC-93E7-ACD433A84754}"/>
            </c:ext>
          </c:extLst>
        </c:ser>
        <c:ser>
          <c:idx val="3"/>
          <c:order val="2"/>
          <c:tx>
            <c:strRef>
              <c:f>Tables!$E$192</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Tables!$E$198</c:f>
              <c:numCache>
                <c:formatCode>0.0_);[Red]\(0.0\)</c:formatCode>
                <c:ptCount val="1"/>
                <c:pt idx="0">
                  <c:v>1.5526917094056905</c:v>
                </c:pt>
              </c:numCache>
            </c:numRef>
          </c:xVal>
          <c:yVal>
            <c:numRef>
              <c:f>Tables!$E$193</c:f>
              <c:numCache>
                <c:formatCode>0.0_);[Red]\(0.0\)</c:formatCode>
                <c:ptCount val="1"/>
                <c:pt idx="0">
                  <c:v>2.7727610483772485</c:v>
                </c:pt>
              </c:numCache>
            </c:numRef>
          </c:yVal>
          <c:smooth val="0"/>
          <c:extLst>
            <c:ext xmlns:c16="http://schemas.microsoft.com/office/drawing/2014/chart" uri="{C3380CC4-5D6E-409C-BE32-E72D297353CC}">
              <c16:uniqueId val="{00000002-3FCD-4CEC-93E7-ACD433A84754}"/>
            </c:ext>
          </c:extLst>
        </c:ser>
        <c:ser>
          <c:idx val="2"/>
          <c:order val="3"/>
          <c:tx>
            <c:strRef>
              <c:f>Tables!$F$192</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Tables!$F$198</c:f>
              <c:numCache>
                <c:formatCode>0.0_);[Red]\(0.0\)</c:formatCode>
                <c:ptCount val="1"/>
                <c:pt idx="0">
                  <c:v>1.9490417612057347</c:v>
                </c:pt>
              </c:numCache>
            </c:numRef>
          </c:xVal>
          <c:yVal>
            <c:numRef>
              <c:f>Tables!$F$193</c:f>
              <c:numCache>
                <c:formatCode>0.0_);[Red]\(0.0\)</c:formatCode>
                <c:ptCount val="1"/>
                <c:pt idx="0">
                  <c:v>2.9064093369028918</c:v>
                </c:pt>
              </c:numCache>
            </c:numRef>
          </c:yVal>
          <c:smooth val="0"/>
          <c:extLst>
            <c:ext xmlns:c16="http://schemas.microsoft.com/office/drawing/2014/chart" uri="{C3380CC4-5D6E-409C-BE32-E72D297353CC}">
              <c16:uniqueId val="{00000003-3FCD-4CEC-93E7-ACD433A84754}"/>
            </c:ext>
          </c:extLst>
        </c:ser>
        <c:dLbls>
          <c:showLegendKey val="0"/>
          <c:showVal val="0"/>
          <c:showCatName val="0"/>
          <c:showSerName val="0"/>
          <c:showPercent val="0"/>
          <c:showBubbleSize val="0"/>
        </c:dLbls>
        <c:axId val="366827920"/>
        <c:axId val="366828312"/>
      </c:scatterChart>
      <c:valAx>
        <c:axId val="366827920"/>
        <c:scaling>
          <c:orientation val="minMax"/>
          <c:min val="1.2"/>
        </c:scaling>
        <c:delete val="0"/>
        <c:axPos val="b"/>
        <c:title>
          <c:tx>
            <c:rich>
              <a:bodyPr/>
              <a:lstStyle/>
              <a:p>
                <a:pPr>
                  <a:defRPr sz="1000" b="1" i="0" u="none" strike="noStrike" baseline="0">
                    <a:solidFill>
                      <a:srgbClr val="000000"/>
                    </a:solidFill>
                    <a:latin typeface="Arial Narrow" pitchFamily="34" charset="0"/>
                    <a:ea typeface="Calibri"/>
                    <a:cs typeface="Calibri"/>
                  </a:defRPr>
                </a:pPr>
                <a:r>
                  <a:rPr lang="mn-MN" b="0">
                    <a:latin typeface="Arial Narrow" pitchFamily="34" charset="0"/>
                  </a:rPr>
                  <a:t>Эрсдэл</a:t>
                </a:r>
                <a:r>
                  <a:rPr lang="en-US" b="0">
                    <a:latin typeface="Arial Narrow" pitchFamily="34" charset="0"/>
                  </a:rPr>
                  <a:t> </a:t>
                </a:r>
              </a:p>
            </c:rich>
          </c:tx>
          <c:layout>
            <c:manualLayout>
              <c:xMode val="edge"/>
              <c:yMode val="edge"/>
              <c:x val="0.48434458278527748"/>
              <c:y val="0.90543782027246456"/>
            </c:manualLayout>
          </c:layout>
          <c:overlay val="0"/>
        </c:title>
        <c:numFmt formatCode="#,##0.0" sourceLinked="0"/>
        <c:majorTickMark val="in"/>
        <c:minorTickMark val="none"/>
        <c:tickLblPos val="nextTo"/>
        <c:txPr>
          <a:bodyPr rot="0" vert="horz"/>
          <a:lstStyle/>
          <a:p>
            <a:pPr>
              <a:defRPr/>
            </a:pPr>
            <a:endParaRPr lang="en-US"/>
          </a:p>
        </c:txPr>
        <c:crossAx val="366828312"/>
        <c:crosses val="autoZero"/>
        <c:crossBetween val="midCat"/>
      </c:valAx>
      <c:valAx>
        <c:axId val="366828312"/>
        <c:scaling>
          <c:orientation val="minMax"/>
        </c:scaling>
        <c:delete val="0"/>
        <c:axPos val="l"/>
        <c:numFmt formatCode="#,##0.0" sourceLinked="0"/>
        <c:majorTickMark val="in"/>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Segoe UI"/>
                <a:ea typeface="Segoe UI"/>
                <a:cs typeface="Segoe UI"/>
              </a:defRPr>
            </a:pPr>
            <a:endParaRPr lang="en-US"/>
          </a:p>
        </c:txPr>
        <c:crossAx val="366827920"/>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63168196602084"/>
          <c:y val="0.17469025462726281"/>
          <c:w val="0.75911161665297477"/>
          <c:h val="0.64313978934451455"/>
        </c:manualLayout>
      </c:layout>
      <c:scatterChart>
        <c:scatterStyle val="lineMarker"/>
        <c:varyColors val="0"/>
        <c:ser>
          <c:idx val="0"/>
          <c:order val="0"/>
          <c:tx>
            <c:strRef>
              <c:f>Tables!$C$181</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Tables!$C$187</c:f>
              <c:numCache>
                <c:formatCode>0.0_);[Red]\(0.0\)</c:formatCode>
                <c:ptCount val="1"/>
                <c:pt idx="0">
                  <c:v>1.5305219326786528</c:v>
                </c:pt>
              </c:numCache>
            </c:numRef>
          </c:xVal>
          <c:yVal>
            <c:numRef>
              <c:f>Tables!$C$182</c:f>
              <c:numCache>
                <c:formatCode>0.0_);[Red]\(0.0\)</c:formatCode>
                <c:ptCount val="1"/>
                <c:pt idx="0">
                  <c:v>61.741136377442274</c:v>
                </c:pt>
              </c:numCache>
            </c:numRef>
          </c:yVal>
          <c:smooth val="0"/>
          <c:extLst>
            <c:ext xmlns:c16="http://schemas.microsoft.com/office/drawing/2014/chart" uri="{C3380CC4-5D6E-409C-BE32-E72D297353CC}">
              <c16:uniqueId val="{00000000-BDFC-4F7C-BCC4-16965B59CEB3}"/>
            </c:ext>
          </c:extLst>
        </c:ser>
        <c:ser>
          <c:idx val="1"/>
          <c:order val="1"/>
          <c:tx>
            <c:strRef>
              <c:f>Tables!$D$181</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Tables!$D$187</c:f>
              <c:numCache>
                <c:formatCode>0.0_);[Red]\(0.0\)</c:formatCode>
                <c:ptCount val="1"/>
                <c:pt idx="0">
                  <c:v>1.5729599901289646</c:v>
                </c:pt>
              </c:numCache>
            </c:numRef>
          </c:xVal>
          <c:yVal>
            <c:numRef>
              <c:f>Tables!$D$182</c:f>
              <c:numCache>
                <c:formatCode>0.0_);[Red]\(0.0\)</c:formatCode>
                <c:ptCount val="1"/>
                <c:pt idx="0">
                  <c:v>69.008056382613375</c:v>
                </c:pt>
              </c:numCache>
            </c:numRef>
          </c:yVal>
          <c:smooth val="0"/>
          <c:extLst>
            <c:ext xmlns:c16="http://schemas.microsoft.com/office/drawing/2014/chart" uri="{C3380CC4-5D6E-409C-BE32-E72D297353CC}">
              <c16:uniqueId val="{00000001-BDFC-4F7C-BCC4-16965B59CEB3}"/>
            </c:ext>
          </c:extLst>
        </c:ser>
        <c:ser>
          <c:idx val="3"/>
          <c:order val="2"/>
          <c:tx>
            <c:strRef>
              <c:f>Tables!$E$181</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Tables!$E$187</c:f>
              <c:numCache>
                <c:formatCode>0.0_);[Red]\(0.0\)</c:formatCode>
                <c:ptCount val="1"/>
                <c:pt idx="0">
                  <c:v>1.466864846503185</c:v>
                </c:pt>
              </c:numCache>
            </c:numRef>
          </c:xVal>
          <c:yVal>
            <c:numRef>
              <c:f>Tables!$E$182</c:f>
              <c:numCache>
                <c:formatCode>0.0_);[Red]\(0.0\)</c:formatCode>
                <c:ptCount val="1"/>
                <c:pt idx="0">
                  <c:v>65.615311256135442</c:v>
                </c:pt>
              </c:numCache>
            </c:numRef>
          </c:yVal>
          <c:smooth val="0"/>
          <c:extLst>
            <c:ext xmlns:c16="http://schemas.microsoft.com/office/drawing/2014/chart" uri="{C3380CC4-5D6E-409C-BE32-E72D297353CC}">
              <c16:uniqueId val="{00000002-BDFC-4F7C-BCC4-16965B59CEB3}"/>
            </c:ext>
          </c:extLst>
        </c:ser>
        <c:ser>
          <c:idx val="2"/>
          <c:order val="3"/>
          <c:tx>
            <c:strRef>
              <c:f>Tables!$F$181</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Tables!$F$187</c:f>
              <c:numCache>
                <c:formatCode>0.0_);[Red]\(0.0\)</c:formatCode>
                <c:ptCount val="1"/>
                <c:pt idx="0">
                  <c:v>1.4456031233833073</c:v>
                </c:pt>
              </c:numCache>
            </c:numRef>
          </c:xVal>
          <c:yVal>
            <c:numRef>
              <c:f>Tables!$F$182</c:f>
              <c:numCache>
                <c:formatCode>0.0_);[Red]\(0.0\)</c:formatCode>
                <c:ptCount val="1"/>
                <c:pt idx="0">
                  <c:v>61.968157059636333</c:v>
                </c:pt>
              </c:numCache>
            </c:numRef>
          </c:yVal>
          <c:smooth val="0"/>
          <c:extLst>
            <c:ext xmlns:c16="http://schemas.microsoft.com/office/drawing/2014/chart" uri="{C3380CC4-5D6E-409C-BE32-E72D297353CC}">
              <c16:uniqueId val="{00000003-BDFC-4F7C-BCC4-16965B59CEB3}"/>
            </c:ext>
          </c:extLst>
        </c:ser>
        <c:dLbls>
          <c:showLegendKey val="0"/>
          <c:showVal val="0"/>
          <c:showCatName val="0"/>
          <c:showSerName val="0"/>
          <c:showPercent val="0"/>
          <c:showBubbleSize val="0"/>
        </c:dLbls>
        <c:axId val="434830960"/>
        <c:axId val="251394192"/>
      </c:scatterChart>
      <c:valAx>
        <c:axId val="434830960"/>
        <c:scaling>
          <c:orientation val="minMax"/>
        </c:scaling>
        <c:delete val="0"/>
        <c:axPos val="b"/>
        <c:title>
          <c:tx>
            <c:rich>
              <a:bodyPr/>
              <a:lstStyle/>
              <a:p>
                <a:pPr>
                  <a:defRPr sz="1000" b="1"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r>
                  <a:rPr lang="mn-MN" b="0">
                    <a:latin typeface="Segoe UI" panose="020B0502040204020203" pitchFamily="34" charset="0"/>
                    <a:ea typeface="Segoe UI" panose="020B0502040204020203" pitchFamily="34" charset="0"/>
                    <a:cs typeface="Segoe UI" panose="020B0502040204020203" pitchFamily="34" charset="0"/>
                  </a:rPr>
                  <a:t>Эрсдэл</a:t>
                </a:r>
                <a:r>
                  <a:rPr lang="en-US" b="0">
                    <a:latin typeface="Segoe UI" panose="020B0502040204020203" pitchFamily="34" charset="0"/>
                    <a:ea typeface="Segoe UI" panose="020B0502040204020203" pitchFamily="34" charset="0"/>
                    <a:cs typeface="Segoe UI" panose="020B0502040204020203" pitchFamily="34" charset="0"/>
                  </a:rPr>
                  <a:t> </a:t>
                </a:r>
              </a:p>
            </c:rich>
          </c:tx>
          <c:layout>
            <c:manualLayout>
              <c:xMode val="edge"/>
              <c:yMode val="edge"/>
              <c:x val="0.48434458278527687"/>
              <c:y val="0.90543782027246456"/>
            </c:manualLayout>
          </c:layout>
          <c:overlay val="0"/>
        </c:title>
        <c:numFmt formatCode="#,##0.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a:ea typeface="Segoe UI"/>
                <a:cs typeface="Segoe UI"/>
              </a:defRPr>
            </a:pPr>
            <a:endParaRPr lang="en-US"/>
          </a:p>
        </c:txPr>
        <c:crossAx val="251394192"/>
        <c:crosses val="autoZero"/>
        <c:crossBetween val="midCat"/>
      </c:valAx>
      <c:valAx>
        <c:axId val="251394192"/>
        <c:scaling>
          <c:orientation val="minMax"/>
        </c:scaling>
        <c:delete val="0"/>
        <c:axPos val="l"/>
        <c:numFmt formatCode="#,##0.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endParaRPr lang="en-US"/>
          </a:p>
        </c:txPr>
        <c:crossAx val="434830960"/>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CENTURY</a:t>
            </a:r>
          </a:p>
        </c:rich>
      </c:tx>
      <c:layout>
        <c:manualLayout>
          <c:xMode val="edge"/>
          <c:yMode val="edge"/>
          <c:x val="0.3209194214876033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Sheet3!$E$29</c:f>
              <c:strCache>
                <c:ptCount val="1"/>
                <c:pt idx="0">
                  <c:v>Чингис 2022</c:v>
                </c:pt>
              </c:strCache>
            </c:strRef>
          </c:tx>
          <c:spPr>
            <a:solidFill>
              <a:schemeClr val="bg1">
                <a:lumMod val="65000"/>
              </a:schemeClr>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56D1-435B-89BE-A222182C4E0C}"/>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Sheet3!$F$29</c:f>
              <c:numCache>
                <c:formatCode>0.000%</c:formatCode>
                <c:ptCount val="1"/>
                <c:pt idx="0">
                  <c:v>5.1249999999999997E-2</c:v>
                </c:pt>
              </c:numCache>
            </c:numRef>
          </c:val>
          <c:extLst>
            <c:ext xmlns:c16="http://schemas.microsoft.com/office/drawing/2014/chart" uri="{C3380CC4-5D6E-409C-BE32-E72D297353CC}">
              <c16:uniqueId val="{00000002-56D1-435B-89BE-A222182C4E0C}"/>
            </c:ext>
          </c:extLst>
        </c:ser>
        <c:ser>
          <c:idx val="1"/>
          <c:order val="1"/>
          <c:tx>
            <c:strRef>
              <c:f>Sheet3!$E$30</c:f>
              <c:strCache>
                <c:ptCount val="1"/>
                <c:pt idx="0">
                  <c:v>Гэрэгэ 2023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Sheet3!$F$30</c:f>
              <c:numCache>
                <c:formatCode>0.000%</c:formatCode>
                <c:ptCount val="1"/>
                <c:pt idx="0">
                  <c:v>5.6250000000000001E-2</c:v>
                </c:pt>
              </c:numCache>
            </c:numRef>
          </c:val>
          <c:extLst>
            <c:ext xmlns:c16="http://schemas.microsoft.com/office/drawing/2014/chart" uri="{C3380CC4-5D6E-409C-BE32-E72D297353CC}">
              <c16:uniqueId val="{00000003-56D1-435B-89BE-A222182C4E0C}"/>
            </c:ext>
          </c:extLst>
        </c:ser>
        <c:ser>
          <c:idx val="2"/>
          <c:order val="2"/>
          <c:tx>
            <c:strRef>
              <c:f>Sheet3!$E$31</c:f>
              <c:strCache>
                <c:ptCount val="1"/>
                <c:pt idx="0">
                  <c:v>Сенчири-2031</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Sheet3!$F$31</c:f>
              <c:numCache>
                <c:formatCode>0.000%</c:formatCode>
                <c:ptCount val="1"/>
                <c:pt idx="0">
                  <c:v>4.4499999999999998E-2</c:v>
                </c:pt>
              </c:numCache>
            </c:numRef>
          </c:val>
          <c:extLst>
            <c:ext xmlns:c16="http://schemas.microsoft.com/office/drawing/2014/chart" uri="{C3380CC4-5D6E-409C-BE32-E72D297353CC}">
              <c16:uniqueId val="{00000004-56D1-435B-89BE-A222182C4E0C}"/>
            </c:ext>
          </c:extLst>
        </c:ser>
        <c:ser>
          <c:idx val="3"/>
          <c:order val="3"/>
          <c:tx>
            <c:strRef>
              <c:f>Sheet3!$E$32</c:f>
              <c:strCache>
                <c:ptCount val="1"/>
                <c:pt idx="0">
                  <c:v>Сенчири-2027</c:v>
                </c:pt>
              </c:strCache>
            </c:strRef>
          </c:tx>
          <c:spPr>
            <a:solidFill>
              <a:schemeClr val="accent2"/>
            </a:solidFill>
            <a:ln>
              <a:noFill/>
            </a:ln>
            <a:effectLst/>
          </c:spPr>
          <c:invertIfNegative val="0"/>
          <c:dPt>
            <c:idx val="0"/>
            <c:invertIfNegative val="0"/>
            <c:bubble3D val="0"/>
            <c:spPr>
              <a:solidFill>
                <a:schemeClr val="bg1">
                  <a:lumMod val="65000"/>
                </a:schemeClr>
              </a:solidFill>
              <a:ln>
                <a:noFill/>
              </a:ln>
              <a:effectLst/>
            </c:spPr>
            <c:extLst>
              <c:ext xmlns:c16="http://schemas.microsoft.com/office/drawing/2014/chart" uri="{C3380CC4-5D6E-409C-BE32-E72D297353CC}">
                <c16:uniqueId val="{00000006-56D1-435B-89BE-A222182C4E0C}"/>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Sheet3!$F$32</c:f>
              <c:numCache>
                <c:formatCode>0.000%</c:formatCode>
                <c:ptCount val="1"/>
                <c:pt idx="0">
                  <c:v>3.5000000000000003E-2</c:v>
                </c:pt>
              </c:numCache>
            </c:numRef>
          </c:val>
          <c:extLst>
            <c:ext xmlns:c16="http://schemas.microsoft.com/office/drawing/2014/chart" uri="{C3380CC4-5D6E-409C-BE32-E72D297353CC}">
              <c16:uniqueId val="{00000007-56D1-435B-89BE-A222182C4E0C}"/>
            </c:ext>
          </c:extLst>
        </c:ser>
        <c:dLbls>
          <c:dLblPos val="outEnd"/>
          <c:showLegendKey val="0"/>
          <c:showVal val="1"/>
          <c:showCatName val="0"/>
          <c:showSerName val="0"/>
          <c:showPercent val="0"/>
          <c:showBubbleSize val="0"/>
        </c:dLbls>
        <c:gapWidth val="219"/>
        <c:overlap val="-27"/>
        <c:axId val="1547594016"/>
        <c:axId val="1547583200"/>
      </c:barChart>
      <c:catAx>
        <c:axId val="154759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7583200"/>
        <c:crosses val="autoZero"/>
        <c:auto val="0"/>
        <c:lblAlgn val="ctr"/>
        <c:lblOffset val="100"/>
        <c:noMultiLvlLbl val="0"/>
      </c:catAx>
      <c:valAx>
        <c:axId val="15475832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759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NOMAD</a:t>
            </a:r>
          </a:p>
        </c:rich>
      </c:tx>
      <c:layout>
        <c:manualLayout>
          <c:xMode val="edge"/>
          <c:yMode val="edge"/>
          <c:x val="0.323212931199013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Sheet3!$C$50</c:f>
              <c:strCache>
                <c:ptCount val="1"/>
                <c:pt idx="0">
                  <c:v>Мазаалай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Sheet3!$D$50</c:f>
              <c:numCache>
                <c:formatCode>0.000%</c:formatCode>
                <c:ptCount val="1"/>
                <c:pt idx="0">
                  <c:v>0.10875</c:v>
                </c:pt>
              </c:numCache>
            </c:numRef>
          </c:val>
          <c:extLst>
            <c:ext xmlns:c16="http://schemas.microsoft.com/office/drawing/2014/chart" uri="{C3380CC4-5D6E-409C-BE32-E72D297353CC}">
              <c16:uniqueId val="{00000000-45FC-4FE1-921F-368E84F4E37C}"/>
            </c:ext>
          </c:extLst>
        </c:ser>
        <c:ser>
          <c:idx val="1"/>
          <c:order val="1"/>
          <c:tx>
            <c:strRef>
              <c:f>Sheet3!$C$51</c:f>
              <c:strCache>
                <c:ptCount val="1"/>
                <c:pt idx="0">
                  <c:v>Чингис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Sheet3!$D$51</c:f>
              <c:numCache>
                <c:formatCode>0.000%</c:formatCode>
                <c:ptCount val="1"/>
                <c:pt idx="0">
                  <c:v>5.1249999999999997E-2</c:v>
                </c:pt>
              </c:numCache>
            </c:numRef>
          </c:val>
          <c:extLst>
            <c:ext xmlns:c16="http://schemas.microsoft.com/office/drawing/2014/chart" uri="{C3380CC4-5D6E-409C-BE32-E72D297353CC}">
              <c16:uniqueId val="{00000001-45FC-4FE1-921F-368E84F4E37C}"/>
            </c:ext>
          </c:extLst>
        </c:ser>
        <c:ser>
          <c:idx val="2"/>
          <c:order val="2"/>
          <c:tx>
            <c:strRef>
              <c:f>Sheet3!$C$52</c:f>
              <c:strCache>
                <c:ptCount val="1"/>
                <c:pt idx="0">
                  <c:v>Номад</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Sheet3!$D$52</c:f>
              <c:numCache>
                <c:formatCode>0.000%</c:formatCode>
                <c:ptCount val="1"/>
                <c:pt idx="0">
                  <c:v>5.1249999999999997E-2</c:v>
                </c:pt>
              </c:numCache>
            </c:numRef>
          </c:val>
          <c:extLst>
            <c:ext xmlns:c16="http://schemas.microsoft.com/office/drawing/2014/chart" uri="{C3380CC4-5D6E-409C-BE32-E72D297353CC}">
              <c16:uniqueId val="{00000002-45FC-4FE1-921F-368E84F4E37C}"/>
            </c:ext>
          </c:extLst>
        </c:ser>
        <c:dLbls>
          <c:dLblPos val="outEnd"/>
          <c:showLegendKey val="0"/>
          <c:showVal val="1"/>
          <c:showCatName val="0"/>
          <c:showSerName val="0"/>
          <c:showPercent val="0"/>
          <c:showBubbleSize val="0"/>
        </c:dLbls>
        <c:gapWidth val="219"/>
        <c:overlap val="-27"/>
        <c:axId val="1409331200"/>
        <c:axId val="1409341600"/>
      </c:barChart>
      <c:catAx>
        <c:axId val="140933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341600"/>
        <c:crosses val="autoZero"/>
        <c:auto val="1"/>
        <c:lblAlgn val="ctr"/>
        <c:lblOffset val="100"/>
        <c:noMultiLvlLbl val="0"/>
      </c:catAx>
      <c:valAx>
        <c:axId val="14093416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33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131694261676197E-2"/>
          <c:y val="2.3864739510300937E-3"/>
          <c:w val="0.95244271508862943"/>
          <c:h val="0.8026910077601922"/>
        </c:manualLayout>
      </c:layout>
      <c:barChart>
        <c:barDir val="col"/>
        <c:grouping val="stacked"/>
        <c:varyColors val="0"/>
        <c:ser>
          <c:idx val="0"/>
          <c:order val="0"/>
          <c:tx>
            <c:strRef>
              <c:f>Sheet1!$B$1</c:f>
              <c:strCache>
                <c:ptCount val="1"/>
                <c:pt idx="0">
                  <c:v>Улсын төсөв</c:v>
                </c:pt>
              </c:strCache>
            </c:strRef>
          </c:tx>
          <c:spPr>
            <a:solidFill>
              <a:schemeClr val="accent1"/>
            </a:solidFill>
            <a:ln>
              <a:noFill/>
            </a:ln>
            <a:effectLst/>
          </c:spPr>
          <c:invertIfNegative val="0"/>
          <c:dLbls>
            <c:dLbl>
              <c:idx val="3"/>
              <c:layout>
                <c:manualLayout>
                  <c:x val="2.3148148148148147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3C-449F-A4F5-89E810356D21}"/>
                </c:ext>
              </c:extLst>
            </c:dLbl>
            <c:dLbl>
              <c:idx val="4"/>
              <c:layout>
                <c:manualLayout>
                  <c:x val="0"/>
                  <c:y val="-0.115911992482421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3C-449F-A4F5-89E810356D21}"/>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750.9</c:v>
                </c:pt>
                <c:pt idx="1">
                  <c:v>803.5</c:v>
                </c:pt>
                <c:pt idx="2">
                  <c:v>993.5</c:v>
                </c:pt>
                <c:pt idx="3">
                  <c:v>849.5</c:v>
                </c:pt>
                <c:pt idx="4">
                  <c:v>673.5</c:v>
                </c:pt>
              </c:numCache>
            </c:numRef>
          </c:val>
          <c:extLst>
            <c:ext xmlns:c16="http://schemas.microsoft.com/office/drawing/2014/chart" uri="{C3380CC4-5D6E-409C-BE32-E72D297353CC}">
              <c16:uniqueId val="{00000002-1C3C-449F-A4F5-89E810356D21}"/>
            </c:ext>
          </c:extLst>
        </c:ser>
        <c:ser>
          <c:idx val="1"/>
          <c:order val="1"/>
          <c:tx>
            <c:strRef>
              <c:f>Sheet1!$C$1</c:f>
              <c:strCache>
                <c:ptCount val="1"/>
                <c:pt idx="0">
                  <c:v>Орон Нутаг</c:v>
                </c:pt>
              </c:strCache>
            </c:strRef>
          </c:tx>
          <c:spPr>
            <a:solidFill>
              <a:srgbClr val="FF0000"/>
            </a:solidFill>
            <a:ln>
              <a:noFill/>
            </a:ln>
            <a:effectLst/>
          </c:spPr>
          <c:invertIfNegative val="0"/>
          <c:dLbls>
            <c:dLbl>
              <c:idx val="1"/>
              <c:layout>
                <c:manualLayout>
                  <c:x val="-1.1574061589904041E-2"/>
                  <c:y val="-2.68201203224509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3C-449F-A4F5-89E810356D21}"/>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17.3</c:v>
                </c:pt>
                <c:pt idx="1">
                  <c:v>2.5</c:v>
                </c:pt>
                <c:pt idx="2">
                  <c:v>2.2000000000000002</c:v>
                </c:pt>
                <c:pt idx="3">
                  <c:v>0.7</c:v>
                </c:pt>
                <c:pt idx="4">
                  <c:v>0.4</c:v>
                </c:pt>
              </c:numCache>
            </c:numRef>
          </c:val>
          <c:extLst>
            <c:ext xmlns:c16="http://schemas.microsoft.com/office/drawing/2014/chart" uri="{C3380CC4-5D6E-409C-BE32-E72D297353CC}">
              <c16:uniqueId val="{00000004-1C3C-449F-A4F5-89E810356D21}"/>
            </c:ext>
          </c:extLst>
        </c:ser>
        <c:dLbls>
          <c:showLegendKey val="0"/>
          <c:showVal val="1"/>
          <c:showCatName val="0"/>
          <c:showSerName val="0"/>
          <c:showPercent val="0"/>
          <c:showBubbleSize val="0"/>
        </c:dLbls>
        <c:gapWidth val="138"/>
        <c:overlap val="100"/>
        <c:axId val="1815653535"/>
        <c:axId val="1815638559"/>
      </c:barChart>
      <c:lineChart>
        <c:grouping val="standard"/>
        <c:varyColors val="0"/>
        <c:ser>
          <c:idx val="2"/>
          <c:order val="2"/>
          <c:tx>
            <c:strRef>
              <c:f>Sheet1!$D$1</c:f>
              <c:strCache>
                <c:ptCount val="1"/>
                <c:pt idx="0">
                  <c:v>ЗГ-ын өрд бүртгэлтэй концесс</c:v>
                </c:pt>
              </c:strCache>
            </c:strRef>
          </c:tx>
          <c:spPr>
            <a:ln w="28575" cap="rnd">
              <a:solidFill>
                <a:schemeClr val="accent3"/>
              </a:solidFill>
              <a:round/>
            </a:ln>
            <a:effectLst/>
          </c:spPr>
          <c:marker>
            <c:symbol val="none"/>
          </c:marker>
          <c:dLbls>
            <c:spPr>
              <a:solidFill>
                <a:schemeClr val="accent4"/>
              </a:solid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Sheet1!$D$2:$D$6</c:f>
              <c:numCache>
                <c:formatCode>General</c:formatCode>
                <c:ptCount val="5"/>
                <c:pt idx="0">
                  <c:v>36</c:v>
                </c:pt>
                <c:pt idx="1">
                  <c:v>31</c:v>
                </c:pt>
                <c:pt idx="2">
                  <c:v>23</c:v>
                </c:pt>
                <c:pt idx="3">
                  <c:v>16</c:v>
                </c:pt>
                <c:pt idx="4">
                  <c:v>13</c:v>
                </c:pt>
              </c:numCache>
            </c:numRef>
          </c:val>
          <c:smooth val="0"/>
          <c:extLst>
            <c:ext xmlns:c16="http://schemas.microsoft.com/office/drawing/2014/chart" uri="{C3380CC4-5D6E-409C-BE32-E72D297353CC}">
              <c16:uniqueId val="{00000005-1C3C-449F-A4F5-89E810356D21}"/>
            </c:ext>
          </c:extLst>
        </c:ser>
        <c:dLbls>
          <c:showLegendKey val="0"/>
          <c:showVal val="1"/>
          <c:showCatName val="0"/>
          <c:showSerName val="0"/>
          <c:showPercent val="0"/>
          <c:showBubbleSize val="0"/>
        </c:dLbls>
        <c:marker val="1"/>
        <c:smooth val="0"/>
        <c:axId val="1815648127"/>
        <c:axId val="1815642303"/>
      </c:lineChart>
      <c:catAx>
        <c:axId val="181565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15638559"/>
        <c:crosses val="autoZero"/>
        <c:auto val="1"/>
        <c:lblAlgn val="ctr"/>
        <c:lblOffset val="100"/>
        <c:noMultiLvlLbl val="0"/>
      </c:catAx>
      <c:valAx>
        <c:axId val="18156385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1815653535"/>
        <c:crosses val="autoZero"/>
        <c:crossBetween val="between"/>
      </c:valAx>
      <c:valAx>
        <c:axId val="181564230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1815648127"/>
        <c:crosses val="max"/>
        <c:crossBetween val="between"/>
      </c:valAx>
      <c:catAx>
        <c:axId val="1815648127"/>
        <c:scaling>
          <c:orientation val="minMax"/>
        </c:scaling>
        <c:delete val="1"/>
        <c:axPos val="b"/>
        <c:numFmt formatCode="General" sourceLinked="1"/>
        <c:majorTickMark val="out"/>
        <c:minorTickMark val="none"/>
        <c:tickLblPos val="nextTo"/>
        <c:crossAx val="1815642303"/>
        <c:crosses val="autoZero"/>
        <c:auto val="1"/>
        <c:lblAlgn val="ctr"/>
        <c:lblOffset val="100"/>
        <c:noMultiLvlLbl val="0"/>
      </c:catAx>
      <c:spPr>
        <a:noFill/>
        <a:ln>
          <a:noFill/>
        </a:ln>
        <a:effectLst/>
      </c:spPr>
    </c:plotArea>
    <c:legend>
      <c:legendPos val="b"/>
      <c:layout>
        <c:manualLayout>
          <c:xMode val="edge"/>
          <c:yMode val="edge"/>
          <c:x val="1.9263698630136987E-2"/>
          <c:y val="0.9180900118649552"/>
          <c:w val="0.96497726243389426"/>
          <c:h val="7.499294546944518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6701118101866"/>
          <c:y val="9.821064898008082E-2"/>
          <c:w val="0.33386161658022417"/>
          <c:h val="0.86859433027303135"/>
        </c:manualLayout>
      </c:layout>
      <c:pieChart>
        <c:varyColors val="1"/>
        <c:ser>
          <c:idx val="0"/>
          <c:order val="0"/>
          <c:spPr>
            <a:ln>
              <a:noFill/>
            </a:ln>
          </c:spPr>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C41-4BDB-8C85-337C858D506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C41-4BDB-8C85-337C858D506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C41-4BDB-8C85-337C858D506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C41-4BDB-8C85-337C858D506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3C41-4BDB-8C85-337C858D5067}"/>
              </c:ext>
            </c:extLst>
          </c:dPt>
          <c:dLbls>
            <c:dLbl>
              <c:idx val="3"/>
              <c:layout>
                <c:manualLayout>
                  <c:x val="4.7038474257703432E-2"/>
                  <c:y val="-0.1085782119558706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41-4BDB-8C85-337C858D5067}"/>
                </c:ext>
              </c:extLst>
            </c:dLbl>
            <c:spPr>
              <a:noFill/>
              <a:ln>
                <a:noFill/>
              </a:ln>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Sheet1!$B$3:$B$7</c:f>
              <c:strCache>
                <c:ptCount val="5"/>
                <c:pt idx="0">
                  <c:v>Засгийн газрын гадаад өр</c:v>
                </c:pt>
                <c:pt idx="1">
                  <c:v>Төв банкны гадаад өр </c:v>
                </c:pt>
                <c:pt idx="2">
                  <c:v>Бусад салбаруудын өр </c:v>
                </c:pt>
                <c:pt idx="3">
                  <c:v>Төв банкнаас бусад хадгаламжийн байгууллагын өр</c:v>
                </c:pt>
                <c:pt idx="4">
                  <c:v>Компани хоорондын зээллэг </c:v>
                </c:pt>
              </c:strCache>
            </c:strRef>
          </c:cat>
          <c:val>
            <c:numRef>
              <c:f>Sheet1!$C$3:$C$7</c:f>
              <c:numCache>
                <c:formatCode>General</c:formatCode>
                <c:ptCount val="5"/>
                <c:pt idx="0">
                  <c:v>8.5</c:v>
                </c:pt>
                <c:pt idx="1">
                  <c:v>2.6</c:v>
                </c:pt>
                <c:pt idx="2">
                  <c:v>8.1999999999999993</c:v>
                </c:pt>
                <c:pt idx="3">
                  <c:v>1.6</c:v>
                </c:pt>
                <c:pt idx="4">
                  <c:v>12.3</c:v>
                </c:pt>
              </c:numCache>
            </c:numRef>
          </c:val>
          <c:extLst>
            <c:ext xmlns:c16="http://schemas.microsoft.com/office/drawing/2014/chart" uri="{C3380CC4-5D6E-409C-BE32-E72D297353CC}">
              <c16:uniqueId val="{0000000A-3C41-4BDB-8C85-337C858D5067}"/>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54524792056495341"/>
          <c:y val="0.22977053179555876"/>
          <c:w val="0.42501366754992947"/>
          <c:h val="0.7649435314361638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Үлдэгдэл</c:v>
                </c:pt>
              </c:strCache>
            </c:strRef>
          </c:tx>
          <c:spPr>
            <a:solidFill>
              <a:srgbClr val="002060"/>
            </a:solidFill>
            <a:ln>
              <a:noFill/>
            </a:ln>
            <a:effectLst/>
          </c:spPr>
          <c:invertIfNegative val="0"/>
          <c:dLbls>
            <c:dLbl>
              <c:idx val="5"/>
              <c:tx>
                <c:rich>
                  <a:bodyPr/>
                  <a:lstStyle/>
                  <a:p>
                    <a:r>
                      <a:rPr lang="en-US"/>
                      <a:t>657.3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EE-49FE-B8E8-8860FFFBC7C3}"/>
                </c:ext>
              </c:extLst>
            </c:dLbl>
            <c:numFmt formatCode="#,##0.0" sourceLinked="0"/>
            <c:spPr>
              <a:solidFill>
                <a:schemeClr val="bg1"/>
              </a:solidFill>
              <a:ln>
                <a:solidFill>
                  <a:srgbClr val="00B050"/>
                </a:solid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5488.8</c:v>
                </c:pt>
                <c:pt idx="1">
                  <c:v>3461.9</c:v>
                </c:pt>
                <c:pt idx="2">
                  <c:v>1564.7</c:v>
                </c:pt>
                <c:pt idx="3">
                  <c:v>1399.6</c:v>
                </c:pt>
                <c:pt idx="4">
                  <c:v>1136.5999999999999</c:v>
                </c:pt>
                <c:pt idx="5">
                  <c:v>643.20000000000005</c:v>
                </c:pt>
              </c:numCache>
            </c:numRef>
          </c:val>
          <c:extLst>
            <c:ext xmlns:c16="http://schemas.microsoft.com/office/drawing/2014/chart" uri="{C3380CC4-5D6E-409C-BE32-E72D297353CC}">
              <c16:uniqueId val="{00000001-2EEE-49FE-B8E8-8860FFFBC7C3}"/>
            </c:ext>
          </c:extLst>
        </c:ser>
        <c:dLbls>
          <c:showLegendKey val="0"/>
          <c:showVal val="1"/>
          <c:showCatName val="0"/>
          <c:showSerName val="0"/>
          <c:showPercent val="0"/>
          <c:showBubbleSize val="0"/>
        </c:dLbls>
        <c:gapWidth val="86"/>
        <c:axId val="1765834191"/>
        <c:axId val="1765827951"/>
      </c:barChart>
      <c:lineChart>
        <c:grouping val="standard"/>
        <c:varyColors val="0"/>
        <c:ser>
          <c:idx val="1"/>
          <c:order val="1"/>
          <c:tx>
            <c:strRef>
              <c:f>Sheet1!$C$1</c:f>
              <c:strCache>
                <c:ptCount val="1"/>
                <c:pt idx="0">
                  <c:v>Засгийн газрын өрд эзлэх хувь</c:v>
                </c:pt>
              </c:strCache>
            </c:strRef>
          </c:tx>
          <c:spPr>
            <a:ln w="28575" cap="rnd">
              <a:solidFill>
                <a:schemeClr val="accent2"/>
              </a:solidFill>
              <a:round/>
            </a:ln>
            <a:effectLst/>
          </c:spPr>
          <c:marker>
            <c:symbol val="circle"/>
            <c:size val="5"/>
            <c:spPr>
              <a:solidFill>
                <a:schemeClr val="accent1"/>
              </a:solidFill>
              <a:ln w="9525">
                <a:solidFill>
                  <a:schemeClr val="accent2"/>
                </a:solidFill>
              </a:ln>
              <a:effectLst/>
            </c:spPr>
          </c:marker>
          <c:dLbls>
            <c:dLbl>
              <c:idx val="0"/>
              <c:layout>
                <c:manualLayout>
                  <c:x val="-4.5584536307961512E-2"/>
                  <c:y val="-9.719253843269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EE-49FE-B8E8-8860FFFBC7C3}"/>
                </c:ext>
              </c:extLst>
            </c:dLbl>
            <c:dLbl>
              <c:idx val="1"/>
              <c:layout>
                <c:manualLayout>
                  <c:x val="-5.7158610382035582E-2"/>
                  <c:y val="-8.9256030496188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EE-49FE-B8E8-8860FFFBC7C3}"/>
                </c:ext>
              </c:extLst>
            </c:dLbl>
            <c:dLbl>
              <c:idx val="4"/>
              <c:layout>
                <c:manualLayout>
                  <c:x val="-4.6383238553514228E-2"/>
                  <c:y val="-6.47815898012748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EE-49FE-B8E8-8860FFFBC7C3}"/>
                </c:ext>
              </c:extLst>
            </c:dLbl>
            <c:numFmt formatCode="0.0%" sourceLinked="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0.00%</c:formatCode>
                <c:ptCount val="6"/>
                <c:pt idx="0">
                  <c:v>0.246</c:v>
                </c:pt>
                <c:pt idx="1">
                  <c:v>0.152</c:v>
                </c:pt>
                <c:pt idx="2" formatCode="0%">
                  <c:v>7.0000000000000007E-2</c:v>
                </c:pt>
                <c:pt idx="3">
                  <c:v>5.8000000000000003E-2</c:v>
                </c:pt>
                <c:pt idx="4">
                  <c:v>4.1000000000000002E-2</c:v>
                </c:pt>
                <c:pt idx="5">
                  <c:v>2.4E-2</c:v>
                </c:pt>
              </c:numCache>
            </c:numRef>
          </c:val>
          <c:smooth val="0"/>
          <c:extLst>
            <c:ext xmlns:c16="http://schemas.microsoft.com/office/drawing/2014/chart" uri="{C3380CC4-5D6E-409C-BE32-E72D297353CC}">
              <c16:uniqueId val="{00000005-2EEE-49FE-B8E8-8860FFFBC7C3}"/>
            </c:ext>
          </c:extLst>
        </c:ser>
        <c:dLbls>
          <c:showLegendKey val="0"/>
          <c:showVal val="1"/>
          <c:showCatName val="0"/>
          <c:showSerName val="0"/>
          <c:showPercent val="0"/>
          <c:showBubbleSize val="0"/>
        </c:dLbls>
        <c:marker val="1"/>
        <c:smooth val="0"/>
        <c:axId val="1611417407"/>
        <c:axId val="1611414911"/>
      </c:lineChart>
      <c:catAx>
        <c:axId val="17658341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5827951"/>
        <c:crosses val="autoZero"/>
        <c:auto val="1"/>
        <c:lblAlgn val="ctr"/>
        <c:lblOffset val="100"/>
        <c:noMultiLvlLbl val="0"/>
      </c:catAx>
      <c:valAx>
        <c:axId val="1765827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65834191"/>
        <c:crosses val="autoZero"/>
        <c:crossBetween val="between"/>
      </c:valAx>
      <c:valAx>
        <c:axId val="1611414911"/>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1417407"/>
        <c:crosses val="max"/>
        <c:crossBetween val="between"/>
      </c:valAx>
      <c:catAx>
        <c:axId val="1611417407"/>
        <c:scaling>
          <c:orientation val="minMax"/>
        </c:scaling>
        <c:delete val="1"/>
        <c:axPos val="b"/>
        <c:numFmt formatCode="General" sourceLinked="1"/>
        <c:majorTickMark val="out"/>
        <c:minorTickMark val="none"/>
        <c:tickLblPos val="nextTo"/>
        <c:crossAx val="16114149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r>
              <a:rPr lang="mn-MN"/>
              <a:t>Номад</a:t>
            </a:r>
            <a:r>
              <a:rPr lang="mn-MN" baseline="0"/>
              <a:t> төсөл</a:t>
            </a:r>
            <a:endParaRPr lang="en-US"/>
          </a:p>
        </c:rich>
      </c:tx>
      <c:layout>
        <c:manualLayout>
          <c:xMode val="edge"/>
          <c:yMode val="edge"/>
          <c:x val="0.3232129311990134"/>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Sheet3!$C$50</c:f>
              <c:strCache>
                <c:ptCount val="1"/>
                <c:pt idx="0">
                  <c:v>Мазаалай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Sheet3!$D$50</c:f>
              <c:numCache>
                <c:formatCode>0.000%</c:formatCode>
                <c:ptCount val="1"/>
                <c:pt idx="0">
                  <c:v>0.10875</c:v>
                </c:pt>
              </c:numCache>
            </c:numRef>
          </c:val>
          <c:extLst>
            <c:ext xmlns:c16="http://schemas.microsoft.com/office/drawing/2014/chart" uri="{C3380CC4-5D6E-409C-BE32-E72D297353CC}">
              <c16:uniqueId val="{00000001-E2F9-4251-A157-F3B5BF944DE0}"/>
            </c:ext>
          </c:extLst>
        </c:ser>
        <c:ser>
          <c:idx val="1"/>
          <c:order val="1"/>
          <c:tx>
            <c:strRef>
              <c:f>Sheet3!$C$51</c:f>
              <c:strCache>
                <c:ptCount val="1"/>
                <c:pt idx="0">
                  <c:v>Чингис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Sheet3!$D$51</c:f>
              <c:numCache>
                <c:formatCode>0.000%</c:formatCode>
                <c:ptCount val="1"/>
                <c:pt idx="0">
                  <c:v>5.1249999999999997E-2</c:v>
                </c:pt>
              </c:numCache>
            </c:numRef>
          </c:val>
          <c:extLst>
            <c:ext xmlns:c16="http://schemas.microsoft.com/office/drawing/2014/chart" uri="{C3380CC4-5D6E-409C-BE32-E72D297353CC}">
              <c16:uniqueId val="{00000002-E2F9-4251-A157-F3B5BF944DE0}"/>
            </c:ext>
          </c:extLst>
        </c:ser>
        <c:ser>
          <c:idx val="2"/>
          <c:order val="2"/>
          <c:tx>
            <c:strRef>
              <c:f>Sheet3!$C$52</c:f>
              <c:strCache>
                <c:ptCount val="1"/>
                <c:pt idx="0">
                  <c:v>Номад</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Sheet3!$D$52</c:f>
              <c:numCache>
                <c:formatCode>0.000%</c:formatCode>
                <c:ptCount val="1"/>
                <c:pt idx="0">
                  <c:v>5.1249999999999997E-2</c:v>
                </c:pt>
              </c:numCache>
            </c:numRef>
          </c:val>
          <c:extLst>
            <c:ext xmlns:c16="http://schemas.microsoft.com/office/drawing/2014/chart" uri="{C3380CC4-5D6E-409C-BE32-E72D297353CC}">
              <c16:uniqueId val="{00000003-E2F9-4251-A157-F3B5BF944DE0}"/>
            </c:ext>
          </c:extLst>
        </c:ser>
        <c:dLbls>
          <c:dLblPos val="outEnd"/>
          <c:showLegendKey val="0"/>
          <c:showVal val="1"/>
          <c:showCatName val="0"/>
          <c:showSerName val="0"/>
          <c:showPercent val="0"/>
          <c:showBubbleSize val="0"/>
        </c:dLbls>
        <c:gapWidth val="219"/>
        <c:overlap val="-27"/>
        <c:axId val="1409331200"/>
        <c:axId val="1409341600"/>
      </c:barChart>
      <c:catAx>
        <c:axId val="140933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09341600"/>
        <c:crosses val="autoZero"/>
        <c:auto val="1"/>
        <c:lblAlgn val="ctr"/>
        <c:lblOffset val="100"/>
        <c:noMultiLvlLbl val="0"/>
      </c:catAx>
      <c:valAx>
        <c:axId val="14093416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0933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r>
              <a:rPr lang="mn-MN"/>
              <a:t>Сенчири төсөл</a:t>
            </a:r>
            <a:endParaRPr lang="en-US"/>
          </a:p>
        </c:rich>
      </c:tx>
      <c:layout>
        <c:manualLayout>
          <c:xMode val="edge"/>
          <c:yMode val="edge"/>
          <c:x val="0.32091942148760333"/>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Sheet3!$E$29</c:f>
              <c:strCache>
                <c:ptCount val="1"/>
                <c:pt idx="0">
                  <c:v>Чингис 2022</c:v>
                </c:pt>
              </c:strCache>
            </c:strRef>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ACAA-4AAF-ACF3-EA5FFA794B69}"/>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Sheet3!$F$29</c:f>
              <c:numCache>
                <c:formatCode>0.000%</c:formatCode>
                <c:ptCount val="1"/>
                <c:pt idx="0">
                  <c:v>5.1249999999999997E-2</c:v>
                </c:pt>
              </c:numCache>
            </c:numRef>
          </c:val>
          <c:extLst>
            <c:ext xmlns:c16="http://schemas.microsoft.com/office/drawing/2014/chart" uri="{C3380CC4-5D6E-409C-BE32-E72D297353CC}">
              <c16:uniqueId val="{00000002-ACAA-4AAF-ACF3-EA5FFA794B69}"/>
            </c:ext>
          </c:extLst>
        </c:ser>
        <c:ser>
          <c:idx val="1"/>
          <c:order val="1"/>
          <c:tx>
            <c:strRef>
              <c:f>Sheet3!$E$30</c:f>
              <c:strCache>
                <c:ptCount val="1"/>
                <c:pt idx="0">
                  <c:v>Гэрэгэ 2023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Sheet3!$F$30</c:f>
              <c:numCache>
                <c:formatCode>0.000%</c:formatCode>
                <c:ptCount val="1"/>
                <c:pt idx="0">
                  <c:v>5.6250000000000001E-2</c:v>
                </c:pt>
              </c:numCache>
            </c:numRef>
          </c:val>
          <c:extLst>
            <c:ext xmlns:c16="http://schemas.microsoft.com/office/drawing/2014/chart" uri="{C3380CC4-5D6E-409C-BE32-E72D297353CC}">
              <c16:uniqueId val="{00000003-ACAA-4AAF-ACF3-EA5FFA794B69}"/>
            </c:ext>
          </c:extLst>
        </c:ser>
        <c:ser>
          <c:idx val="2"/>
          <c:order val="2"/>
          <c:tx>
            <c:strRef>
              <c:f>Sheet3!$E$31</c:f>
              <c:strCache>
                <c:ptCount val="1"/>
                <c:pt idx="0">
                  <c:v>Сенчири-2031</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Sheet3!$F$31</c:f>
              <c:numCache>
                <c:formatCode>0.000%</c:formatCode>
                <c:ptCount val="1"/>
                <c:pt idx="0">
                  <c:v>4.4499999999999998E-2</c:v>
                </c:pt>
              </c:numCache>
            </c:numRef>
          </c:val>
          <c:extLst>
            <c:ext xmlns:c16="http://schemas.microsoft.com/office/drawing/2014/chart" uri="{C3380CC4-5D6E-409C-BE32-E72D297353CC}">
              <c16:uniqueId val="{00000004-ACAA-4AAF-ACF3-EA5FFA794B69}"/>
            </c:ext>
          </c:extLst>
        </c:ser>
        <c:ser>
          <c:idx val="3"/>
          <c:order val="3"/>
          <c:tx>
            <c:strRef>
              <c:f>Sheet3!$E$32</c:f>
              <c:strCache>
                <c:ptCount val="1"/>
                <c:pt idx="0">
                  <c:v>Сенчири-2027</c:v>
                </c:pt>
              </c:strCache>
            </c:strRef>
          </c:tx>
          <c:spPr>
            <a:solidFill>
              <a:schemeClr val="bg2">
                <a:lumMod val="75000"/>
              </a:schemeClr>
            </a:solidFill>
            <a:ln>
              <a:noFill/>
            </a:ln>
            <a:effectLst/>
          </c:spPr>
          <c:invertIfNegative val="0"/>
          <c:dPt>
            <c:idx val="0"/>
            <c:invertIfNegative val="0"/>
            <c:bubble3D val="0"/>
            <c:spPr>
              <a:solidFill>
                <a:schemeClr val="bg2">
                  <a:lumMod val="75000"/>
                </a:schemeClr>
              </a:solidFill>
              <a:ln>
                <a:noFill/>
              </a:ln>
              <a:effectLst/>
            </c:spPr>
            <c:extLst>
              <c:ext xmlns:c16="http://schemas.microsoft.com/office/drawing/2014/chart" uri="{C3380CC4-5D6E-409C-BE32-E72D297353CC}">
                <c16:uniqueId val="{00000006-ACAA-4AAF-ACF3-EA5FFA794B69}"/>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Sheet3!$F$32</c:f>
              <c:numCache>
                <c:formatCode>0.000%</c:formatCode>
                <c:ptCount val="1"/>
                <c:pt idx="0">
                  <c:v>3.5000000000000003E-2</c:v>
                </c:pt>
              </c:numCache>
            </c:numRef>
          </c:val>
          <c:extLst>
            <c:ext xmlns:c16="http://schemas.microsoft.com/office/drawing/2014/chart" uri="{C3380CC4-5D6E-409C-BE32-E72D297353CC}">
              <c16:uniqueId val="{00000007-ACAA-4AAF-ACF3-EA5FFA794B69}"/>
            </c:ext>
          </c:extLst>
        </c:ser>
        <c:dLbls>
          <c:dLblPos val="outEnd"/>
          <c:showLegendKey val="0"/>
          <c:showVal val="1"/>
          <c:showCatName val="0"/>
          <c:showSerName val="0"/>
          <c:showPercent val="0"/>
          <c:showBubbleSize val="0"/>
        </c:dLbls>
        <c:gapWidth val="219"/>
        <c:overlap val="-27"/>
        <c:axId val="1547594016"/>
        <c:axId val="1547583200"/>
      </c:barChart>
      <c:catAx>
        <c:axId val="154759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7583200"/>
        <c:crosses val="autoZero"/>
        <c:auto val="0"/>
        <c:lblAlgn val="ctr"/>
        <c:lblOffset val="100"/>
        <c:noMultiLvlLbl val="0"/>
      </c:catAx>
      <c:valAx>
        <c:axId val="15475832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759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4432199859591E-2"/>
          <c:y val="0.1053278767597557"/>
          <c:w val="0.92147672023793914"/>
          <c:h val="0.7152268844151084"/>
        </c:manualLayout>
      </c:layout>
      <c:lineChart>
        <c:grouping val="standard"/>
        <c:varyColors val="0"/>
        <c:ser>
          <c:idx val="0"/>
          <c:order val="0"/>
          <c:tx>
            <c:strRef>
              <c:f>'Graph (2)'!$B$4</c:f>
              <c:strCache>
                <c:ptCount val="1"/>
                <c:pt idx="0">
                  <c:v>Мүүдис</c:v>
                </c:pt>
              </c:strCache>
            </c:strRef>
          </c:tx>
          <c:spPr>
            <a:ln w="28575" cap="rnd">
              <a:solidFill>
                <a:schemeClr val="accent1"/>
              </a:solidFill>
              <a:round/>
            </a:ln>
            <a:effectLst/>
          </c:spPr>
          <c:marker>
            <c:symbol val="none"/>
          </c:marker>
          <c:dPt>
            <c:idx val="0"/>
            <c:marker>
              <c:symbol val="circle"/>
              <c:size val="7"/>
              <c:spPr>
                <a:solidFill>
                  <a:schemeClr val="accent1"/>
                </a:solidFill>
                <a:ln w="9525">
                  <a:solidFill>
                    <a:schemeClr val="accent1"/>
                  </a:solidFill>
                </a:ln>
                <a:effectLst/>
              </c:spPr>
            </c:marker>
            <c:bubble3D val="0"/>
            <c:extLst>
              <c:ext xmlns:c16="http://schemas.microsoft.com/office/drawing/2014/chart" uri="{C3380CC4-5D6E-409C-BE32-E72D297353CC}">
                <c16:uniqueId val="{00000000-4205-4DFF-8F0C-05C1AF9EA729}"/>
              </c:ext>
            </c:extLst>
          </c:dPt>
          <c:dPt>
            <c:idx val="3"/>
            <c:marker>
              <c:symbol val="circle"/>
              <c:size val="7"/>
              <c:spPr>
                <a:noFill/>
                <a:ln w="9525">
                  <a:noFill/>
                </a:ln>
                <a:effectLst/>
              </c:spPr>
            </c:marker>
            <c:bubble3D val="0"/>
            <c:extLst>
              <c:ext xmlns:c16="http://schemas.microsoft.com/office/drawing/2014/chart" uri="{C3380CC4-5D6E-409C-BE32-E72D297353CC}">
                <c16:uniqueId val="{00000001-4205-4DFF-8F0C-05C1AF9EA729}"/>
              </c:ext>
            </c:extLst>
          </c:dPt>
          <c:dPt>
            <c:idx val="7"/>
            <c:marker>
              <c:symbol val="none"/>
            </c:marker>
            <c:bubble3D val="0"/>
            <c:extLst>
              <c:ext xmlns:c16="http://schemas.microsoft.com/office/drawing/2014/chart" uri="{C3380CC4-5D6E-409C-BE32-E72D297353CC}">
                <c16:uniqueId val="{00000002-4205-4DFF-8F0C-05C1AF9EA729}"/>
              </c:ext>
            </c:extLst>
          </c:dPt>
          <c:dPt>
            <c:idx val="11"/>
            <c:marker>
              <c:symbol val="none"/>
            </c:marker>
            <c:bubble3D val="0"/>
            <c:extLst>
              <c:ext xmlns:c16="http://schemas.microsoft.com/office/drawing/2014/chart" uri="{C3380CC4-5D6E-409C-BE32-E72D297353CC}">
                <c16:uniqueId val="{00000003-4205-4DFF-8F0C-05C1AF9EA729}"/>
              </c:ext>
            </c:extLst>
          </c:dPt>
          <c:dPt>
            <c:idx val="14"/>
            <c:marker>
              <c:symbol val="circle"/>
              <c:size val="7"/>
              <c:spPr>
                <a:solidFill>
                  <a:schemeClr val="accent1"/>
                </a:solidFill>
                <a:ln w="9525">
                  <a:solidFill>
                    <a:schemeClr val="accent1"/>
                  </a:solidFill>
                </a:ln>
                <a:effectLst/>
              </c:spPr>
            </c:marker>
            <c:bubble3D val="0"/>
            <c:extLst>
              <c:ext xmlns:c16="http://schemas.microsoft.com/office/drawing/2014/chart" uri="{C3380CC4-5D6E-409C-BE32-E72D297353CC}">
                <c16:uniqueId val="{00000004-4205-4DFF-8F0C-05C1AF9EA729}"/>
              </c:ext>
            </c:extLst>
          </c:dPt>
          <c:dPt>
            <c:idx val="15"/>
            <c:marker>
              <c:symbol val="none"/>
            </c:marker>
            <c:bubble3D val="0"/>
            <c:extLst>
              <c:ext xmlns:c16="http://schemas.microsoft.com/office/drawing/2014/chart" uri="{C3380CC4-5D6E-409C-BE32-E72D297353CC}">
                <c16:uniqueId val="{00000005-4205-4DFF-8F0C-05C1AF9EA729}"/>
              </c:ext>
            </c:extLst>
          </c:dPt>
          <c:dPt>
            <c:idx val="17"/>
            <c:marker>
              <c:symbol val="circle"/>
              <c:size val="7"/>
              <c:spPr>
                <a:solidFill>
                  <a:schemeClr val="accent1"/>
                </a:solidFill>
                <a:ln w="9525">
                  <a:solidFill>
                    <a:schemeClr val="accent1"/>
                  </a:solidFill>
                </a:ln>
                <a:effectLst/>
              </c:spPr>
            </c:marker>
            <c:bubble3D val="0"/>
            <c:extLst>
              <c:ext xmlns:c16="http://schemas.microsoft.com/office/drawing/2014/chart" uri="{C3380CC4-5D6E-409C-BE32-E72D297353CC}">
                <c16:uniqueId val="{00000006-4205-4DFF-8F0C-05C1AF9EA729}"/>
              </c:ext>
            </c:extLst>
          </c:dPt>
          <c:dPt>
            <c:idx val="19"/>
            <c:marker>
              <c:symbol val="none"/>
            </c:marker>
            <c:bubble3D val="0"/>
            <c:extLst>
              <c:ext xmlns:c16="http://schemas.microsoft.com/office/drawing/2014/chart" uri="{C3380CC4-5D6E-409C-BE32-E72D297353CC}">
                <c16:uniqueId val="{00000007-4205-4DFF-8F0C-05C1AF9EA729}"/>
              </c:ext>
            </c:extLst>
          </c:dPt>
          <c:dPt>
            <c:idx val="21"/>
            <c:marker>
              <c:symbol val="circle"/>
              <c:size val="7"/>
              <c:spPr>
                <a:noFill/>
                <a:ln w="9525">
                  <a:noFill/>
                </a:ln>
                <a:effectLst/>
              </c:spPr>
            </c:marker>
            <c:bubble3D val="0"/>
            <c:extLst>
              <c:ext xmlns:c16="http://schemas.microsoft.com/office/drawing/2014/chart" uri="{C3380CC4-5D6E-409C-BE32-E72D297353CC}">
                <c16:uniqueId val="{00000008-4205-4DFF-8F0C-05C1AF9EA729}"/>
              </c:ext>
            </c:extLst>
          </c:dPt>
          <c:dPt>
            <c:idx val="22"/>
            <c:marker>
              <c:symbol val="circle"/>
              <c:size val="7"/>
              <c:spPr>
                <a:noFill/>
                <a:ln w="9525">
                  <a:noFill/>
                </a:ln>
                <a:effectLst/>
              </c:spPr>
            </c:marker>
            <c:bubble3D val="0"/>
            <c:extLst>
              <c:ext xmlns:c16="http://schemas.microsoft.com/office/drawing/2014/chart" uri="{C3380CC4-5D6E-409C-BE32-E72D297353CC}">
                <c16:uniqueId val="{00000009-4205-4DFF-8F0C-05C1AF9EA729}"/>
              </c:ext>
            </c:extLst>
          </c:dPt>
          <c:dPt>
            <c:idx val="26"/>
            <c:marker>
              <c:symbol val="none"/>
            </c:marker>
            <c:bubble3D val="0"/>
            <c:extLst>
              <c:ext xmlns:c16="http://schemas.microsoft.com/office/drawing/2014/chart" uri="{C3380CC4-5D6E-409C-BE32-E72D297353CC}">
                <c16:uniqueId val="{0000000A-4205-4DFF-8F0C-05C1AF9EA729}"/>
              </c:ext>
            </c:extLst>
          </c:dPt>
          <c:dPt>
            <c:idx val="28"/>
            <c:marker>
              <c:symbol val="none"/>
            </c:marker>
            <c:bubble3D val="0"/>
            <c:extLst>
              <c:ext xmlns:c16="http://schemas.microsoft.com/office/drawing/2014/chart" uri="{C3380CC4-5D6E-409C-BE32-E72D297353CC}">
                <c16:uniqueId val="{0000000B-4205-4DFF-8F0C-05C1AF9EA729}"/>
              </c:ext>
            </c:extLst>
          </c:dPt>
          <c:dPt>
            <c:idx val="29"/>
            <c:marker>
              <c:symbol val="none"/>
            </c:marker>
            <c:bubble3D val="0"/>
            <c:extLst>
              <c:ext xmlns:c16="http://schemas.microsoft.com/office/drawing/2014/chart" uri="{C3380CC4-5D6E-409C-BE32-E72D297353CC}">
                <c16:uniqueId val="{0000000C-4205-4DFF-8F0C-05C1AF9EA729}"/>
              </c:ext>
            </c:extLst>
          </c:dPt>
          <c:dPt>
            <c:idx val="30"/>
            <c:marker>
              <c:symbol val="circle"/>
              <c:size val="7"/>
              <c:spPr>
                <a:noFill/>
                <a:ln w="9525">
                  <a:noFill/>
                </a:ln>
                <a:effectLst/>
              </c:spPr>
            </c:marker>
            <c:bubble3D val="0"/>
            <c:extLst>
              <c:ext xmlns:c16="http://schemas.microsoft.com/office/drawing/2014/chart" uri="{C3380CC4-5D6E-409C-BE32-E72D297353CC}">
                <c16:uniqueId val="{0000000D-4205-4DFF-8F0C-05C1AF9EA729}"/>
              </c:ext>
            </c:extLst>
          </c:dPt>
          <c:dPt>
            <c:idx val="31"/>
            <c:marker>
              <c:symbol val="circle"/>
              <c:size val="7"/>
              <c:spPr>
                <a:noFill/>
                <a:ln w="9525">
                  <a:noFill/>
                </a:ln>
                <a:effectLst/>
              </c:spPr>
            </c:marker>
            <c:bubble3D val="0"/>
            <c:extLst>
              <c:ext xmlns:c16="http://schemas.microsoft.com/office/drawing/2014/chart" uri="{C3380CC4-5D6E-409C-BE32-E72D297353CC}">
                <c16:uniqueId val="{0000000E-4205-4DFF-8F0C-05C1AF9EA729}"/>
              </c:ext>
            </c:extLst>
          </c:dPt>
          <c:dPt>
            <c:idx val="34"/>
            <c:marker>
              <c:symbol val="none"/>
            </c:marker>
            <c:bubble3D val="0"/>
            <c:extLst>
              <c:ext xmlns:c16="http://schemas.microsoft.com/office/drawing/2014/chart" uri="{C3380CC4-5D6E-409C-BE32-E72D297353CC}">
                <c16:uniqueId val="{0000000F-4205-4DFF-8F0C-05C1AF9EA729}"/>
              </c:ext>
            </c:extLst>
          </c:dPt>
          <c:dPt>
            <c:idx val="35"/>
            <c:marker>
              <c:symbol val="circle"/>
              <c:size val="7"/>
              <c:spPr>
                <a:noFill/>
                <a:ln w="9525">
                  <a:noFill/>
                </a:ln>
                <a:effectLst/>
              </c:spPr>
            </c:marker>
            <c:bubble3D val="0"/>
            <c:extLst>
              <c:ext xmlns:c16="http://schemas.microsoft.com/office/drawing/2014/chart" uri="{C3380CC4-5D6E-409C-BE32-E72D297353CC}">
                <c16:uniqueId val="{00000010-4205-4DFF-8F0C-05C1AF9EA729}"/>
              </c:ext>
            </c:extLst>
          </c:dPt>
          <c:dPt>
            <c:idx val="43"/>
            <c:marker>
              <c:symbol val="circle"/>
              <c:size val="7"/>
              <c:spPr>
                <a:noFill/>
                <a:ln w="0">
                  <a:noFill/>
                </a:ln>
                <a:effectLst/>
              </c:spPr>
            </c:marker>
            <c:bubble3D val="0"/>
            <c:extLst>
              <c:ext xmlns:c16="http://schemas.microsoft.com/office/drawing/2014/chart" uri="{C3380CC4-5D6E-409C-BE32-E72D297353CC}">
                <c16:uniqueId val="{00000011-4205-4DFF-8F0C-05C1AF9EA729}"/>
              </c:ext>
            </c:extLst>
          </c:dPt>
          <c:dPt>
            <c:idx val="44"/>
            <c:marker>
              <c:symbol val="circle"/>
              <c:size val="5"/>
              <c:spPr>
                <a:solidFill>
                  <a:schemeClr val="accent1"/>
                </a:solidFill>
                <a:ln w="28575">
                  <a:solidFill>
                    <a:schemeClr val="accent1"/>
                  </a:solidFill>
                </a:ln>
                <a:effectLst/>
              </c:spPr>
            </c:marker>
            <c:bubble3D val="0"/>
            <c:spPr>
              <a:ln w="28575" cap="rnd">
                <a:solidFill>
                  <a:schemeClr val="accent1"/>
                </a:solidFill>
                <a:round/>
              </a:ln>
              <a:effectLst/>
            </c:spPr>
            <c:extLst>
              <c:ext xmlns:c16="http://schemas.microsoft.com/office/drawing/2014/chart" uri="{C3380CC4-5D6E-409C-BE32-E72D297353CC}">
                <c16:uniqueId val="{00000013-4205-4DFF-8F0C-05C1AF9EA729}"/>
              </c:ext>
            </c:extLst>
          </c:dPt>
          <c:dLbls>
            <c:dLbl>
              <c:idx val="1"/>
              <c:layout>
                <c:manualLayout>
                  <c:x val="-5.4122602277766392E-2"/>
                  <c:y val="2.4246482995972964E-2"/>
                </c:manualLayout>
              </c:layout>
              <c:tx>
                <c:rich>
                  <a:bodyPr/>
                  <a:lstStyle/>
                  <a:p>
                    <a:r>
                      <a:rPr lang="en-US"/>
                      <a:t>Caa1 (=)</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4-4205-4DFF-8F0C-05C1AF9EA729}"/>
                </c:ext>
              </c:extLst>
            </c:dLbl>
            <c:dLbl>
              <c:idx val="17"/>
              <c:layout>
                <c:manualLayout>
                  <c:x val="-8.2703977682332813E-2"/>
                  <c:y val="7.755324898767639E-2"/>
                </c:manualLayout>
              </c:layout>
              <c:tx>
                <c:rich>
                  <a:bodyPr/>
                  <a:lstStyle/>
                  <a:p>
                    <a:r>
                      <a:rPr lang="en-US"/>
                      <a:t>B3</a:t>
                    </a:r>
                    <a:r>
                      <a:rPr lang="en-US" baseline="0"/>
                      <a:t> (-)</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8.0920008462447041E-2"/>
                      <c:h val="5.7873265433435302E-2"/>
                    </c:manualLayout>
                  </c15:layout>
                </c:ext>
                <c:ext xmlns:c16="http://schemas.microsoft.com/office/drawing/2014/chart" uri="{C3380CC4-5D6E-409C-BE32-E72D297353CC}">
                  <c16:uniqueId val="{00000006-4205-4DFF-8F0C-05C1AF9EA729}"/>
                </c:ext>
              </c:extLst>
            </c:dLbl>
            <c:dLbl>
              <c:idx val="21"/>
              <c:layout>
                <c:manualLayout>
                  <c:x val="-3.47985347985348E-2"/>
                  <c:y val="-1.579778830963665E-2"/>
                </c:manualLayout>
              </c:layout>
              <c:tx>
                <c:rich>
                  <a:bodyPr/>
                  <a:lstStyle/>
                  <a:p>
                    <a:r>
                      <a:rPr lang="mn-MN"/>
                      <a:t>В1 сөрөг</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8-4205-4DFF-8F0C-05C1AF9EA729}"/>
                </c:ext>
              </c:extLst>
            </c:dLbl>
            <c:dLbl>
              <c:idx val="22"/>
              <c:layout>
                <c:manualLayout>
                  <c:x val="-3.8461538461538526E-2"/>
                  <c:y val="1.0531858873091004E-2"/>
                </c:manualLayout>
              </c:layout>
              <c:tx>
                <c:rich>
                  <a:bodyPr/>
                  <a:lstStyle/>
                  <a:p>
                    <a:r>
                      <a:rPr lang="mn-MN"/>
                      <a:t>В2</a:t>
                    </a:r>
                    <a:r>
                      <a:rPr lang="mn-MN" baseline="0"/>
                      <a:t> сөрөг</a:t>
                    </a:r>
                    <a:endParaRPr lang="mn-MN"/>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9-4205-4DFF-8F0C-05C1AF9EA729}"/>
                </c:ext>
              </c:extLst>
            </c:dLbl>
            <c:dLbl>
              <c:idx val="30"/>
              <c:layout>
                <c:manualLayout>
                  <c:x val="-3.8461538461538464E-2"/>
                  <c:y val="1.579778830963665E-2"/>
                </c:manualLayout>
              </c:layout>
              <c:tx>
                <c:rich>
                  <a:bodyPr/>
                  <a:lstStyle/>
                  <a:p>
                    <a:r>
                      <a:rPr lang="az-Cyrl-AZ"/>
                      <a:t>Саа1</a:t>
                    </a:r>
                    <a:r>
                      <a:rPr lang="az-Cyrl-AZ" baseline="0"/>
                      <a:t> тогтвортой</a:t>
                    </a:r>
                    <a:endParaRPr lang="az-Cyrl-AZ"/>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D-4205-4DFF-8F0C-05C1AF9EA729}"/>
                </c:ext>
              </c:extLst>
            </c:dLbl>
            <c:dLbl>
              <c:idx val="35"/>
              <c:layout>
                <c:manualLayout>
                  <c:x val="-4.3956043956043959E-2"/>
                  <c:y val="1.8430753027909426E-2"/>
                </c:manualLayout>
              </c:layout>
              <c:tx>
                <c:rich>
                  <a:bodyPr/>
                  <a:lstStyle/>
                  <a:p>
                    <a:r>
                      <a:rPr lang="az-Cyrl-AZ"/>
                      <a:t>В3</a:t>
                    </a:r>
                    <a:r>
                      <a:rPr lang="az-Cyrl-AZ" baseline="0"/>
                      <a:t> тогтвортой</a:t>
                    </a:r>
                    <a:endParaRPr lang="az-Cyrl-AZ"/>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205-4DFF-8F0C-05C1AF9EA729}"/>
                </c:ext>
              </c:extLst>
            </c:dLbl>
            <c:dLbl>
              <c:idx val="44"/>
              <c:layout>
                <c:manualLayout>
                  <c:x val="-2.014652014652028E-2"/>
                  <c:y val="-3.7936267071320182E-2"/>
                </c:manualLayout>
              </c:layout>
              <c:tx>
                <c:rich>
                  <a:bodyPr/>
                  <a:lstStyle/>
                  <a:p>
                    <a:r>
                      <a:rPr lang="az-Cyrl-AZ" sz="900" b="0"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В3 сөрөг</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205-4DFF-8F0C-05C1AF9EA729}"/>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'Graph (2)'!$A$35:$A$55</c:f>
              <c:strCache>
                <c:ptCount val="21"/>
                <c:pt idx="0">
                  <c:v>2016.IV</c:v>
                </c:pt>
                <c:pt idx="1">
                  <c:v>2017.I</c:v>
                </c:pt>
                <c:pt idx="2">
                  <c:v>2017.II</c:v>
                </c:pt>
                <c:pt idx="3">
                  <c:v>2017.III</c:v>
                </c:pt>
                <c:pt idx="4">
                  <c:v>2017.IV</c:v>
                </c:pt>
                <c:pt idx="5">
                  <c:v>2018.I</c:v>
                </c:pt>
                <c:pt idx="6">
                  <c:v>2018.II</c:v>
                </c:pt>
                <c:pt idx="7">
                  <c:v>2018.III</c:v>
                </c:pt>
                <c:pt idx="8">
                  <c:v>2018.IV</c:v>
                </c:pt>
                <c:pt idx="9">
                  <c:v>2019.I</c:v>
                </c:pt>
                <c:pt idx="10">
                  <c:v>2019.II</c:v>
                </c:pt>
                <c:pt idx="11">
                  <c:v>2019.III</c:v>
                </c:pt>
                <c:pt idx="12">
                  <c:v>2019.IV</c:v>
                </c:pt>
                <c:pt idx="13">
                  <c:v>2020.I</c:v>
                </c:pt>
                <c:pt idx="14">
                  <c:v>2020.II</c:v>
                </c:pt>
                <c:pt idx="15">
                  <c:v>2020.III</c:v>
                </c:pt>
                <c:pt idx="16">
                  <c:v>2020.IV</c:v>
                </c:pt>
                <c:pt idx="17">
                  <c:v>2021.I</c:v>
                </c:pt>
                <c:pt idx="18">
                  <c:v>2021.II</c:v>
                </c:pt>
                <c:pt idx="19">
                  <c:v>2021.III</c:v>
                </c:pt>
                <c:pt idx="20">
                  <c:v>2021.IV</c:v>
                </c:pt>
              </c:strCache>
              <c:extLst/>
            </c:strRef>
          </c:cat>
          <c:val>
            <c:numRef>
              <c:f>'Graph (2)'!$B$35:$B$55</c:f>
              <c:numCache>
                <c:formatCode>General</c:formatCode>
                <c:ptCount val="21"/>
                <c:pt idx="0">
                  <c:v>2</c:v>
                </c:pt>
                <c:pt idx="1">
                  <c:v>2</c:v>
                </c:pt>
                <c:pt idx="2" formatCode="0.0">
                  <c:v>2</c:v>
                </c:pt>
                <c:pt idx="3" formatCode="0.0">
                  <c:v>2</c:v>
                </c:pt>
                <c:pt idx="4" formatCode="0.0">
                  <c:v>2</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numCache>
              <c:extLst/>
            </c:numRef>
          </c:val>
          <c:smooth val="0"/>
          <c:extLst>
            <c:ext xmlns:c16="http://schemas.microsoft.com/office/drawing/2014/chart" uri="{C3380CC4-5D6E-409C-BE32-E72D297353CC}">
              <c16:uniqueId val="{00000015-4205-4DFF-8F0C-05C1AF9EA729}"/>
            </c:ext>
          </c:extLst>
        </c:ser>
        <c:ser>
          <c:idx val="1"/>
          <c:order val="1"/>
          <c:tx>
            <c:strRef>
              <c:f>'Graph (2)'!$C$4</c:f>
              <c:strCache>
                <c:ptCount val="1"/>
                <c:pt idx="0">
                  <c:v>Фитч</c:v>
                </c:pt>
              </c:strCache>
            </c:strRef>
          </c:tx>
          <c:spPr>
            <a:ln w="28575" cap="rnd">
              <a:solidFill>
                <a:schemeClr val="accent2"/>
              </a:solidFill>
              <a:prstDash val="solid"/>
              <a:round/>
            </a:ln>
            <a:effectLst/>
          </c:spPr>
          <c:marker>
            <c:symbol val="none"/>
          </c:marker>
          <c:dPt>
            <c:idx val="3"/>
            <c:marker>
              <c:symbol val="none"/>
            </c:marker>
            <c:bubble3D val="0"/>
            <c:extLst>
              <c:ext xmlns:c16="http://schemas.microsoft.com/office/drawing/2014/chart" uri="{C3380CC4-5D6E-409C-BE32-E72D297353CC}">
                <c16:uniqueId val="{00000016-4205-4DFF-8F0C-05C1AF9EA729}"/>
              </c:ext>
            </c:extLst>
          </c:dPt>
          <c:dPt>
            <c:idx val="4"/>
            <c:marker>
              <c:symbol val="square"/>
              <c:size val="7"/>
              <c:spPr>
                <a:solidFill>
                  <a:schemeClr val="accent2"/>
                </a:solidFill>
                <a:ln w="9525">
                  <a:solidFill>
                    <a:schemeClr val="accent2"/>
                  </a:solidFill>
                </a:ln>
                <a:effectLst/>
              </c:spPr>
            </c:marker>
            <c:bubble3D val="0"/>
            <c:extLst>
              <c:ext xmlns:c16="http://schemas.microsoft.com/office/drawing/2014/chart" uri="{C3380CC4-5D6E-409C-BE32-E72D297353CC}">
                <c16:uniqueId val="{00000017-4205-4DFF-8F0C-05C1AF9EA729}"/>
              </c:ext>
            </c:extLst>
          </c:dPt>
          <c:dPt>
            <c:idx val="7"/>
            <c:marker>
              <c:symbol val="square"/>
              <c:size val="7"/>
              <c:spPr>
                <a:solidFill>
                  <a:schemeClr val="accent2"/>
                </a:solidFill>
                <a:ln w="9525">
                  <a:solidFill>
                    <a:schemeClr val="accent2"/>
                  </a:solidFill>
                </a:ln>
                <a:effectLst/>
              </c:spPr>
            </c:marker>
            <c:bubble3D val="0"/>
            <c:extLst>
              <c:ext xmlns:c16="http://schemas.microsoft.com/office/drawing/2014/chart" uri="{C3380CC4-5D6E-409C-BE32-E72D297353CC}">
                <c16:uniqueId val="{00000018-4205-4DFF-8F0C-05C1AF9EA729}"/>
              </c:ext>
            </c:extLst>
          </c:dPt>
          <c:dPt>
            <c:idx val="11"/>
            <c:marker>
              <c:symbol val="none"/>
            </c:marker>
            <c:bubble3D val="0"/>
            <c:extLst>
              <c:ext xmlns:c16="http://schemas.microsoft.com/office/drawing/2014/chart" uri="{C3380CC4-5D6E-409C-BE32-E72D297353CC}">
                <c16:uniqueId val="{00000019-4205-4DFF-8F0C-05C1AF9EA729}"/>
              </c:ext>
            </c:extLst>
          </c:dPt>
          <c:dPt>
            <c:idx val="15"/>
            <c:marker>
              <c:symbol val="none"/>
            </c:marker>
            <c:bubble3D val="0"/>
            <c:extLst>
              <c:ext xmlns:c16="http://schemas.microsoft.com/office/drawing/2014/chart" uri="{C3380CC4-5D6E-409C-BE32-E72D297353CC}">
                <c16:uniqueId val="{0000001A-4205-4DFF-8F0C-05C1AF9EA729}"/>
              </c:ext>
            </c:extLst>
          </c:dPt>
          <c:dPt>
            <c:idx val="17"/>
            <c:marker>
              <c:symbol val="none"/>
            </c:marker>
            <c:bubble3D val="0"/>
            <c:extLst>
              <c:ext xmlns:c16="http://schemas.microsoft.com/office/drawing/2014/chart" uri="{C3380CC4-5D6E-409C-BE32-E72D297353CC}">
                <c16:uniqueId val="{0000001B-4205-4DFF-8F0C-05C1AF9EA729}"/>
              </c:ext>
            </c:extLst>
          </c:dPt>
          <c:dPt>
            <c:idx val="19"/>
            <c:marker>
              <c:symbol val="none"/>
            </c:marker>
            <c:bubble3D val="0"/>
            <c:extLst>
              <c:ext xmlns:c16="http://schemas.microsoft.com/office/drawing/2014/chart" uri="{C3380CC4-5D6E-409C-BE32-E72D297353CC}">
                <c16:uniqueId val="{0000001C-4205-4DFF-8F0C-05C1AF9EA729}"/>
              </c:ext>
            </c:extLst>
          </c:dPt>
          <c:dPt>
            <c:idx val="21"/>
            <c:marker>
              <c:symbol val="none"/>
            </c:marker>
            <c:bubble3D val="0"/>
            <c:extLst>
              <c:ext xmlns:c16="http://schemas.microsoft.com/office/drawing/2014/chart" uri="{C3380CC4-5D6E-409C-BE32-E72D297353CC}">
                <c16:uniqueId val="{0000001D-4205-4DFF-8F0C-05C1AF9EA729}"/>
              </c:ext>
            </c:extLst>
          </c:dPt>
          <c:dPt>
            <c:idx val="22"/>
            <c:marker>
              <c:symbol val="none"/>
            </c:marker>
            <c:bubble3D val="0"/>
            <c:extLst>
              <c:ext xmlns:c16="http://schemas.microsoft.com/office/drawing/2014/chart" uri="{C3380CC4-5D6E-409C-BE32-E72D297353CC}">
                <c16:uniqueId val="{0000001E-4205-4DFF-8F0C-05C1AF9EA729}"/>
              </c:ext>
            </c:extLst>
          </c:dPt>
          <c:dPt>
            <c:idx val="25"/>
            <c:marker>
              <c:symbol val="none"/>
            </c:marker>
            <c:bubble3D val="0"/>
            <c:extLst>
              <c:ext xmlns:c16="http://schemas.microsoft.com/office/drawing/2014/chart" uri="{C3380CC4-5D6E-409C-BE32-E72D297353CC}">
                <c16:uniqueId val="{0000001F-4205-4DFF-8F0C-05C1AF9EA729}"/>
              </c:ext>
            </c:extLst>
          </c:dPt>
          <c:dPt>
            <c:idx val="26"/>
            <c:marker>
              <c:symbol val="none"/>
            </c:marker>
            <c:bubble3D val="0"/>
            <c:extLst>
              <c:ext xmlns:c16="http://schemas.microsoft.com/office/drawing/2014/chart" uri="{C3380CC4-5D6E-409C-BE32-E72D297353CC}">
                <c16:uniqueId val="{00000020-4205-4DFF-8F0C-05C1AF9EA729}"/>
              </c:ext>
            </c:extLst>
          </c:dPt>
          <c:dPt>
            <c:idx val="28"/>
            <c:marker>
              <c:symbol val="none"/>
            </c:marker>
            <c:bubble3D val="0"/>
            <c:extLst>
              <c:ext xmlns:c16="http://schemas.microsoft.com/office/drawing/2014/chart" uri="{C3380CC4-5D6E-409C-BE32-E72D297353CC}">
                <c16:uniqueId val="{00000021-4205-4DFF-8F0C-05C1AF9EA729}"/>
              </c:ext>
            </c:extLst>
          </c:dPt>
          <c:dPt>
            <c:idx val="29"/>
            <c:marker>
              <c:symbol val="none"/>
            </c:marker>
            <c:bubble3D val="0"/>
            <c:extLst>
              <c:ext xmlns:c16="http://schemas.microsoft.com/office/drawing/2014/chart" uri="{C3380CC4-5D6E-409C-BE32-E72D297353CC}">
                <c16:uniqueId val="{00000022-4205-4DFF-8F0C-05C1AF9EA729}"/>
              </c:ext>
            </c:extLst>
          </c:dPt>
          <c:dPt>
            <c:idx val="30"/>
            <c:marker>
              <c:symbol val="none"/>
            </c:marker>
            <c:bubble3D val="0"/>
            <c:extLst>
              <c:ext xmlns:c16="http://schemas.microsoft.com/office/drawing/2014/chart" uri="{C3380CC4-5D6E-409C-BE32-E72D297353CC}">
                <c16:uniqueId val="{00000023-4205-4DFF-8F0C-05C1AF9EA729}"/>
              </c:ext>
            </c:extLst>
          </c:dPt>
          <c:dPt>
            <c:idx val="31"/>
            <c:marker>
              <c:symbol val="none"/>
            </c:marker>
            <c:bubble3D val="0"/>
            <c:extLst>
              <c:ext xmlns:c16="http://schemas.microsoft.com/office/drawing/2014/chart" uri="{C3380CC4-5D6E-409C-BE32-E72D297353CC}">
                <c16:uniqueId val="{00000024-4205-4DFF-8F0C-05C1AF9EA729}"/>
              </c:ext>
            </c:extLst>
          </c:dPt>
          <c:dPt>
            <c:idx val="32"/>
            <c:marker>
              <c:symbol val="none"/>
            </c:marker>
            <c:bubble3D val="0"/>
            <c:extLst>
              <c:ext xmlns:c16="http://schemas.microsoft.com/office/drawing/2014/chart" uri="{C3380CC4-5D6E-409C-BE32-E72D297353CC}">
                <c16:uniqueId val="{00000025-4205-4DFF-8F0C-05C1AF9EA729}"/>
              </c:ext>
            </c:extLst>
          </c:dPt>
          <c:dPt>
            <c:idx val="34"/>
            <c:marker>
              <c:symbol val="none"/>
            </c:marker>
            <c:bubble3D val="0"/>
            <c:extLst>
              <c:ext xmlns:c16="http://schemas.microsoft.com/office/drawing/2014/chart" uri="{C3380CC4-5D6E-409C-BE32-E72D297353CC}">
                <c16:uniqueId val="{00000026-4205-4DFF-8F0C-05C1AF9EA729}"/>
              </c:ext>
            </c:extLst>
          </c:dPt>
          <c:dPt>
            <c:idx val="35"/>
            <c:marker>
              <c:symbol val="none"/>
            </c:marker>
            <c:bubble3D val="0"/>
            <c:extLst>
              <c:ext xmlns:c16="http://schemas.microsoft.com/office/drawing/2014/chart" uri="{C3380CC4-5D6E-409C-BE32-E72D297353CC}">
                <c16:uniqueId val="{00000027-4205-4DFF-8F0C-05C1AF9EA729}"/>
              </c:ext>
            </c:extLst>
          </c:dPt>
          <c:dPt>
            <c:idx val="36"/>
            <c:marker>
              <c:symbol val="none"/>
            </c:marker>
            <c:bubble3D val="0"/>
            <c:extLst>
              <c:ext xmlns:c16="http://schemas.microsoft.com/office/drawing/2014/chart" uri="{C3380CC4-5D6E-409C-BE32-E72D297353CC}">
                <c16:uniqueId val="{00000028-4205-4DFF-8F0C-05C1AF9EA729}"/>
              </c:ext>
            </c:extLst>
          </c:dPt>
          <c:dPt>
            <c:idx val="37"/>
            <c:marker>
              <c:symbol val="none"/>
            </c:marker>
            <c:bubble3D val="0"/>
            <c:extLst>
              <c:ext xmlns:c16="http://schemas.microsoft.com/office/drawing/2014/chart" uri="{C3380CC4-5D6E-409C-BE32-E72D297353CC}">
                <c16:uniqueId val="{00000029-4205-4DFF-8F0C-05C1AF9EA729}"/>
              </c:ext>
            </c:extLst>
          </c:dPt>
          <c:dPt>
            <c:idx val="42"/>
            <c:marker>
              <c:symbol val="none"/>
            </c:marker>
            <c:bubble3D val="0"/>
            <c:extLst>
              <c:ext xmlns:c16="http://schemas.microsoft.com/office/drawing/2014/chart" uri="{C3380CC4-5D6E-409C-BE32-E72D297353CC}">
                <c16:uniqueId val="{0000002A-4205-4DFF-8F0C-05C1AF9EA729}"/>
              </c:ext>
            </c:extLst>
          </c:dPt>
          <c:dLbls>
            <c:dLbl>
              <c:idx val="0"/>
              <c:layout>
                <c:manualLayout>
                  <c:x val="-2.8138924725292086E-2"/>
                  <c:y val="-3.7516781378285749E-2"/>
                </c:manualLayout>
              </c:layout>
              <c:tx>
                <c:rich>
                  <a:bodyPr/>
                  <a:lstStyle/>
                  <a:p>
                    <a:r>
                      <a:rPr lang="ru"/>
                      <a:t>В3</a:t>
                    </a:r>
                    <a:r>
                      <a:rPr lang="ru" baseline="0"/>
                      <a:t> (=)</a:t>
                    </a:r>
                    <a:endParaRPr lang="ru"/>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4205-4DFF-8F0C-05C1AF9EA729}"/>
                </c:ext>
              </c:extLst>
            </c:dLbl>
            <c:dLbl>
              <c:idx val="3"/>
              <c:layout>
                <c:manualLayout>
                  <c:x val="-5.719397932867442E-2"/>
                  <c:y val="-5.6051930345080402E-2"/>
                </c:manualLayout>
              </c:layout>
              <c:tx>
                <c:rich>
                  <a:bodyPr/>
                  <a:lstStyle/>
                  <a:p>
                    <a:r>
                      <a:rPr lang="ru"/>
                      <a:t>В-</a:t>
                    </a:r>
                    <a:r>
                      <a:rPr lang="ru" baseline="0"/>
                      <a:t> (+)</a:t>
                    </a:r>
                    <a:endParaRPr lang="ru"/>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6-4205-4DFF-8F0C-05C1AF9EA729}"/>
                </c:ext>
              </c:extLst>
            </c:dLbl>
            <c:dLbl>
              <c:idx val="26"/>
              <c:layout>
                <c:manualLayout>
                  <c:x val="-7.3260073260073263E-2"/>
                  <c:y val="1.0531858873091052E-2"/>
                </c:manualLayout>
              </c:layout>
              <c:tx>
                <c:rich>
                  <a:bodyPr/>
                  <a:lstStyle/>
                  <a:p>
                    <a:r>
                      <a:rPr lang="mn-MN"/>
                      <a:t>В тогтвортой</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0-4205-4DFF-8F0C-05C1AF9EA729}"/>
                </c:ext>
              </c:extLst>
            </c:dLbl>
            <c:dLbl>
              <c:idx val="34"/>
              <c:layout>
                <c:manualLayout>
                  <c:x val="-3.6630036630036632E-2"/>
                  <c:y val="-1.3164823591363973E-2"/>
                </c:manualLayout>
              </c:layout>
              <c:tx>
                <c:rich>
                  <a:bodyPr/>
                  <a:lstStyle/>
                  <a:p>
                    <a:r>
                      <a:rPr lang="az-Cyrl-AZ"/>
                      <a:t>В-</a:t>
                    </a:r>
                    <a:r>
                      <a:rPr lang="az-Cyrl-AZ" baseline="0"/>
                      <a:t> эерэг</a:t>
                    </a:r>
                    <a:endParaRPr lang="az-Cyrl-AZ"/>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205-4DFF-8F0C-05C1AF9EA729}"/>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(2)'!$A$35:$A$55</c:f>
              <c:strCache>
                <c:ptCount val="21"/>
                <c:pt idx="0">
                  <c:v>2016.IV</c:v>
                </c:pt>
                <c:pt idx="1">
                  <c:v>2017.I</c:v>
                </c:pt>
                <c:pt idx="2">
                  <c:v>2017.II</c:v>
                </c:pt>
                <c:pt idx="3">
                  <c:v>2017.III</c:v>
                </c:pt>
                <c:pt idx="4">
                  <c:v>2017.IV</c:v>
                </c:pt>
                <c:pt idx="5">
                  <c:v>2018.I</c:v>
                </c:pt>
                <c:pt idx="6">
                  <c:v>2018.II</c:v>
                </c:pt>
                <c:pt idx="7">
                  <c:v>2018.III</c:v>
                </c:pt>
                <c:pt idx="8">
                  <c:v>2018.IV</c:v>
                </c:pt>
                <c:pt idx="9">
                  <c:v>2019.I</c:v>
                </c:pt>
                <c:pt idx="10">
                  <c:v>2019.II</c:v>
                </c:pt>
                <c:pt idx="11">
                  <c:v>2019.III</c:v>
                </c:pt>
                <c:pt idx="12">
                  <c:v>2019.IV</c:v>
                </c:pt>
                <c:pt idx="13">
                  <c:v>2020.I</c:v>
                </c:pt>
                <c:pt idx="14">
                  <c:v>2020.II</c:v>
                </c:pt>
                <c:pt idx="15">
                  <c:v>2020.III</c:v>
                </c:pt>
                <c:pt idx="16">
                  <c:v>2020.IV</c:v>
                </c:pt>
                <c:pt idx="17">
                  <c:v>2021.I</c:v>
                </c:pt>
                <c:pt idx="18">
                  <c:v>2021.II</c:v>
                </c:pt>
                <c:pt idx="19">
                  <c:v>2021.III</c:v>
                </c:pt>
                <c:pt idx="20">
                  <c:v>2021.IV</c:v>
                </c:pt>
              </c:strCache>
              <c:extLst/>
            </c:strRef>
          </c:cat>
          <c:val>
            <c:numRef>
              <c:f>'Graph (2)'!$C$35:$C$55</c:f>
              <c:numCache>
                <c:formatCode>General</c:formatCode>
                <c:ptCount val="21"/>
                <c:pt idx="0">
                  <c:v>5</c:v>
                </c:pt>
                <c:pt idx="1">
                  <c:v>5</c:v>
                </c:pt>
                <c:pt idx="2">
                  <c:v>5</c:v>
                </c:pt>
                <c:pt idx="3">
                  <c:v>5</c:v>
                </c:pt>
                <c:pt idx="4">
                  <c:v>6</c:v>
                </c:pt>
                <c:pt idx="5">
                  <c:v>6</c:v>
                </c:pt>
                <c:pt idx="6">
                  <c:v>6</c:v>
                </c:pt>
                <c:pt idx="7">
                  <c:v>8</c:v>
                </c:pt>
                <c:pt idx="8">
                  <c:v>8</c:v>
                </c:pt>
                <c:pt idx="9">
                  <c:v>8</c:v>
                </c:pt>
                <c:pt idx="10">
                  <c:v>8</c:v>
                </c:pt>
                <c:pt idx="11">
                  <c:v>8</c:v>
                </c:pt>
                <c:pt idx="12">
                  <c:v>8</c:v>
                </c:pt>
                <c:pt idx="13">
                  <c:v>8</c:v>
                </c:pt>
                <c:pt idx="14">
                  <c:v>8</c:v>
                </c:pt>
                <c:pt idx="15">
                  <c:v>8</c:v>
                </c:pt>
                <c:pt idx="16">
                  <c:v>8</c:v>
                </c:pt>
                <c:pt idx="17">
                  <c:v>8</c:v>
                </c:pt>
                <c:pt idx="18">
                  <c:v>8</c:v>
                </c:pt>
                <c:pt idx="19">
                  <c:v>8</c:v>
                </c:pt>
                <c:pt idx="20">
                  <c:v>8</c:v>
                </c:pt>
              </c:numCache>
              <c:extLst/>
            </c:numRef>
          </c:val>
          <c:smooth val="0"/>
          <c:extLst>
            <c:ext xmlns:c16="http://schemas.microsoft.com/office/drawing/2014/chart" uri="{C3380CC4-5D6E-409C-BE32-E72D297353CC}">
              <c16:uniqueId val="{0000002C-4205-4DFF-8F0C-05C1AF9EA729}"/>
            </c:ext>
          </c:extLst>
        </c:ser>
        <c:ser>
          <c:idx val="2"/>
          <c:order val="2"/>
          <c:tx>
            <c:strRef>
              <c:f>'Graph (2)'!$D$4</c:f>
              <c:strCache>
                <c:ptCount val="1"/>
                <c:pt idx="0">
                  <c:v>Эс энд Пи</c:v>
                </c:pt>
              </c:strCache>
            </c:strRef>
          </c:tx>
          <c:spPr>
            <a:ln w="28575" cap="rnd">
              <a:solidFill>
                <a:srgbClr val="00B050"/>
              </a:solidFill>
              <a:prstDash val="dashDot"/>
              <a:round/>
            </a:ln>
            <a:effectLst/>
          </c:spPr>
          <c:marker>
            <c:symbol val="none"/>
          </c:marker>
          <c:dPt>
            <c:idx val="0"/>
            <c:marker>
              <c:symbol val="square"/>
              <c:size val="7"/>
              <c:spPr>
                <a:solidFill>
                  <a:schemeClr val="accent2"/>
                </a:solidFill>
                <a:ln w="9525">
                  <a:solidFill>
                    <a:schemeClr val="accent3"/>
                  </a:solidFill>
                </a:ln>
                <a:effectLst/>
              </c:spPr>
            </c:marker>
            <c:bubble3D val="0"/>
            <c:extLst>
              <c:ext xmlns:c16="http://schemas.microsoft.com/office/drawing/2014/chart" uri="{C3380CC4-5D6E-409C-BE32-E72D297353CC}">
                <c16:uniqueId val="{0000002D-4205-4DFF-8F0C-05C1AF9EA729}"/>
              </c:ext>
            </c:extLst>
          </c:dPt>
          <c:dPt>
            <c:idx val="3"/>
            <c:marker>
              <c:symbol val="none"/>
            </c:marker>
            <c:bubble3D val="0"/>
            <c:extLst>
              <c:ext xmlns:c16="http://schemas.microsoft.com/office/drawing/2014/chart" uri="{C3380CC4-5D6E-409C-BE32-E72D297353CC}">
                <c16:uniqueId val="{0000002E-4205-4DFF-8F0C-05C1AF9EA729}"/>
              </c:ext>
            </c:extLst>
          </c:dPt>
          <c:dPt>
            <c:idx val="6"/>
            <c:marker>
              <c:symbol val="circle"/>
              <c:size val="7"/>
              <c:spPr>
                <a:solidFill>
                  <a:srgbClr val="00B050"/>
                </a:solidFill>
                <a:ln w="9525">
                  <a:solidFill>
                    <a:schemeClr val="accent3"/>
                  </a:solidFill>
                </a:ln>
                <a:effectLst/>
              </c:spPr>
            </c:marker>
            <c:bubble3D val="0"/>
            <c:extLst>
              <c:ext xmlns:c16="http://schemas.microsoft.com/office/drawing/2014/chart" uri="{C3380CC4-5D6E-409C-BE32-E72D297353CC}">
                <c16:uniqueId val="{0000002F-4205-4DFF-8F0C-05C1AF9EA729}"/>
              </c:ext>
            </c:extLst>
          </c:dPt>
          <c:dPt>
            <c:idx val="8"/>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0-4205-4DFF-8F0C-05C1AF9EA729}"/>
              </c:ext>
            </c:extLst>
          </c:dPt>
          <c:dPt>
            <c:idx val="11"/>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1-4205-4DFF-8F0C-05C1AF9EA729}"/>
              </c:ext>
            </c:extLst>
          </c:dPt>
          <c:dPt>
            <c:idx val="14"/>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2-4205-4DFF-8F0C-05C1AF9EA729}"/>
              </c:ext>
            </c:extLst>
          </c:dPt>
          <c:dPt>
            <c:idx val="15"/>
            <c:marker>
              <c:symbol val="square"/>
              <c:size val="7"/>
              <c:spPr>
                <a:solidFill>
                  <a:schemeClr val="accent2"/>
                </a:solidFill>
                <a:ln w="9525">
                  <a:noFill/>
                </a:ln>
                <a:effectLst/>
              </c:spPr>
            </c:marker>
            <c:bubble3D val="0"/>
            <c:extLst>
              <c:ext xmlns:c16="http://schemas.microsoft.com/office/drawing/2014/chart" uri="{C3380CC4-5D6E-409C-BE32-E72D297353CC}">
                <c16:uniqueId val="{00000033-4205-4DFF-8F0C-05C1AF9EA729}"/>
              </c:ext>
            </c:extLst>
          </c:dPt>
          <c:dPt>
            <c:idx val="16"/>
            <c:marker>
              <c:symbol val="none"/>
            </c:marker>
            <c:bubble3D val="0"/>
            <c:extLst>
              <c:ext xmlns:c16="http://schemas.microsoft.com/office/drawing/2014/chart" uri="{C3380CC4-5D6E-409C-BE32-E72D297353CC}">
                <c16:uniqueId val="{00000034-4205-4DFF-8F0C-05C1AF9EA729}"/>
              </c:ext>
            </c:extLst>
          </c:dPt>
          <c:dPt>
            <c:idx val="17"/>
            <c:marker>
              <c:symbol val="none"/>
            </c:marker>
            <c:bubble3D val="0"/>
            <c:extLst>
              <c:ext xmlns:c16="http://schemas.microsoft.com/office/drawing/2014/chart" uri="{C3380CC4-5D6E-409C-BE32-E72D297353CC}">
                <c16:uniqueId val="{00000035-4205-4DFF-8F0C-05C1AF9EA729}"/>
              </c:ext>
            </c:extLst>
          </c:dPt>
          <c:dPt>
            <c:idx val="18"/>
            <c:marker>
              <c:symbol val="square"/>
              <c:size val="7"/>
              <c:spPr>
                <a:solidFill>
                  <a:schemeClr val="accent2"/>
                </a:solidFill>
                <a:ln w="9525">
                  <a:noFill/>
                </a:ln>
                <a:effectLst/>
              </c:spPr>
            </c:marker>
            <c:bubble3D val="0"/>
            <c:extLst>
              <c:ext xmlns:c16="http://schemas.microsoft.com/office/drawing/2014/chart" uri="{C3380CC4-5D6E-409C-BE32-E72D297353CC}">
                <c16:uniqueId val="{00000036-4205-4DFF-8F0C-05C1AF9EA729}"/>
              </c:ext>
            </c:extLst>
          </c:dPt>
          <c:dPt>
            <c:idx val="19"/>
            <c:marker>
              <c:symbol val="circle"/>
              <c:size val="7"/>
              <c:spPr>
                <a:solidFill>
                  <a:srgbClr val="00B050"/>
                </a:solidFill>
                <a:ln w="9525">
                  <a:noFill/>
                </a:ln>
                <a:effectLst/>
              </c:spPr>
            </c:marker>
            <c:bubble3D val="0"/>
            <c:extLst>
              <c:ext xmlns:c16="http://schemas.microsoft.com/office/drawing/2014/chart" uri="{C3380CC4-5D6E-409C-BE32-E72D297353CC}">
                <c16:uniqueId val="{00000037-4205-4DFF-8F0C-05C1AF9EA729}"/>
              </c:ext>
            </c:extLst>
          </c:dPt>
          <c:dPt>
            <c:idx val="21"/>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8-4205-4DFF-8F0C-05C1AF9EA729}"/>
              </c:ext>
            </c:extLst>
          </c:dPt>
          <c:dPt>
            <c:idx val="22"/>
            <c:marker>
              <c:symbol val="none"/>
            </c:marker>
            <c:bubble3D val="0"/>
            <c:extLst>
              <c:ext xmlns:c16="http://schemas.microsoft.com/office/drawing/2014/chart" uri="{C3380CC4-5D6E-409C-BE32-E72D297353CC}">
                <c16:uniqueId val="{00000039-4205-4DFF-8F0C-05C1AF9EA729}"/>
              </c:ext>
            </c:extLst>
          </c:dPt>
          <c:dPt>
            <c:idx val="26"/>
            <c:marker>
              <c:symbol val="none"/>
            </c:marker>
            <c:bubble3D val="0"/>
            <c:extLst>
              <c:ext xmlns:c16="http://schemas.microsoft.com/office/drawing/2014/chart" uri="{C3380CC4-5D6E-409C-BE32-E72D297353CC}">
                <c16:uniqueId val="{0000003A-4205-4DFF-8F0C-05C1AF9EA729}"/>
              </c:ext>
            </c:extLst>
          </c:dPt>
          <c:dPt>
            <c:idx val="28"/>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B-4205-4DFF-8F0C-05C1AF9EA729}"/>
              </c:ext>
            </c:extLst>
          </c:dPt>
          <c:dPt>
            <c:idx val="29"/>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C-4205-4DFF-8F0C-05C1AF9EA729}"/>
              </c:ext>
            </c:extLst>
          </c:dPt>
          <c:dPt>
            <c:idx val="30"/>
            <c:marker>
              <c:symbol val="none"/>
            </c:marker>
            <c:bubble3D val="0"/>
            <c:extLst>
              <c:ext xmlns:c16="http://schemas.microsoft.com/office/drawing/2014/chart" uri="{C3380CC4-5D6E-409C-BE32-E72D297353CC}">
                <c16:uniqueId val="{0000003D-4205-4DFF-8F0C-05C1AF9EA729}"/>
              </c:ext>
            </c:extLst>
          </c:dPt>
          <c:dPt>
            <c:idx val="31"/>
            <c:marker>
              <c:symbol val="none"/>
            </c:marker>
            <c:bubble3D val="0"/>
            <c:extLst>
              <c:ext xmlns:c16="http://schemas.microsoft.com/office/drawing/2014/chart" uri="{C3380CC4-5D6E-409C-BE32-E72D297353CC}">
                <c16:uniqueId val="{0000003E-4205-4DFF-8F0C-05C1AF9EA729}"/>
              </c:ext>
            </c:extLst>
          </c:dPt>
          <c:dPt>
            <c:idx val="32"/>
            <c:marker>
              <c:symbol val="none"/>
            </c:marker>
            <c:bubble3D val="0"/>
            <c:extLst>
              <c:ext xmlns:c16="http://schemas.microsoft.com/office/drawing/2014/chart" uri="{C3380CC4-5D6E-409C-BE32-E72D297353CC}">
                <c16:uniqueId val="{0000003F-4205-4DFF-8F0C-05C1AF9EA729}"/>
              </c:ext>
            </c:extLst>
          </c:dPt>
          <c:dPt>
            <c:idx val="34"/>
            <c:marker>
              <c:symbol val="none"/>
            </c:marker>
            <c:bubble3D val="0"/>
            <c:extLst>
              <c:ext xmlns:c16="http://schemas.microsoft.com/office/drawing/2014/chart" uri="{C3380CC4-5D6E-409C-BE32-E72D297353CC}">
                <c16:uniqueId val="{00000040-4205-4DFF-8F0C-05C1AF9EA729}"/>
              </c:ext>
            </c:extLst>
          </c:dPt>
          <c:dPt>
            <c:idx val="35"/>
            <c:marker>
              <c:symbol val="none"/>
            </c:marker>
            <c:bubble3D val="0"/>
            <c:extLst>
              <c:ext xmlns:c16="http://schemas.microsoft.com/office/drawing/2014/chart" uri="{C3380CC4-5D6E-409C-BE32-E72D297353CC}">
                <c16:uniqueId val="{00000041-4205-4DFF-8F0C-05C1AF9EA729}"/>
              </c:ext>
            </c:extLst>
          </c:dPt>
          <c:dPt>
            <c:idx val="36"/>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42-4205-4DFF-8F0C-05C1AF9EA729}"/>
              </c:ext>
            </c:extLst>
          </c:dPt>
          <c:dPt>
            <c:idx val="37"/>
            <c:marker>
              <c:symbol val="none"/>
            </c:marker>
            <c:bubble3D val="0"/>
            <c:extLst>
              <c:ext xmlns:c16="http://schemas.microsoft.com/office/drawing/2014/chart" uri="{C3380CC4-5D6E-409C-BE32-E72D297353CC}">
                <c16:uniqueId val="{00000043-4205-4DFF-8F0C-05C1AF9EA729}"/>
              </c:ext>
            </c:extLst>
          </c:dPt>
          <c:dPt>
            <c:idx val="38"/>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44-4205-4DFF-8F0C-05C1AF9EA729}"/>
              </c:ext>
            </c:extLst>
          </c:dPt>
          <c:dPt>
            <c:idx val="42"/>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45-4205-4DFF-8F0C-05C1AF9EA729}"/>
              </c:ext>
            </c:extLst>
          </c:dPt>
          <c:dPt>
            <c:idx val="44"/>
            <c:marker>
              <c:symbol val="circle"/>
              <c:size val="5"/>
              <c:spPr>
                <a:solidFill>
                  <a:srgbClr val="00B050"/>
                </a:solidFill>
                <a:ln w="31750">
                  <a:solidFill>
                    <a:srgbClr val="00B050"/>
                  </a:solidFill>
                </a:ln>
                <a:effectLst/>
              </c:spPr>
            </c:marker>
            <c:bubble3D val="0"/>
            <c:extLst>
              <c:ext xmlns:c16="http://schemas.microsoft.com/office/drawing/2014/chart" uri="{C3380CC4-5D6E-409C-BE32-E72D297353CC}">
                <c16:uniqueId val="{00000046-4205-4DFF-8F0C-05C1AF9EA729}"/>
              </c:ext>
            </c:extLst>
          </c:dPt>
          <c:dPt>
            <c:idx val="45"/>
            <c:marker>
              <c:symbol val="circle"/>
              <c:size val="8"/>
              <c:spPr>
                <a:solidFill>
                  <a:srgbClr val="00B050"/>
                </a:solidFill>
                <a:ln w="9525">
                  <a:solidFill>
                    <a:srgbClr val="00B050"/>
                  </a:solidFill>
                </a:ln>
                <a:effectLst/>
              </c:spPr>
            </c:marker>
            <c:bubble3D val="0"/>
            <c:extLst>
              <c:ext xmlns:c16="http://schemas.microsoft.com/office/drawing/2014/chart" uri="{C3380CC4-5D6E-409C-BE32-E72D297353CC}">
                <c16:uniqueId val="{00000047-4205-4DFF-8F0C-05C1AF9EA729}"/>
              </c:ext>
            </c:extLst>
          </c:dPt>
          <c:dLbls>
            <c:dLbl>
              <c:idx val="8"/>
              <c:layout>
                <c:manualLayout>
                  <c:x val="-2.9304049383688892E-2"/>
                  <c:y val="-5.3255186281676727E-2"/>
                </c:manualLayout>
              </c:layout>
              <c:tx>
                <c:rich>
                  <a:bodyPr/>
                  <a:lstStyle/>
                  <a:p>
                    <a:r>
                      <a:rPr lang="en-US"/>
                      <a:t>B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4205-4DFF-8F0C-05C1AF9EA729}"/>
                </c:ext>
              </c:extLst>
            </c:dLbl>
            <c:dLbl>
              <c:idx val="17"/>
              <c:layout>
                <c:manualLayout>
                  <c:x val="-7.3881959142140852E-2"/>
                  <c:y val="-6.2491344585193988E-2"/>
                </c:manualLayout>
              </c:layout>
              <c:tx>
                <c:rich>
                  <a:bodyPr/>
                  <a:lstStyle/>
                  <a:p>
                    <a:r>
                      <a:rPr lang="en-US"/>
                      <a:t>B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4205-4DFF-8F0C-05C1AF9EA729}"/>
                </c:ext>
              </c:extLst>
            </c:dLbl>
            <c:dLbl>
              <c:idx val="18"/>
              <c:layout>
                <c:manualLayout>
                  <c:x val="-1.5965930941978276E-2"/>
                  <c:y val="-5.3328502736504572E-2"/>
                </c:manualLayout>
              </c:layout>
              <c:tx>
                <c:rich>
                  <a:bodyPr/>
                  <a:lstStyle/>
                  <a:p>
                    <a:r>
                      <a:rPr lang="en-US"/>
                      <a:t>B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4205-4DFF-8F0C-05C1AF9EA729}"/>
                </c:ext>
              </c:extLst>
            </c:dLbl>
            <c:dLbl>
              <c:idx val="21"/>
              <c:layout>
                <c:manualLayout>
                  <c:x val="-1.098901098901099E-2"/>
                  <c:y val="-1.8430753027909426E-2"/>
                </c:manualLayout>
              </c:layout>
              <c:tx>
                <c:rich>
                  <a:bodyPr/>
                  <a:lstStyle/>
                  <a:p>
                    <a:r>
                      <a:rPr lang="mn-MN"/>
                      <a:t>В+</a:t>
                    </a:r>
                    <a:r>
                      <a:rPr lang="mn-MN" baseline="0"/>
                      <a:t> тогтвортой </a:t>
                    </a:r>
                    <a:endParaRPr lang="mn-MN"/>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38-4205-4DFF-8F0C-05C1AF9EA729}"/>
                </c:ext>
              </c:extLst>
            </c:dLbl>
            <c:dLbl>
              <c:idx val="28"/>
              <c:layout>
                <c:manualLayout>
                  <c:x val="-4.0293040293040427E-2"/>
                  <c:y val="-2.3696682464455023E-2"/>
                </c:manualLayout>
              </c:layout>
              <c:tx>
                <c:rich>
                  <a:bodyPr/>
                  <a:lstStyle/>
                  <a:p>
                    <a:r>
                      <a:rPr lang="mn-MN"/>
                      <a:t>В</a:t>
                    </a:r>
                    <a:r>
                      <a:rPr lang="mn-MN" baseline="0"/>
                      <a:t> тогтвортой</a:t>
                    </a:r>
                    <a:endParaRPr lang="mn-MN"/>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3B-4205-4DFF-8F0C-05C1AF9EA729}"/>
                </c:ext>
              </c:extLst>
            </c:dLbl>
            <c:dLbl>
              <c:idx val="29"/>
              <c:layout>
                <c:manualLayout>
                  <c:x val="-5.128205128205128E-2"/>
                  <c:y val="1.8430753027909426E-2"/>
                </c:manualLayout>
              </c:layout>
              <c:tx>
                <c:rich>
                  <a:bodyPr/>
                  <a:lstStyle/>
                  <a:p>
                    <a:r>
                      <a:rPr lang="mn-MN"/>
                      <a:t>В-тогтвортой</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3C-4205-4DFF-8F0C-05C1AF9EA729}"/>
                </c:ext>
              </c:extLst>
            </c:dLbl>
            <c:dLbl>
              <c:idx val="38"/>
              <c:layout>
                <c:manualLayout>
                  <c:x val="0"/>
                  <c:y val="-2.3696682464455023E-2"/>
                </c:manualLayout>
              </c:layout>
              <c:tx>
                <c:rich>
                  <a:bodyPr/>
                  <a:lstStyle/>
                  <a:p>
                    <a:r>
                      <a:rPr lang="mn-MN"/>
                      <a:t>В</a:t>
                    </a:r>
                    <a:r>
                      <a:rPr lang="mn-MN" baseline="0"/>
                      <a:t> тогтвортой</a:t>
                    </a:r>
                    <a:endParaRPr lang="mn-MN"/>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4205-4DFF-8F0C-05C1AF9EA729}"/>
                </c:ext>
              </c:extLst>
            </c:dLbl>
            <c:dLbl>
              <c:idx val="44"/>
              <c:layout>
                <c:manualLayout>
                  <c:x val="-3.4797828413338297E-2"/>
                  <c:y val="-3.7936267071320182E-2"/>
                </c:manualLayout>
              </c:layout>
              <c:tx>
                <c:rich>
                  <a:bodyPr rot="0" spcFirstLastPara="1" vertOverflow="ellipsis" vert="horz" wrap="square" anchor="ctr" anchorCtr="1"/>
                  <a:lstStyle/>
                  <a:p>
                    <a:pPr algn="ctr" rtl="0">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z-Cyrl-AZ" sz="1100" b="1"/>
                      <a:t>В тогтвортой</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4205-4DFF-8F0C-05C1AF9EA729}"/>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'Graph (2)'!$A$35:$A$55</c:f>
              <c:strCache>
                <c:ptCount val="21"/>
                <c:pt idx="0">
                  <c:v>2016.IV</c:v>
                </c:pt>
                <c:pt idx="1">
                  <c:v>2017.I</c:v>
                </c:pt>
                <c:pt idx="2">
                  <c:v>2017.II</c:v>
                </c:pt>
                <c:pt idx="3">
                  <c:v>2017.III</c:v>
                </c:pt>
                <c:pt idx="4">
                  <c:v>2017.IV</c:v>
                </c:pt>
                <c:pt idx="5">
                  <c:v>2018.I</c:v>
                </c:pt>
                <c:pt idx="6">
                  <c:v>2018.II</c:v>
                </c:pt>
                <c:pt idx="7">
                  <c:v>2018.III</c:v>
                </c:pt>
                <c:pt idx="8">
                  <c:v>2018.IV</c:v>
                </c:pt>
                <c:pt idx="9">
                  <c:v>2019.I</c:v>
                </c:pt>
                <c:pt idx="10">
                  <c:v>2019.II</c:v>
                </c:pt>
                <c:pt idx="11">
                  <c:v>2019.III</c:v>
                </c:pt>
                <c:pt idx="12">
                  <c:v>2019.IV</c:v>
                </c:pt>
                <c:pt idx="13">
                  <c:v>2020.I</c:v>
                </c:pt>
                <c:pt idx="14">
                  <c:v>2020.II</c:v>
                </c:pt>
                <c:pt idx="15">
                  <c:v>2020.III</c:v>
                </c:pt>
                <c:pt idx="16">
                  <c:v>2020.IV</c:v>
                </c:pt>
                <c:pt idx="17">
                  <c:v>2021.I</c:v>
                </c:pt>
                <c:pt idx="18">
                  <c:v>2021.II</c:v>
                </c:pt>
                <c:pt idx="19">
                  <c:v>2021.III</c:v>
                </c:pt>
                <c:pt idx="20">
                  <c:v>2021.IV</c:v>
                </c:pt>
              </c:strCache>
              <c:extLst/>
            </c:strRef>
          </c:cat>
          <c:val>
            <c:numRef>
              <c:f>'Graph (2)'!$D$35:$D$55</c:f>
              <c:numCache>
                <c:formatCode>General</c:formatCode>
                <c:ptCount val="21"/>
                <c:pt idx="0">
                  <c:v>5</c:v>
                </c:pt>
                <c:pt idx="1">
                  <c:v>5</c:v>
                </c:pt>
                <c:pt idx="2">
                  <c:v>5</c:v>
                </c:pt>
                <c:pt idx="3">
                  <c:v>5</c:v>
                </c:pt>
                <c:pt idx="4">
                  <c:v>5</c:v>
                </c:pt>
                <c:pt idx="5">
                  <c:v>5</c:v>
                </c:pt>
                <c:pt idx="6">
                  <c:v>5</c:v>
                </c:pt>
                <c:pt idx="7">
                  <c:v>5</c:v>
                </c:pt>
                <c:pt idx="8">
                  <c:v>8</c:v>
                </c:pt>
                <c:pt idx="9">
                  <c:v>8</c:v>
                </c:pt>
                <c:pt idx="10">
                  <c:v>8</c:v>
                </c:pt>
                <c:pt idx="11">
                  <c:v>8</c:v>
                </c:pt>
                <c:pt idx="12">
                  <c:v>8</c:v>
                </c:pt>
                <c:pt idx="13">
                  <c:v>8</c:v>
                </c:pt>
                <c:pt idx="14">
                  <c:v>8</c:v>
                </c:pt>
                <c:pt idx="15">
                  <c:v>8</c:v>
                </c:pt>
                <c:pt idx="16">
                  <c:v>8</c:v>
                </c:pt>
                <c:pt idx="17">
                  <c:v>8</c:v>
                </c:pt>
                <c:pt idx="18">
                  <c:v>8</c:v>
                </c:pt>
                <c:pt idx="19">
                  <c:v>8</c:v>
                </c:pt>
                <c:pt idx="20">
                  <c:v>8</c:v>
                </c:pt>
              </c:numCache>
              <c:extLst/>
            </c:numRef>
          </c:val>
          <c:smooth val="0"/>
          <c:extLst>
            <c:ext xmlns:c16="http://schemas.microsoft.com/office/drawing/2014/chart" uri="{C3380CC4-5D6E-409C-BE32-E72D297353CC}">
              <c16:uniqueId val="{00000048-4205-4DFF-8F0C-05C1AF9EA729}"/>
            </c:ext>
          </c:extLst>
        </c:ser>
        <c:dLbls>
          <c:showLegendKey val="0"/>
          <c:showVal val="0"/>
          <c:showCatName val="0"/>
          <c:showSerName val="0"/>
          <c:showPercent val="0"/>
          <c:showBubbleSize val="0"/>
        </c:dLbls>
        <c:smooth val="0"/>
        <c:axId val="360132296"/>
        <c:axId val="360132624"/>
      </c:lineChart>
      <c:catAx>
        <c:axId val="3601322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60132624"/>
        <c:crosses val="autoZero"/>
        <c:auto val="1"/>
        <c:lblAlgn val="ctr"/>
        <c:lblOffset val="100"/>
        <c:tickMarkSkip val="1"/>
        <c:noMultiLvlLbl val="0"/>
      </c:catAx>
      <c:valAx>
        <c:axId val="360132624"/>
        <c:scaling>
          <c:orientation val="minMax"/>
          <c:max val="15"/>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60132296"/>
        <c:crossesAt val="1"/>
        <c:crossBetween val="between"/>
        <c:majorUnit val="3"/>
      </c:valAx>
      <c:spPr>
        <a:noFill/>
        <a:ln>
          <a:noFill/>
        </a:ln>
        <a:effectLst/>
      </c:spPr>
    </c:plotArea>
    <c:legend>
      <c:legendPos val="r"/>
      <c:layout>
        <c:manualLayout>
          <c:xMode val="edge"/>
          <c:yMode val="edge"/>
          <c:x val="3.0802669564696064E-4"/>
          <c:y val="2.8580573769742199E-3"/>
          <c:w val="0.76637924610560404"/>
          <c:h val="8.7536759934562697E-2"/>
        </c:manualLayout>
      </c:layout>
      <c:overlay val="0"/>
      <c:spPr>
        <a:noFill/>
        <a:ln>
          <a:noFill/>
        </a:ln>
        <a:effectLst/>
      </c:spPr>
      <c:txPr>
        <a:bodyPr rot="0" spcFirstLastPara="1" vertOverflow="ellipsis" vert="horz" wrap="square" anchor="ctr" anchorCtr="1"/>
        <a:lstStyle/>
        <a:p>
          <a:pPr rtl="0">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3.png"/></Relationships>
</file>

<file path=word/drawings/_rels/drawing4.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0.28808</cdr:x>
      <cdr:y>0.11768</cdr:y>
    </cdr:from>
    <cdr:to>
      <cdr:x>0.57504</cdr:x>
      <cdr:y>0.6897</cdr:y>
    </cdr:to>
    <cdr:sp macro="" textlink="">
      <cdr:nvSpPr>
        <cdr:cNvPr id="2" name="Rectangle 1">
          <a:extLst xmlns:a="http://schemas.openxmlformats.org/drawingml/2006/main">
            <a:ext uri="{FF2B5EF4-FFF2-40B4-BE49-F238E27FC236}">
              <a16:creationId xmlns:a16="http://schemas.microsoft.com/office/drawing/2014/main" id="{5E895A59-6C5E-4848-8000-B4BD168E9449}"/>
            </a:ext>
          </a:extLst>
        </cdr:cNvPr>
        <cdr:cNvSpPr/>
      </cdr:nvSpPr>
      <cdr:spPr>
        <a:xfrm xmlns:a="http://schemas.openxmlformats.org/drawingml/2006/main">
          <a:off x="748187" y="276627"/>
          <a:ext cx="745278" cy="1344704"/>
        </a:xfrm>
        <a:prstGeom xmlns:a="http://schemas.openxmlformats.org/drawingml/2006/main" prst="rect">
          <a:avLst/>
        </a:prstGeom>
        <a:noFill xmlns:a="http://schemas.openxmlformats.org/drawingml/2006/main"/>
        <a:ln xmlns:a="http://schemas.openxmlformats.org/drawingml/2006/main" w="19050">
          <a:solidFill>
            <a:schemeClr val="accent1"/>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30971" tIns="30256" rIns="30971" bIns="30256"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spcBef>
              <a:spcPts val="265"/>
            </a:spcBef>
          </a:pPr>
          <a:endParaRPr lang="en-US" sz="530" err="1">
            <a:solidFill>
              <a:schemeClr val="bg1"/>
            </a:solidFill>
          </a:endParaRPr>
        </a:p>
      </cdr:txBody>
    </cdr:sp>
  </cdr:relSizeAnchor>
  <cdr:relSizeAnchor xmlns:cdr="http://schemas.openxmlformats.org/drawingml/2006/chartDrawing">
    <cdr:from>
      <cdr:x>0.60393</cdr:x>
      <cdr:y>0.08702</cdr:y>
    </cdr:from>
    <cdr:to>
      <cdr:x>0.78219</cdr:x>
      <cdr:y>0.30226</cdr:y>
    </cdr:to>
    <cdr:pic>
      <cdr:nvPicPr>
        <cdr:cNvPr id="3" name="Graphic 17" descr="Back">
          <a:extLst xmlns:a="http://schemas.openxmlformats.org/drawingml/2006/main">
            <a:ext uri="{FF2B5EF4-FFF2-40B4-BE49-F238E27FC236}">
              <a16:creationId xmlns:a16="http://schemas.microsoft.com/office/drawing/2014/main" id="{3720D3C3-248D-42AF-8B7B-1858ADB4EB3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 uri="{96DAC541-7B7A-43D3-8B79-37D633B846F1}">
              <asvg:svgBlip xmlns="" xmlns:asvg="http://schemas.microsoft.com/office/drawing/2016/SVG/main" r:embed="rId2"/>
            </a:ext>
          </a:extLst>
        </a:blip>
        <a:stretch xmlns:a="http://schemas.openxmlformats.org/drawingml/2006/main">
          <a:fillRect/>
        </a:stretch>
      </cdr:blipFill>
      <cdr:spPr>
        <a:xfrm xmlns:a="http://schemas.openxmlformats.org/drawingml/2006/main" rot="3203663">
          <a:off x="1546978" y="226059"/>
          <a:ext cx="505981" cy="462969"/>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0.31444</cdr:x>
      <cdr:y>0.10857</cdr:y>
    </cdr:from>
    <cdr:to>
      <cdr:x>0.66298</cdr:x>
      <cdr:y>0.76249</cdr:y>
    </cdr:to>
    <cdr:sp macro="" textlink="">
      <cdr:nvSpPr>
        <cdr:cNvPr id="2" name="Rectangle 1">
          <a:extLst xmlns:a="http://schemas.openxmlformats.org/drawingml/2006/main">
            <a:ext uri="{FF2B5EF4-FFF2-40B4-BE49-F238E27FC236}">
              <a16:creationId xmlns:a16="http://schemas.microsoft.com/office/drawing/2014/main" id="{2392EB33-27D1-457B-AF3D-18569278991C}"/>
            </a:ext>
          </a:extLst>
        </cdr:cNvPr>
        <cdr:cNvSpPr/>
      </cdr:nvSpPr>
      <cdr:spPr>
        <a:xfrm xmlns:a="http://schemas.openxmlformats.org/drawingml/2006/main">
          <a:off x="838200" y="252741"/>
          <a:ext cx="929126" cy="1522267"/>
        </a:xfrm>
        <a:prstGeom xmlns:a="http://schemas.openxmlformats.org/drawingml/2006/main" prst="rect">
          <a:avLst/>
        </a:prstGeom>
        <a:noFill xmlns:a="http://schemas.openxmlformats.org/drawingml/2006/main"/>
        <a:ln xmlns:a="http://schemas.openxmlformats.org/drawingml/2006/main" w="19050">
          <a:solidFill>
            <a:schemeClr val="accent1"/>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30971" tIns="30256" rIns="30971" bIns="30256"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spcBef>
              <a:spcPts val="265"/>
            </a:spcBef>
          </a:pPr>
          <a:endParaRPr lang="en-US" sz="530" err="1">
            <a:solidFill>
              <a:schemeClr val="bg1"/>
            </a:solidFill>
          </a:endParaRPr>
        </a:p>
      </cdr:txBody>
    </cdr:sp>
  </cdr:relSizeAnchor>
  <cdr:relSizeAnchor xmlns:cdr="http://schemas.openxmlformats.org/drawingml/2006/chartDrawing">
    <cdr:from>
      <cdr:x>0.54199</cdr:x>
      <cdr:y>0.16926</cdr:y>
    </cdr:from>
    <cdr:to>
      <cdr:x>0.66859</cdr:x>
      <cdr:y>0.43422</cdr:y>
    </cdr:to>
    <cdr:pic>
      <cdr:nvPicPr>
        <cdr:cNvPr id="3" name="Graphic 17" descr="Back">
          <a:extLst xmlns:a="http://schemas.openxmlformats.org/drawingml/2006/main">
            <a:ext uri="{FF2B5EF4-FFF2-40B4-BE49-F238E27FC236}">
              <a16:creationId xmlns:a16="http://schemas.microsoft.com/office/drawing/2014/main" id="{25BEDA9B-C71C-4393-B586-FE5444BCD5AB}"/>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 uri="{96DAC541-7B7A-43D3-8B79-37D633B846F1}">
              <asvg:svgBlip xmlns="" xmlns:asvg="http://schemas.microsoft.com/office/drawing/2016/SVG/main" r:embed="rId2"/>
            </a:ext>
          </a:extLst>
        </a:blip>
        <a:stretch xmlns:a="http://schemas.openxmlformats.org/drawingml/2006/main">
          <a:fillRect/>
        </a:stretch>
      </cdr:blipFill>
      <cdr:spPr>
        <a:xfrm xmlns:a="http://schemas.openxmlformats.org/drawingml/2006/main" rot="3448569">
          <a:off x="1305141" y="533679"/>
          <a:ext cx="616803" cy="337481"/>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0.27361</cdr:x>
      <cdr:y>0.10857</cdr:y>
    </cdr:from>
    <cdr:to>
      <cdr:x>0.66298</cdr:x>
      <cdr:y>0.77332</cdr:y>
    </cdr:to>
    <cdr:sp macro="" textlink="">
      <cdr:nvSpPr>
        <cdr:cNvPr id="2" name="Rectangle 1">
          <a:extLst xmlns:a="http://schemas.openxmlformats.org/drawingml/2006/main">
            <a:ext uri="{FF2B5EF4-FFF2-40B4-BE49-F238E27FC236}">
              <a16:creationId xmlns:a16="http://schemas.microsoft.com/office/drawing/2014/main" id="{2392EB33-27D1-457B-AF3D-18569278991C}"/>
            </a:ext>
          </a:extLst>
        </cdr:cNvPr>
        <cdr:cNvSpPr/>
      </cdr:nvSpPr>
      <cdr:spPr>
        <a:xfrm xmlns:a="http://schemas.openxmlformats.org/drawingml/2006/main">
          <a:off x="729370" y="252741"/>
          <a:ext cx="1037956" cy="1547484"/>
        </a:xfrm>
        <a:prstGeom xmlns:a="http://schemas.openxmlformats.org/drawingml/2006/main" prst="rect">
          <a:avLst/>
        </a:prstGeom>
        <a:noFill xmlns:a="http://schemas.openxmlformats.org/drawingml/2006/main"/>
        <a:ln xmlns:a="http://schemas.openxmlformats.org/drawingml/2006/main" w="19050">
          <a:solidFill>
            <a:schemeClr val="accent1"/>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30971" tIns="30256" rIns="30971" bIns="30256"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spcBef>
              <a:spcPts val="265"/>
            </a:spcBef>
          </a:pPr>
          <a:endParaRPr lang="en-US" sz="530" err="1">
            <a:solidFill>
              <a:schemeClr val="bg1"/>
            </a:solidFill>
          </a:endParaRPr>
        </a:p>
      </cdr:txBody>
    </cdr:sp>
  </cdr:relSizeAnchor>
  <cdr:relSizeAnchor xmlns:cdr="http://schemas.openxmlformats.org/drawingml/2006/chartDrawing">
    <cdr:from>
      <cdr:x>0.54199</cdr:x>
      <cdr:y>0.16926</cdr:y>
    </cdr:from>
    <cdr:to>
      <cdr:x>0.66859</cdr:x>
      <cdr:y>0.43422</cdr:y>
    </cdr:to>
    <cdr:pic>
      <cdr:nvPicPr>
        <cdr:cNvPr id="3" name="Graphic 17" descr="Back">
          <a:extLst xmlns:a="http://schemas.openxmlformats.org/drawingml/2006/main">
            <a:ext uri="{FF2B5EF4-FFF2-40B4-BE49-F238E27FC236}">
              <a16:creationId xmlns:a16="http://schemas.microsoft.com/office/drawing/2014/main" id="{25BEDA9B-C71C-4393-B586-FE5444BCD5AB}"/>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 uri="{96DAC541-7B7A-43D3-8B79-37D633B846F1}">
              <asvg:svgBlip xmlns="" xmlns:asvg="http://schemas.microsoft.com/office/drawing/2016/SVG/main" r:embed="rId2"/>
            </a:ext>
          </a:extLst>
        </a:blip>
        <a:stretch xmlns:a="http://schemas.openxmlformats.org/drawingml/2006/main">
          <a:fillRect/>
        </a:stretch>
      </cdr:blipFill>
      <cdr:spPr>
        <a:xfrm xmlns:a="http://schemas.openxmlformats.org/drawingml/2006/main" rot="3448569">
          <a:off x="1305141" y="533679"/>
          <a:ext cx="616803" cy="337481"/>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0.28808</cdr:x>
      <cdr:y>0.11498</cdr:y>
    </cdr:from>
    <cdr:to>
      <cdr:x>0.57504</cdr:x>
      <cdr:y>0.70502</cdr:y>
    </cdr:to>
    <cdr:sp macro="" textlink="">
      <cdr:nvSpPr>
        <cdr:cNvPr id="2" name="Rectangle 1">
          <a:extLst xmlns:a="http://schemas.openxmlformats.org/drawingml/2006/main">
            <a:ext uri="{FF2B5EF4-FFF2-40B4-BE49-F238E27FC236}">
              <a16:creationId xmlns:a16="http://schemas.microsoft.com/office/drawing/2014/main" id="{5E895A59-6C5E-4848-8000-B4BD168E9449}"/>
            </a:ext>
          </a:extLst>
        </cdr:cNvPr>
        <cdr:cNvSpPr/>
      </cdr:nvSpPr>
      <cdr:spPr>
        <a:xfrm xmlns:a="http://schemas.openxmlformats.org/drawingml/2006/main">
          <a:off x="748187" y="270292"/>
          <a:ext cx="745278" cy="1387058"/>
        </a:xfrm>
        <a:prstGeom xmlns:a="http://schemas.openxmlformats.org/drawingml/2006/main" prst="rect">
          <a:avLst/>
        </a:prstGeom>
        <a:noFill xmlns:a="http://schemas.openxmlformats.org/drawingml/2006/main"/>
        <a:ln xmlns:a="http://schemas.openxmlformats.org/drawingml/2006/main" w="19050">
          <a:solidFill>
            <a:schemeClr val="accent1"/>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30971" tIns="30256" rIns="30971" bIns="30256"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spcBef>
              <a:spcPts val="265"/>
            </a:spcBef>
          </a:pPr>
          <a:endParaRPr lang="en-US" sz="530" err="1">
            <a:solidFill>
              <a:schemeClr val="bg1"/>
            </a:solidFill>
          </a:endParaRPr>
        </a:p>
      </cdr:txBody>
    </cdr:sp>
  </cdr:relSizeAnchor>
  <cdr:relSizeAnchor xmlns:cdr="http://schemas.openxmlformats.org/drawingml/2006/chartDrawing">
    <cdr:from>
      <cdr:x>0.59904</cdr:x>
      <cdr:y>0.08432</cdr:y>
    </cdr:from>
    <cdr:to>
      <cdr:x>0.7773</cdr:x>
      <cdr:y>0.29956</cdr:y>
    </cdr:to>
    <cdr:pic>
      <cdr:nvPicPr>
        <cdr:cNvPr id="3" name="Graphic 17" descr="Back">
          <a:extLst xmlns:a="http://schemas.openxmlformats.org/drawingml/2006/main">
            <a:ext uri="{FF2B5EF4-FFF2-40B4-BE49-F238E27FC236}">
              <a16:creationId xmlns:a16="http://schemas.microsoft.com/office/drawing/2014/main" id="{3720D3C3-248D-42AF-8B7B-1858ADB4EB3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 uri="{96DAC541-7B7A-43D3-8B79-37D633B846F1}">
              <asvg:svgBlip xmlns="" xmlns:asvg="http://schemas.microsoft.com/office/drawing/2016/SVG/main" r:embed="rId2"/>
            </a:ext>
          </a:extLst>
        </a:blip>
        <a:stretch xmlns:a="http://schemas.openxmlformats.org/drawingml/2006/main">
          <a:fillRect/>
        </a:stretch>
      </cdr:blipFill>
      <cdr:spPr>
        <a:xfrm xmlns:a="http://schemas.openxmlformats.org/drawingml/2006/main" rot="3203663">
          <a:off x="1534290" y="219720"/>
          <a:ext cx="505980" cy="462968"/>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0.01014</cdr:x>
      <cdr:y>0.00851</cdr:y>
    </cdr:from>
    <cdr:to>
      <cdr:x>0.7705</cdr:x>
      <cdr:y>0.13046</cdr:y>
    </cdr:to>
    <cdr:sp macro="" textlink="">
      <cdr:nvSpPr>
        <cdr:cNvPr id="2" name="TextBox 1">
          <a:extLst xmlns:a="http://schemas.openxmlformats.org/drawingml/2006/main">
            <a:ext uri="{FF2B5EF4-FFF2-40B4-BE49-F238E27FC236}">
              <a16:creationId xmlns:a16="http://schemas.microsoft.com/office/drawing/2014/main" id="{CB6506F7-655E-4158-842D-84423CD0F672}"/>
            </a:ext>
          </a:extLst>
        </cdr:cNvPr>
        <cdr:cNvSpPr txBox="1"/>
      </cdr:nvSpPr>
      <cdr:spPr>
        <a:xfrm xmlns:a="http://schemas.openxmlformats.org/drawingml/2006/main">
          <a:off x="31486" y="19535"/>
          <a:ext cx="2361031" cy="279948"/>
        </a:xfrm>
        <a:prstGeom xmlns:a="http://schemas.openxmlformats.org/drawingml/2006/main" prst="rect">
          <a:avLst/>
        </a:prstGeom>
      </cdr:spPr>
      <cdr:txBody>
        <a:bodyPr xmlns:a="http://schemas.openxmlformats.org/drawingml/2006/main" vertOverflow="clip" wrap="none" rtlCol="0">
          <a:spAutoFit/>
        </a:bodyPr>
        <a:lstStyle xmlns:a="http://schemas.openxmlformats.org/drawingml/2006/main"/>
        <a:p xmlns:a="http://schemas.openxmlformats.org/drawingml/2006/main">
          <a:r>
            <a:rPr lang="mn-MN" sz="1100" b="0">
              <a:solidFill>
                <a:srgbClr val="4B82AD"/>
              </a:solidFill>
              <a:latin typeface="Segoe UI" panose="020B0502040204020203" pitchFamily="34" charset="0"/>
            </a:rPr>
            <a:t>Өрийн</a:t>
          </a:r>
          <a:r>
            <a:rPr lang="mn-MN" sz="1100" b="0" baseline="0">
              <a:solidFill>
                <a:srgbClr val="4B82AD"/>
              </a:solidFill>
              <a:latin typeface="Segoe UI" panose="020B0502040204020203" pitchFamily="34" charset="0"/>
            </a:rPr>
            <a:t> үйлчилгээний зардал</a:t>
          </a:r>
          <a:r>
            <a:rPr lang="en-US" sz="1100" b="0" baseline="0">
              <a:solidFill>
                <a:srgbClr val="4B82AD"/>
              </a:solidFill>
              <a:latin typeface="Segoe UI" panose="020B0502040204020203" pitchFamily="34" charset="0"/>
            </a:rPr>
            <a:t>/</a:t>
          </a:r>
          <a:r>
            <a:rPr lang="mn-MN" sz="1100" b="0" baseline="0">
              <a:solidFill>
                <a:srgbClr val="4B82AD"/>
              </a:solidFill>
              <a:latin typeface="Segoe UI" panose="020B0502040204020203" pitchFamily="34" charset="0"/>
            </a:rPr>
            <a:t>ДНБ</a:t>
          </a:r>
          <a:endParaRPr lang="en-US" sz="1100" b="0">
            <a:solidFill>
              <a:srgbClr val="4B82AD"/>
            </a:solidFill>
            <a:latin typeface="Segoe UI" panose="020B0502040204020203"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0.01604</cdr:x>
      <cdr:y>0</cdr:y>
    </cdr:from>
    <cdr:to>
      <cdr:x>0.56868</cdr:x>
      <cdr:y>0.12095</cdr:y>
    </cdr:to>
    <cdr:sp macro="" textlink="">
      <cdr:nvSpPr>
        <cdr:cNvPr id="2" name="TextBox 1">
          <a:extLst xmlns:a="http://schemas.openxmlformats.org/drawingml/2006/main">
            <a:ext uri="{FF2B5EF4-FFF2-40B4-BE49-F238E27FC236}">
              <a16:creationId xmlns:a16="http://schemas.microsoft.com/office/drawing/2014/main" id="{C5CD35B2-0EB9-49C9-B347-212315F43E9D}"/>
            </a:ext>
          </a:extLst>
        </cdr:cNvPr>
        <cdr:cNvSpPr txBox="1"/>
      </cdr:nvSpPr>
      <cdr:spPr>
        <a:xfrm xmlns:a="http://schemas.openxmlformats.org/drawingml/2006/main">
          <a:off x="50112" y="0"/>
          <a:ext cx="1726563" cy="279948"/>
        </a:xfrm>
        <a:prstGeom xmlns:a="http://schemas.openxmlformats.org/drawingml/2006/main" prst="rect">
          <a:avLst/>
        </a:prstGeom>
      </cdr:spPr>
      <cdr:txBody>
        <a:bodyPr xmlns:a="http://schemas.openxmlformats.org/drawingml/2006/main" vertOverflow="clip" wrap="none" rtlCol="0">
          <a:spAutoFit/>
        </a:bodyPr>
        <a:lstStyle xmlns:a="http://schemas.openxmlformats.org/drawingml/2006/main"/>
        <a:p xmlns:a="http://schemas.openxmlformats.org/drawingml/2006/main">
          <a:r>
            <a:rPr lang="mn-MN" sz="1100" b="0">
              <a:solidFill>
                <a:srgbClr val="4B82AD"/>
              </a:solidFill>
              <a:latin typeface="Segoe UI" panose="020B0502040204020203" pitchFamily="34" charset="0"/>
            </a:rPr>
            <a:t>Засгийн</a:t>
          </a:r>
          <a:r>
            <a:rPr lang="mn-MN" sz="1100" b="0" baseline="0">
              <a:solidFill>
                <a:srgbClr val="4B82AD"/>
              </a:solidFill>
              <a:latin typeface="Segoe UI" panose="020B0502040204020203" pitchFamily="34" charset="0"/>
            </a:rPr>
            <a:t> газрын өр</a:t>
          </a:r>
          <a:r>
            <a:rPr lang="en-US" sz="1100" b="0" baseline="0">
              <a:solidFill>
                <a:srgbClr val="4B82AD"/>
              </a:solidFill>
              <a:latin typeface="Segoe UI" panose="020B0502040204020203" pitchFamily="34" charset="0"/>
            </a:rPr>
            <a:t>/</a:t>
          </a:r>
          <a:r>
            <a:rPr lang="mn-MN" sz="1100" b="0" baseline="0">
              <a:solidFill>
                <a:srgbClr val="4B82AD"/>
              </a:solidFill>
              <a:latin typeface="Segoe UI" panose="020B0502040204020203" pitchFamily="34" charset="0"/>
            </a:rPr>
            <a:t>ДНБ</a:t>
          </a:r>
          <a:endParaRPr lang="en-US" sz="1100" b="0">
            <a:solidFill>
              <a:srgbClr val="4B82AD"/>
            </a:solidFill>
            <a:latin typeface="Segoe UI"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 он</PublishDate>
  <Abstract/>
  <CompanyAddress>МОНГОЛ УЛСЫН САНГИЙН ЯАМ</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ae4463b2-e8b1-4da3-a06c-0ee4fb348e4b">
      <UserInfo>
        <DisplayName>Бямба-Эрдэнэ Батбилэг</DisplayName>
        <AccountId>18</AccountId>
        <AccountType/>
      </UserInfo>
      <UserInfo>
        <DisplayName>ТХМ-2023 Owners</DisplayName>
        <AccountId>6</AccountId>
        <AccountType/>
      </UserInfo>
      <UserInfo>
        <DisplayName>Дашням Батхишиг</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4" ma:contentTypeDescription="Create a new document." ma:contentTypeScope="" ma:versionID="dba6cccda02f651aa17ae6144ea7fbfe">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325a28e0bf8172d96bba7c7c87745ac"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CE494-40FE-4A55-A7C4-4E6CDFDC5F08}">
  <ds:schemaRefs>
    <ds:schemaRef ds:uri="http://schemas.microsoft.com/office/2006/metadata/properties"/>
    <ds:schemaRef ds:uri="http://schemas.microsoft.com/office/infopath/2007/PartnerControls"/>
    <ds:schemaRef ds:uri="ae4463b2-e8b1-4da3-a06c-0ee4fb348e4b"/>
  </ds:schemaRefs>
</ds:datastoreItem>
</file>

<file path=customXml/itemProps3.xml><?xml version="1.0" encoding="utf-8"?>
<ds:datastoreItem xmlns:ds="http://schemas.openxmlformats.org/officeDocument/2006/customXml" ds:itemID="{808697C0-E871-497B-8DF8-6704CBBF8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76674-BB92-45CD-A6F4-9350C1CB1FBB}">
  <ds:schemaRefs>
    <ds:schemaRef ds:uri="http://schemas.microsoft.com/sharepoint/v3/contenttype/forms"/>
  </ds:schemaRefs>
</ds:datastoreItem>
</file>

<file path=customXml/itemProps5.xml><?xml version="1.0" encoding="utf-8"?>
<ds:datastoreItem xmlns:ds="http://schemas.openxmlformats.org/officeDocument/2006/customXml" ds:itemID="{E743A928-F705-4315-8DDC-F22C0978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13073</Words>
  <Characters>74517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засгийн газрын ӨРИЙН УДИРДЛАГЫН 2020-2022 оны стратегийн баримт бичиг</vt:lpstr>
    </vt:vector>
  </TitlesOfParts>
  <Company>санхүүгийн бодлогын газар</Company>
  <LinksUpToDate>false</LinksUpToDate>
  <CharactersWithSpaces>87416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засгийн газрын ӨРИЙН УДИРДЛАГЫН 2020-2022 оны стратегийн баримт бичиг</dc:title>
  <dc:subject/>
  <dc:creator>Сүх-Очир Батсүх</dc:creator>
  <cp:keywords/>
  <dc:description/>
  <cp:lastModifiedBy>Windows User</cp:lastModifiedBy>
  <cp:revision>2</cp:revision>
  <cp:lastPrinted>2022-04-28T10:40:00Z</cp:lastPrinted>
  <dcterms:created xsi:type="dcterms:W3CDTF">2022-05-02T01:32:00Z</dcterms:created>
  <dcterms:modified xsi:type="dcterms:W3CDTF">2022-05-02T01:32:00Z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AuthorIds_UIVersion_2048">
    <vt:lpwstr>6,15</vt:lpwstr>
  </property>
</Properties>
</file>