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71CA8" w14:textId="042CD572" w:rsidR="00E66370" w:rsidRPr="00AD4CBB" w:rsidRDefault="00ED50E5" w:rsidP="00AD4CBB">
      <w:pPr>
        <w:contextualSpacing/>
        <w:jc w:val="center"/>
        <w:rPr>
          <w:rFonts w:ascii="Arial" w:hAnsi="Arial" w:cs="Arial"/>
          <w:bCs/>
          <w:lang w:val="mn-MN"/>
        </w:rPr>
      </w:pPr>
      <w:r w:rsidRPr="00AD4CBB">
        <w:rPr>
          <w:rFonts w:ascii="Arial" w:hAnsi="Arial" w:cs="Arial"/>
          <w:b/>
          <w:lang w:val="mn-MN"/>
        </w:rPr>
        <w:t>ТАНИЛЦУУЛГА</w:t>
      </w:r>
    </w:p>
    <w:p w14:paraId="13AEA1EF" w14:textId="77777777" w:rsidR="00E66370" w:rsidRPr="00AD4CBB" w:rsidRDefault="00E66370" w:rsidP="004E64B0">
      <w:pPr>
        <w:contextualSpacing/>
        <w:rPr>
          <w:rFonts w:ascii="Arial" w:hAnsi="Arial" w:cs="Arial"/>
          <w:bCs/>
          <w:lang w:val="mn-MN"/>
        </w:rPr>
      </w:pPr>
    </w:p>
    <w:p w14:paraId="57736BDE" w14:textId="2E808658" w:rsidR="00ED50E5" w:rsidRPr="00AD4CBB" w:rsidRDefault="00ED50E5" w:rsidP="00AD4CBB">
      <w:pPr>
        <w:ind w:left="5670"/>
        <w:contextualSpacing/>
        <w:jc w:val="both"/>
        <w:rPr>
          <w:rFonts w:ascii="Arial" w:hAnsi="Arial" w:cs="Arial"/>
          <w:lang w:val="mn-MN"/>
        </w:rPr>
      </w:pPr>
      <w:r w:rsidRPr="00AD4CBB">
        <w:rPr>
          <w:rFonts w:ascii="Arial" w:hAnsi="Arial" w:cs="Arial"/>
          <w:color w:val="000000" w:themeColor="text1"/>
          <w:lang w:val="mn-MN"/>
        </w:rPr>
        <w:t>Автотээврийн тухай хуульд нэмэлт оруулах тухай хуулийн</w:t>
      </w:r>
      <w:r w:rsidRPr="00AD4CBB">
        <w:rPr>
          <w:rFonts w:ascii="Arial" w:hAnsi="Arial" w:cs="Arial"/>
          <w:caps/>
          <w:color w:val="000000" w:themeColor="text1"/>
          <w:lang w:val="mn-MN"/>
        </w:rPr>
        <w:t xml:space="preserve"> </w:t>
      </w:r>
      <w:r w:rsidRPr="00AD4CBB">
        <w:rPr>
          <w:rFonts w:ascii="Arial" w:hAnsi="Arial" w:cs="Arial"/>
          <w:color w:val="000000" w:themeColor="text1"/>
          <w:lang w:val="mn-MN"/>
        </w:rPr>
        <w:t xml:space="preserve">төслийн </w:t>
      </w:r>
      <w:r w:rsidRPr="00AD4CBB">
        <w:rPr>
          <w:rFonts w:ascii="Arial" w:hAnsi="Arial" w:cs="Arial"/>
          <w:lang w:val="mn-MN"/>
        </w:rPr>
        <w:t>талаар</w:t>
      </w:r>
    </w:p>
    <w:p w14:paraId="01FDFA92" w14:textId="77777777" w:rsidR="00ED50E5" w:rsidRPr="00AD4CBB" w:rsidRDefault="00ED50E5" w:rsidP="00AD4CBB">
      <w:pPr>
        <w:contextualSpacing/>
        <w:jc w:val="both"/>
        <w:rPr>
          <w:rFonts w:ascii="Arial" w:hAnsi="Arial" w:cs="Arial"/>
          <w:lang w:val="mn-MN"/>
        </w:rPr>
      </w:pPr>
    </w:p>
    <w:p w14:paraId="07825B21" w14:textId="51F13789" w:rsidR="00ED50E5" w:rsidRPr="00AD4CBB" w:rsidRDefault="00ED50E5" w:rsidP="00AD4CBB">
      <w:pPr>
        <w:ind w:firstLine="720"/>
        <w:contextualSpacing/>
        <w:jc w:val="both"/>
        <w:rPr>
          <w:rFonts w:ascii="Arial" w:hAnsi="Arial" w:cs="Arial"/>
          <w:color w:val="000000" w:themeColor="text1"/>
          <w:lang w:val="mn-MN"/>
        </w:rPr>
      </w:pPr>
      <w:r w:rsidRPr="00AD4CBB">
        <w:rPr>
          <w:rFonts w:ascii="Arial" w:hAnsi="Arial" w:cs="Arial"/>
          <w:color w:val="000000" w:themeColor="text1"/>
          <w:shd w:val="clear" w:color="auto" w:fill="FFFFFF"/>
          <w:lang w:val="mn-MN"/>
        </w:rPr>
        <w:t>Монгол Улсын Их Хурлын 2021 оны “Шинэ сэргэлтийн бодлого батлах тухай” 106 дугаар тогтоолын 1.2-т “Хилийн боомтуудыг төмөр зам болон хатуу хучилттай авто замаар үе шаттайгаар бүрэн холбон, тээвэр, логистикийн өрсөлдөх чадварыг дээшлүүлэн ачаа тээврийн урсгалыг сайжруулж, цаашид</w:t>
      </w:r>
      <w:r w:rsidR="00E66370" w:rsidRPr="00AD4CBB">
        <w:rPr>
          <w:rFonts w:ascii="Arial" w:hAnsi="Arial" w:cs="Arial"/>
          <w:color w:val="000000" w:themeColor="text1"/>
          <w:shd w:val="clear" w:color="auto" w:fill="FFFFFF"/>
          <w:lang w:val="mn-MN"/>
        </w:rPr>
        <w:t xml:space="preserve"> </w:t>
      </w:r>
      <w:r w:rsidRPr="00AD4CBB">
        <w:rPr>
          <w:rFonts w:ascii="Arial" w:hAnsi="Arial" w:cs="Arial"/>
          <w:color w:val="000000" w:themeColor="text1"/>
          <w:shd w:val="clear" w:color="auto" w:fill="FFFFFF"/>
          <w:lang w:val="mn-MN"/>
        </w:rPr>
        <w:t>транзит</w:t>
      </w:r>
      <w:r w:rsidR="00E66370" w:rsidRPr="00AD4CBB">
        <w:rPr>
          <w:rFonts w:ascii="Arial" w:hAnsi="Arial" w:cs="Arial"/>
          <w:color w:val="000000" w:themeColor="text1"/>
          <w:shd w:val="clear" w:color="auto" w:fill="FFFFFF"/>
          <w:lang w:val="mn-MN"/>
        </w:rPr>
        <w:t xml:space="preserve"> </w:t>
      </w:r>
      <w:r w:rsidRPr="00AD4CBB">
        <w:rPr>
          <w:rFonts w:ascii="Arial" w:hAnsi="Arial" w:cs="Arial"/>
          <w:color w:val="000000" w:themeColor="text1"/>
          <w:shd w:val="clear" w:color="auto" w:fill="FFFFFF"/>
          <w:lang w:val="mn-MN"/>
        </w:rPr>
        <w:t xml:space="preserve">улс болох суурь нөхцөлийг бүрдүүлнэ” гэж, Монгол Улсын Их Хурлын 2020 оны </w:t>
      </w:r>
      <w:r w:rsidR="00E66370" w:rsidRPr="00AD4CBB">
        <w:rPr>
          <w:rFonts w:ascii="Arial" w:hAnsi="Arial" w:cs="Arial"/>
          <w:color w:val="000000" w:themeColor="text1"/>
          <w:shd w:val="clear" w:color="auto" w:fill="FFFFFF"/>
          <w:lang w:val="mn-MN"/>
        </w:rPr>
        <w:t>“</w:t>
      </w:r>
      <w:r w:rsidRPr="00AD4CBB">
        <w:rPr>
          <w:rFonts w:ascii="Arial" w:hAnsi="Arial" w:cs="Arial"/>
          <w:color w:val="000000" w:themeColor="text1"/>
          <w:shd w:val="clear" w:color="auto" w:fill="FFFFFF"/>
          <w:lang w:val="mn-MN"/>
        </w:rPr>
        <w:t>Алсын хараа-2050</w:t>
      </w:r>
      <w:r w:rsidR="00E66370" w:rsidRPr="00AD4CBB">
        <w:rPr>
          <w:rFonts w:ascii="Arial" w:hAnsi="Arial" w:cs="Arial"/>
          <w:color w:val="000000" w:themeColor="text1"/>
          <w:shd w:val="clear" w:color="auto" w:fill="FFFFFF"/>
          <w:lang w:val="mn-MN"/>
        </w:rPr>
        <w:t>”</w:t>
      </w:r>
      <w:r w:rsidRPr="00AD4CBB">
        <w:rPr>
          <w:rFonts w:ascii="Arial" w:hAnsi="Arial" w:cs="Arial"/>
          <w:color w:val="000000" w:themeColor="text1"/>
          <w:shd w:val="clear" w:color="auto" w:fill="FFFFFF"/>
          <w:lang w:val="mn-MN"/>
        </w:rPr>
        <w:t xml:space="preserve"> Монгол Улсын урт хугацааны хөгжлийн бодлого батлах тухай</w:t>
      </w:r>
      <w:r w:rsidRPr="00AD4CBB">
        <w:rPr>
          <w:rFonts w:ascii="Arial" w:hAnsi="Arial" w:cs="Arial"/>
          <w:caps/>
          <w:color w:val="000000" w:themeColor="text1"/>
          <w:shd w:val="clear" w:color="auto" w:fill="FFFFFF"/>
          <w:lang w:val="mn-MN"/>
        </w:rPr>
        <w:t xml:space="preserve">” </w:t>
      </w:r>
      <w:r w:rsidRPr="00AD4CBB">
        <w:rPr>
          <w:rFonts w:ascii="Arial" w:hAnsi="Arial" w:cs="Arial"/>
          <w:color w:val="000000" w:themeColor="text1"/>
          <w:shd w:val="clear" w:color="auto" w:fill="FFFFFF"/>
          <w:lang w:val="mn-MN"/>
        </w:rPr>
        <w:t>52 дугаар тогтоолын</w:t>
      </w:r>
      <w:r w:rsidRPr="00AD4CBB">
        <w:rPr>
          <w:rFonts w:ascii="Arial" w:hAnsi="Arial" w:cs="Arial"/>
          <w:b/>
          <w:bCs/>
          <w:caps/>
          <w:color w:val="000000" w:themeColor="text1"/>
          <w:shd w:val="clear" w:color="auto" w:fill="FFFFFF"/>
          <w:lang w:val="mn-MN"/>
        </w:rPr>
        <w:t xml:space="preserve"> </w:t>
      </w:r>
      <w:r w:rsidRPr="00AD4CBB">
        <w:rPr>
          <w:rFonts w:ascii="Arial" w:hAnsi="Arial" w:cs="Arial"/>
          <w:color w:val="000000" w:themeColor="text1"/>
          <w:shd w:val="clear" w:color="auto" w:fill="FFFFFF"/>
          <w:lang w:val="mn-MN"/>
        </w:rPr>
        <w:t xml:space="preserve">5-д “Төрийн үйлчилгээг түргэн шуурхай, уян хатан, хүртээмжтэй, чанартай хүргэх хүний нөөцийн болон зохион байгуулалтын оновчтой арга хэрэгсэл нэвтэрч, иргэнд чиглэсэн төрийн үйлчилгээний чанар сайжирсан байна” гэж заасныг үндэслэн </w:t>
      </w:r>
      <w:r w:rsidRPr="00AD4CBB">
        <w:rPr>
          <w:rFonts w:ascii="Arial" w:hAnsi="Arial" w:cs="Arial"/>
          <w:color w:val="000000" w:themeColor="text1"/>
          <w:lang w:val="mn-MN"/>
        </w:rPr>
        <w:t>Автотээврийн тухай хуульд нэмэлт оруулах тухай хуулийн</w:t>
      </w:r>
      <w:r w:rsidRPr="00AD4CBB">
        <w:rPr>
          <w:rFonts w:ascii="Arial" w:hAnsi="Arial" w:cs="Arial"/>
          <w:caps/>
          <w:color w:val="000000" w:themeColor="text1"/>
          <w:lang w:val="mn-MN"/>
        </w:rPr>
        <w:t xml:space="preserve"> </w:t>
      </w:r>
      <w:r w:rsidRPr="00AD4CBB">
        <w:rPr>
          <w:rFonts w:ascii="Arial" w:hAnsi="Arial" w:cs="Arial"/>
          <w:color w:val="000000" w:themeColor="text1"/>
          <w:lang w:val="mn-MN"/>
        </w:rPr>
        <w:t>төслийг боловсрууллаа.</w:t>
      </w:r>
    </w:p>
    <w:p w14:paraId="2EEEBB49" w14:textId="77777777" w:rsidR="00ED50E5" w:rsidRPr="00AD4CBB" w:rsidRDefault="00ED50E5" w:rsidP="00AD4CBB">
      <w:pPr>
        <w:contextualSpacing/>
        <w:jc w:val="both"/>
        <w:rPr>
          <w:rFonts w:ascii="Arial" w:hAnsi="Arial" w:cs="Arial"/>
          <w:caps/>
          <w:color w:val="000000" w:themeColor="text1"/>
          <w:lang w:val="mn-MN"/>
        </w:rPr>
      </w:pPr>
    </w:p>
    <w:p w14:paraId="1793B621" w14:textId="77777777" w:rsidR="00ED50E5" w:rsidRPr="00AD4CBB" w:rsidRDefault="00ED50E5" w:rsidP="00AD4CBB">
      <w:pPr>
        <w:ind w:firstLine="720"/>
        <w:contextualSpacing/>
        <w:jc w:val="both"/>
        <w:rPr>
          <w:rFonts w:ascii="Arial" w:hAnsi="Arial" w:cs="Arial"/>
          <w:lang w:val="mn-MN"/>
        </w:rPr>
      </w:pPr>
      <w:r w:rsidRPr="00AD4CBB">
        <w:rPr>
          <w:rFonts w:ascii="Arial" w:hAnsi="Arial" w:cs="Arial"/>
          <w:lang w:val="mn-MN"/>
        </w:rPr>
        <w:t xml:space="preserve">Монгол Улс болон БНХАУ-ын Засгийн газар хоорондын Автотээврийн хэлэлцээрийг 2011 онд байгуулсан бөгөөд тус хэлэлцээрийн 3.1-д “...хэлэлцэн тохирогч нэг талын машин хэлэлцэн тохирогч нөгөө талын нутаг дэвсгэрт нэвтрэхдээ хэлэлцэн тохирогч нөгөө талын эрх бүхий байгууллагаас олгох зорчих зөвшөөрөл, онцгой зөвшөөрөл авч нэвтэрнэ” гэж заасан. </w:t>
      </w:r>
    </w:p>
    <w:p w14:paraId="18BED9AF" w14:textId="77777777" w:rsidR="00ED50E5" w:rsidRPr="00AD4CBB" w:rsidRDefault="00ED50E5" w:rsidP="00AD4CBB">
      <w:pPr>
        <w:contextualSpacing/>
        <w:jc w:val="both"/>
        <w:rPr>
          <w:rFonts w:ascii="Arial" w:hAnsi="Arial" w:cs="Arial"/>
          <w:lang w:val="mn-MN"/>
        </w:rPr>
      </w:pPr>
    </w:p>
    <w:p w14:paraId="6CB1C78E" w14:textId="275C760A" w:rsidR="00ED50E5" w:rsidRPr="00AD4CBB" w:rsidRDefault="00ED50E5" w:rsidP="00AD4CBB">
      <w:pPr>
        <w:ind w:firstLine="720"/>
        <w:contextualSpacing/>
        <w:jc w:val="both"/>
        <w:rPr>
          <w:rFonts w:ascii="Arial" w:hAnsi="Arial" w:cs="Arial"/>
          <w:lang w:val="mn-MN"/>
        </w:rPr>
      </w:pPr>
      <w:r w:rsidRPr="00AD4CBB">
        <w:rPr>
          <w:rFonts w:ascii="Arial" w:hAnsi="Arial" w:cs="Arial"/>
          <w:lang w:val="mn-MN"/>
        </w:rPr>
        <w:t xml:space="preserve">Энэхүү хэлэлцээрийн хүрээнд БНХАУ-ын талаас Монгол Улсад хүлээлгэн өгсөн зорчих </w:t>
      </w:r>
      <w:r w:rsidR="004E64B0">
        <w:rPr>
          <w:rFonts w:ascii="Arial" w:hAnsi="Arial" w:cs="Arial"/>
          <w:lang w:val="mn-MN"/>
        </w:rPr>
        <w:t xml:space="preserve">болон </w:t>
      </w:r>
      <w:r w:rsidRPr="00AD4CBB">
        <w:rPr>
          <w:rFonts w:ascii="Arial" w:hAnsi="Arial" w:cs="Arial"/>
          <w:lang w:val="mn-MN"/>
        </w:rPr>
        <w:t>онцгой зөвшөөрлийн бичгийг БНХАУ-ын нутаг</w:t>
      </w:r>
      <w:r w:rsidR="004E64B0">
        <w:rPr>
          <w:rFonts w:ascii="Arial" w:hAnsi="Arial" w:cs="Arial"/>
          <w:lang w:val="mn-MN"/>
        </w:rPr>
        <w:t xml:space="preserve"> дэвсгэрт </w:t>
      </w:r>
      <w:r w:rsidRPr="00AD4CBB">
        <w:rPr>
          <w:rFonts w:ascii="Arial" w:hAnsi="Arial" w:cs="Arial"/>
          <w:lang w:val="mn-MN"/>
        </w:rPr>
        <w:t>нэвтрэх Монгол Улсын дугаартай тээврийн хэрэгсэл тус бүр</w:t>
      </w:r>
      <w:r w:rsidR="00AD4CBB" w:rsidRPr="00AD4CBB">
        <w:rPr>
          <w:rFonts w:ascii="Arial" w:hAnsi="Arial" w:cs="Arial"/>
          <w:lang w:val="mn-MN"/>
        </w:rPr>
        <w:t>д</w:t>
      </w:r>
      <w:r w:rsidRPr="00AD4CBB">
        <w:rPr>
          <w:rFonts w:ascii="Arial" w:hAnsi="Arial" w:cs="Arial"/>
          <w:lang w:val="mn-MN"/>
        </w:rPr>
        <w:t xml:space="preserve"> “Автотээврийн үндэсний төв” ТӨҮГ-аас олгон ажиллаж байна.</w:t>
      </w:r>
    </w:p>
    <w:p w14:paraId="7B4184E3" w14:textId="77777777" w:rsidR="00ED50E5" w:rsidRPr="00AD4CBB" w:rsidRDefault="00ED50E5" w:rsidP="00AD4CBB">
      <w:pPr>
        <w:contextualSpacing/>
        <w:jc w:val="both"/>
        <w:rPr>
          <w:rFonts w:ascii="Arial" w:hAnsi="Arial" w:cs="Arial"/>
          <w:lang w:val="mn-MN"/>
        </w:rPr>
      </w:pPr>
    </w:p>
    <w:p w14:paraId="1B93E916" w14:textId="6CA86DB7" w:rsidR="00ED50E5" w:rsidRPr="00AD4CBB" w:rsidRDefault="00ED50E5" w:rsidP="00AD4CBB">
      <w:pPr>
        <w:ind w:firstLine="720"/>
        <w:contextualSpacing/>
        <w:jc w:val="both"/>
        <w:rPr>
          <w:rFonts w:ascii="Arial" w:hAnsi="Arial" w:cs="Arial"/>
          <w:lang w:val="mn-MN"/>
        </w:rPr>
      </w:pPr>
      <w:r w:rsidRPr="00AD4CBB">
        <w:rPr>
          <w:rFonts w:ascii="Arial" w:hAnsi="Arial" w:cs="Arial"/>
          <w:lang w:val="mn-MN"/>
        </w:rPr>
        <w:t>Мөн Монгол Улс болон БНХАУ-ын Засгийн газар хоорондын Автотээврийн хэлэлцээрийг хэрэгжүүлэх Монгол Улсын Зам, тээврийн хөгжлийн яам, БНХАУ-ын Зам, тээврийн яам хоорондын протоколын 1 дүгээр зүйлд “... эрх бүхий байгууллага нь Зам, тээврийн хөгжлийн яам, эрх олгогдсон байгууллага нь “Автотээврийн үндэсний төв” ТӨҮГ байна” гэж тус тус заасан.</w:t>
      </w:r>
    </w:p>
    <w:p w14:paraId="1461A4C5" w14:textId="77777777" w:rsidR="00ED50E5" w:rsidRPr="00AD4CBB" w:rsidRDefault="00ED50E5" w:rsidP="00AD4CBB">
      <w:pPr>
        <w:contextualSpacing/>
        <w:jc w:val="both"/>
        <w:rPr>
          <w:rFonts w:ascii="Arial" w:hAnsi="Arial" w:cs="Arial"/>
          <w:lang w:val="mn-MN"/>
        </w:rPr>
      </w:pPr>
    </w:p>
    <w:p w14:paraId="00FAE0C1" w14:textId="148608D5" w:rsidR="00ED50E5" w:rsidRPr="00AD4CBB" w:rsidRDefault="00ED50E5" w:rsidP="00AD4CBB">
      <w:pPr>
        <w:ind w:firstLine="720"/>
        <w:contextualSpacing/>
        <w:jc w:val="both"/>
        <w:rPr>
          <w:rFonts w:ascii="Arial" w:hAnsi="Arial" w:cs="Arial"/>
          <w:lang w:val="mn-MN"/>
        </w:rPr>
      </w:pPr>
      <w:r w:rsidRPr="00AD4CBB">
        <w:rPr>
          <w:rFonts w:ascii="Arial" w:hAnsi="Arial" w:cs="Arial"/>
          <w:lang w:val="mn-MN"/>
        </w:rPr>
        <w:t>Зам, тээврийн хөгжлийн яам зөвшөөрлийн бичиг олгох ажлыг 2016 он хүртэл хариуцан ажиллаж байгаад Зам, тээврийн хөгжлийн сайдын 2016 оны 76 дугаар тушаалаар эрх олгогдсон байгууллага буюу “Автотээврийн үндэсний төв” ТӨҮГ-т шилжүүлсэн. Хэлэлцээрийг хэрэгжүүлэх яам хоорондын протоколын 2.2-т зорчих зөвшөөрлийн бичгийг А, В, А-В, С, D, E, F гэсэн төрөл байхаар тусгасан.</w:t>
      </w:r>
    </w:p>
    <w:p w14:paraId="338CEEA8" w14:textId="77777777" w:rsidR="00ED50E5" w:rsidRPr="00AD4CBB" w:rsidRDefault="00ED50E5" w:rsidP="00AD4CBB">
      <w:pPr>
        <w:contextualSpacing/>
        <w:jc w:val="both"/>
        <w:rPr>
          <w:rFonts w:ascii="Arial" w:hAnsi="Arial" w:cs="Arial"/>
          <w:lang w:val="mn-MN"/>
        </w:rPr>
      </w:pPr>
    </w:p>
    <w:p w14:paraId="40AC72C2" w14:textId="750D96E3" w:rsidR="00ED50E5" w:rsidRPr="00AD4CBB" w:rsidRDefault="00ED50E5" w:rsidP="00AD4CBB">
      <w:pPr>
        <w:ind w:firstLine="720"/>
        <w:contextualSpacing/>
        <w:jc w:val="both"/>
        <w:rPr>
          <w:rFonts w:ascii="Arial" w:hAnsi="Arial" w:cs="Arial"/>
          <w:lang w:val="mn-MN"/>
        </w:rPr>
      </w:pPr>
      <w:r w:rsidRPr="00AD4CBB">
        <w:rPr>
          <w:rFonts w:ascii="Arial" w:hAnsi="Arial" w:cs="Arial"/>
          <w:lang w:val="mn-MN"/>
        </w:rPr>
        <w:t xml:space="preserve">Протоколын 2.2-т “С төрлийн зорчих зөвшөөрлийг байнгын ачаа тээвэр хийх тээврийн хэрэгсэлд олгох бөгөөд олгосон өдрөөс эхлэн 90 хоногийн дотор олон удаа хил нэвтрэхэд хүчинтэй байна” гэж заасан. Энэхүү төрлийн зорчих зөвшөөрлийн бичгийг уул уурхай экспортын тээвэр гүйцэтгэж байгаа тээврийн хэрэгслүүдэд олгож байна. Мөн протоколын 3.1-д “Зорчих зөвшөөрлийн бичгийг харилцан солилцох хэлбэрээр олгох бөгөөд хэлэлцэн тохирогч талуудын эрх бүхий байгууллагууд болон эрх олгогдсон байгууллагууд Хэлэлцээрийн 17 дугаар зүйлд заасан уулзалтын үеэр дараа жилд хэрэглэх зорчих зөвшөөрлийн бичгийг харилцан адил зарчимд тулгуурлан тоог тогтоож, солилцох тодорхой хугацаа, газрыг хэлэлцэн тохирно” гэж заасан. Үүний дагуу Монгол Улсын талаас “Автотээврийн үндэсний төв” ТӨҮГ, БНХАУ-ын талаас Өвөр Монголын Өөртөө Засах орон болон Шинжаан Уйгурын Өөртөө Засах Орны Зам, харилцаа тээврийн танхимууд жил бүр </w:t>
      </w:r>
      <w:r w:rsidRPr="00AD4CBB">
        <w:rPr>
          <w:rFonts w:ascii="Arial" w:hAnsi="Arial" w:cs="Arial"/>
          <w:lang w:val="mn-MN"/>
        </w:rPr>
        <w:lastRenderedPageBreak/>
        <w:t>уулзалт зохион байгуулж, дараа жил ашиглагдах зорчих зөвшөөрлийн бичиг, онцгой зөвшөөрлийн бичгийн тоог тохиролцдог.</w:t>
      </w:r>
    </w:p>
    <w:p w14:paraId="32BB45A5" w14:textId="77777777" w:rsidR="00ED50E5" w:rsidRPr="00AD4CBB" w:rsidRDefault="00ED50E5" w:rsidP="00AD4CBB">
      <w:pPr>
        <w:contextualSpacing/>
        <w:jc w:val="both"/>
        <w:rPr>
          <w:rFonts w:ascii="Arial" w:hAnsi="Arial" w:cs="Arial"/>
          <w:lang w:val="mn-MN"/>
        </w:rPr>
      </w:pPr>
    </w:p>
    <w:p w14:paraId="556B9FE9" w14:textId="2E581F4C" w:rsidR="00ED50E5" w:rsidRPr="00AD4CBB" w:rsidRDefault="00ED50E5" w:rsidP="00AD4CBB">
      <w:pPr>
        <w:ind w:firstLine="720"/>
        <w:contextualSpacing/>
        <w:jc w:val="both"/>
        <w:rPr>
          <w:rFonts w:ascii="Arial" w:hAnsi="Arial" w:cs="Arial"/>
          <w:lang w:val="mn-MN"/>
        </w:rPr>
      </w:pPr>
      <w:r w:rsidRPr="00AD4CBB">
        <w:rPr>
          <w:rFonts w:ascii="Arial" w:hAnsi="Arial" w:cs="Arial"/>
          <w:lang w:val="mn-MN"/>
        </w:rPr>
        <w:t>Цар тахлын онцгой нөхцөл байдлын улмаас болон БНХАУ-ын Өвөр Монголын Өөртөө Засах Орны Зам, харилцаа тээврийн танхимаас тус улстай хиллэдэг авто замын боомтуудаас Ганц модны боомтын хүчин чадлыг тооцож, Монголын талыг Гашуунсухайт-Ганцмодны боомтын чиглэлд 1 улиралд 6000-аас илүүгүй тээврийн хэрэгсэлд хил нэвтрэх С төрлийн зорчих зөвшөөрлийн бичиг олгох мэдэгдлийг удаа дараа ирүүлж байсан ба илүү олговол Ганцмодны боомтод мэдээлэл хүргэхгүй гэсэн шаардлага тавьдаг. Бусад боомтод тоо заагаагүй учир тээвэрлэлт гүйцэтгэх шаардлага хангасан тээвэрлэгч бүр</w:t>
      </w:r>
      <w:r w:rsidR="00AD4CBB" w:rsidRPr="00AD4CBB">
        <w:rPr>
          <w:rFonts w:ascii="Arial" w:hAnsi="Arial" w:cs="Arial"/>
          <w:lang w:val="mn-MN"/>
        </w:rPr>
        <w:t xml:space="preserve">д </w:t>
      </w:r>
      <w:r w:rsidRPr="00AD4CBB">
        <w:rPr>
          <w:rFonts w:ascii="Arial" w:hAnsi="Arial" w:cs="Arial"/>
          <w:lang w:val="mn-MN"/>
        </w:rPr>
        <w:t>олгон ажиллаж байна.</w:t>
      </w:r>
    </w:p>
    <w:p w14:paraId="1CE286BD" w14:textId="77777777" w:rsidR="00ED50E5" w:rsidRPr="00AD4CBB" w:rsidRDefault="00ED50E5" w:rsidP="00AD4CBB">
      <w:pPr>
        <w:contextualSpacing/>
        <w:jc w:val="both"/>
        <w:rPr>
          <w:rFonts w:ascii="Arial" w:hAnsi="Arial" w:cs="Arial"/>
          <w:lang w:val="mn-MN"/>
        </w:rPr>
      </w:pPr>
    </w:p>
    <w:p w14:paraId="3957B303" w14:textId="77777777" w:rsidR="00ED50E5" w:rsidRPr="00AD4CBB" w:rsidRDefault="00ED50E5" w:rsidP="00AD4CBB">
      <w:pPr>
        <w:ind w:firstLine="720"/>
        <w:contextualSpacing/>
        <w:jc w:val="both"/>
        <w:rPr>
          <w:rFonts w:ascii="Arial" w:hAnsi="Arial" w:cs="Arial"/>
          <w:lang w:val="mn-MN"/>
        </w:rPr>
      </w:pPr>
      <w:r w:rsidRPr="00AD4CBB">
        <w:rPr>
          <w:rFonts w:ascii="Arial" w:hAnsi="Arial" w:cs="Arial"/>
          <w:lang w:val="mn-MN"/>
        </w:rPr>
        <w:t>Үүний дагуу “Автотээврийн үндэсний төв” ТӨҮГ-аас хил нэвтрэх зөвшөөрлийн бичиг олгох үйл ажиллагааг хөнгөвчлөх, мэдээллийн нэгдсэн сан үүсгэх, холбогдох хууль, дүрэм, журам, стандартаар хүлээсэн үүргийг хангасан тээвэрлэгчид хил нэвтрэх С төрлийн зорчих зөвшөөрлийн бичиг олгох зорилгоор Тээврийн нэгдсэн системийн програм хангамжийг 2019 онд нэвтрүүлсэн. Мөн зөвшөөрлийн бичгийг татвар болон нийгмийн даатгалын шимтгэлийн өргүй, автотээврийн байгууллагын стандарт, шаардлагыг хангасан байгууллагад олгож байна. Одоогийн байдлаар тус шаардлагыг хангасан 240 аж ахуйн нэгжийн 19062 тээврийн хэрэгсэл байгаа бөгөөд С төрлийн зорчих зөвшөөрлийн 6000 бичгийг оновчтой хуваарилж олгох, зохицуулалт хийх шаардлага үүсээд байна.</w:t>
      </w:r>
    </w:p>
    <w:p w14:paraId="747B5653" w14:textId="77777777" w:rsidR="00ED50E5" w:rsidRPr="00AD4CBB" w:rsidRDefault="00ED50E5" w:rsidP="00AD4CBB">
      <w:pPr>
        <w:contextualSpacing/>
        <w:jc w:val="both"/>
        <w:rPr>
          <w:rFonts w:ascii="Arial" w:hAnsi="Arial" w:cs="Arial"/>
          <w:lang w:val="mn-MN"/>
        </w:rPr>
      </w:pPr>
    </w:p>
    <w:p w14:paraId="3AAB9EFF" w14:textId="450CCA6C" w:rsidR="00ED50E5" w:rsidRPr="00AD4CBB" w:rsidRDefault="00ED50E5" w:rsidP="00AD4CBB">
      <w:pPr>
        <w:ind w:firstLine="720"/>
        <w:contextualSpacing/>
        <w:jc w:val="both"/>
        <w:rPr>
          <w:rFonts w:ascii="Arial" w:hAnsi="Arial" w:cs="Arial"/>
          <w:lang w:val="mn-MN"/>
        </w:rPr>
      </w:pPr>
      <w:r w:rsidRPr="00AD4CBB">
        <w:rPr>
          <w:rFonts w:ascii="Arial" w:hAnsi="Arial" w:cs="Arial"/>
          <w:lang w:val="mn-MN"/>
        </w:rPr>
        <w:t>Мөн Монгол Улсын уул уурхай, хүнд үйлдвэрийн сайдын 2021 оны 01/494, 01/2211 тоот албан бичгүүдээр Гашуунсухайт-Ганцмод чиглэлд ашиглагдах хил нэвтрэх С төрлийн зорчих зөвшөөрлийн бичгийг “Эрдэнэс тавантолгой” ХК-д 60%, “Энержи ресурс” ХХК-д 25%, “Тавантолгой” ХК-д 15%-аар хуваарилан олгох саналуудыг ирүүлсэн. “Автотээврийн үндэсний төв” ТӨҮГ-аас уурхай эзэмшигч байгууллагуудын хүсэлтийн хүрээнд дээрх хуваарилалтыг баримтлан тээвэрлэгч байгууллагуудад олгодог. Гэвч тээвэрлэгч байгууллагуудаас “Энержи ресурс” ХХК болон “Тавантолгой” ХК-ийн нүүрсийг тээвэрлэхээр тус уурхай эзэмшигчидтэй гэрээ байгуулан авсан зөвшөөрлийн бичгээр “Эрдэнэс тавантолгой” ХК-ий</w:t>
      </w:r>
      <w:r w:rsidR="004D3A0E" w:rsidRPr="00AD4CBB">
        <w:rPr>
          <w:rFonts w:ascii="Arial" w:hAnsi="Arial" w:cs="Arial"/>
          <w:lang w:val="mn-MN"/>
        </w:rPr>
        <w:t>н</w:t>
      </w:r>
      <w:r w:rsidRPr="00AD4CBB">
        <w:rPr>
          <w:rFonts w:ascii="Arial" w:hAnsi="Arial" w:cs="Arial"/>
          <w:lang w:val="mn-MN"/>
        </w:rPr>
        <w:t xml:space="preserve"> нүүрсийг тээвэрлэх тохиолдлууд их байдгаас бэлэн мөнгөний тээвэрлэлт гэсэн нэр том</w:t>
      </w:r>
      <w:r w:rsidR="00F321A3" w:rsidRPr="00AD4CBB">
        <w:rPr>
          <w:rFonts w:ascii="Arial" w:hAnsi="Arial" w:cs="Arial"/>
          <w:lang w:val="mn-MN"/>
        </w:rPr>
        <w:t>ь</w:t>
      </w:r>
      <w:r w:rsidRPr="00AD4CBB">
        <w:rPr>
          <w:rFonts w:ascii="Arial" w:hAnsi="Arial" w:cs="Arial"/>
          <w:lang w:val="mn-MN"/>
        </w:rPr>
        <w:t>ёо бий болж тээвэрлэлт хэт өндөр</w:t>
      </w:r>
      <w:r w:rsidR="00F321A3" w:rsidRPr="00AD4CBB">
        <w:rPr>
          <w:rFonts w:ascii="Arial" w:hAnsi="Arial" w:cs="Arial"/>
          <w:lang w:val="mn-MN"/>
        </w:rPr>
        <w:t xml:space="preserve"> үнэтэй</w:t>
      </w:r>
      <w:r w:rsidRPr="00AD4CBB">
        <w:rPr>
          <w:rFonts w:ascii="Arial" w:hAnsi="Arial" w:cs="Arial"/>
          <w:lang w:val="mn-MN"/>
        </w:rPr>
        <w:t xml:space="preserve"> болоход нөлөөлж байна. Нөгөө талаас</w:t>
      </w:r>
      <w:r w:rsidR="00EA4650">
        <w:rPr>
          <w:rFonts w:ascii="Arial" w:hAnsi="Arial" w:cs="Arial"/>
          <w:lang w:val="mn-MN"/>
        </w:rPr>
        <w:t xml:space="preserve"> </w:t>
      </w:r>
      <w:r w:rsidRPr="00AD4CBB">
        <w:rPr>
          <w:rFonts w:ascii="Arial" w:hAnsi="Arial" w:cs="Arial"/>
          <w:lang w:val="mn-MN"/>
        </w:rPr>
        <w:t>худалдан авагчийн нүүрсний хэмжээнд тохируулан олгож чаддаггүйгээс Цагаанхад дахь Гаалийн хяналтын талбай дахь худалдан авагч</w:t>
      </w:r>
      <w:r w:rsidR="00AD4CBB" w:rsidRPr="00AD4CBB">
        <w:rPr>
          <w:rFonts w:ascii="Arial" w:hAnsi="Arial" w:cs="Arial"/>
          <w:lang w:val="mn-MN"/>
        </w:rPr>
        <w:t>ий</w:t>
      </w:r>
      <w:r w:rsidR="00F321A3" w:rsidRPr="00AD4CBB">
        <w:rPr>
          <w:rFonts w:ascii="Arial" w:hAnsi="Arial" w:cs="Arial"/>
          <w:lang w:val="mn-MN"/>
        </w:rPr>
        <w:t>н</w:t>
      </w:r>
      <w:r w:rsidRPr="00AD4CBB">
        <w:rPr>
          <w:rFonts w:ascii="Arial" w:hAnsi="Arial" w:cs="Arial"/>
          <w:lang w:val="mn-MN"/>
        </w:rPr>
        <w:t xml:space="preserve"> нүүрсийг ижил хувиар тээвэрлэж чадаагүйгээс зарим худалдан авагч яаралтай нүүрсээ татаж авах зорилгоор тээвэрлэгч байгууллагууд</w:t>
      </w:r>
      <w:r w:rsidR="00EA4650">
        <w:rPr>
          <w:rFonts w:ascii="Arial" w:hAnsi="Arial" w:cs="Arial"/>
          <w:lang w:val="mn-MN"/>
        </w:rPr>
        <w:t>ад</w:t>
      </w:r>
      <w:r w:rsidRPr="00AD4CBB">
        <w:rPr>
          <w:rFonts w:ascii="Arial" w:hAnsi="Arial" w:cs="Arial"/>
          <w:lang w:val="mn-MN"/>
        </w:rPr>
        <w:t xml:space="preserve"> өндөр үнэ ам</w:t>
      </w:r>
      <w:r w:rsidR="00F321A3" w:rsidRPr="00AD4CBB">
        <w:rPr>
          <w:rFonts w:ascii="Arial" w:hAnsi="Arial" w:cs="Arial"/>
          <w:lang w:val="mn-MN"/>
        </w:rPr>
        <w:t>а</w:t>
      </w:r>
      <w:r w:rsidRPr="00AD4CBB">
        <w:rPr>
          <w:rFonts w:ascii="Arial" w:hAnsi="Arial" w:cs="Arial"/>
          <w:lang w:val="mn-MN"/>
        </w:rPr>
        <w:t>лж нүүрсээ зөөлгөх замаар үнийн өсөлт бий болсон.</w:t>
      </w:r>
    </w:p>
    <w:p w14:paraId="64FF6564" w14:textId="77777777" w:rsidR="00ED50E5" w:rsidRPr="00AD4CBB" w:rsidRDefault="00ED50E5" w:rsidP="00AD4CBB">
      <w:pPr>
        <w:contextualSpacing/>
        <w:jc w:val="both"/>
        <w:rPr>
          <w:rFonts w:ascii="Arial" w:hAnsi="Arial" w:cs="Arial"/>
          <w:lang w:val="mn-MN"/>
        </w:rPr>
      </w:pPr>
    </w:p>
    <w:p w14:paraId="34E1957B" w14:textId="7EAE9854" w:rsidR="00ED50E5" w:rsidRPr="00AD4CBB" w:rsidRDefault="00ED50E5" w:rsidP="00AD4CBB">
      <w:pPr>
        <w:ind w:firstLine="720"/>
        <w:contextualSpacing/>
        <w:jc w:val="both"/>
        <w:rPr>
          <w:rFonts w:ascii="Arial" w:hAnsi="Arial" w:cs="Arial"/>
          <w:lang w:val="mn-MN"/>
        </w:rPr>
      </w:pPr>
      <w:r w:rsidRPr="00AD4CBB">
        <w:rPr>
          <w:rFonts w:ascii="Arial" w:hAnsi="Arial" w:cs="Arial"/>
          <w:lang w:val="mn-MN"/>
        </w:rPr>
        <w:t xml:space="preserve">Гаалийн байгууллагын Гашуунсухайт боомтоор 2022 оны 4 дүгээр сарын </w:t>
      </w:r>
      <w:r w:rsidR="004D3A0E" w:rsidRPr="00AD4CBB">
        <w:rPr>
          <w:rFonts w:ascii="Arial" w:hAnsi="Arial" w:cs="Arial"/>
          <w:lang w:val="mn-MN"/>
        </w:rPr>
        <w:t xml:space="preserve">       </w:t>
      </w:r>
      <w:r w:rsidRPr="00AD4CBB">
        <w:rPr>
          <w:rFonts w:ascii="Arial" w:hAnsi="Arial" w:cs="Arial"/>
          <w:lang w:val="mn-MN"/>
        </w:rPr>
        <w:t>1-7-н</w:t>
      </w:r>
      <w:r w:rsidR="00F321A3" w:rsidRPr="00AD4CBB">
        <w:rPr>
          <w:rFonts w:ascii="Arial" w:hAnsi="Arial" w:cs="Arial"/>
          <w:lang w:val="mn-MN"/>
        </w:rPr>
        <w:t>ы</w:t>
      </w:r>
      <w:r w:rsidRPr="00AD4CBB">
        <w:rPr>
          <w:rFonts w:ascii="Arial" w:hAnsi="Arial" w:cs="Arial"/>
          <w:lang w:val="mn-MN"/>
        </w:rPr>
        <w:t xml:space="preserve"> өдрүүдэд нэвтрүүлсэн тээврийн хэрэгсэл, барааны мэдээллээс харахад </w:t>
      </w:r>
      <w:r w:rsidR="004D3A0E" w:rsidRPr="00AD4CBB">
        <w:rPr>
          <w:rFonts w:ascii="Arial" w:hAnsi="Arial" w:cs="Arial"/>
          <w:lang w:val="mn-MN"/>
        </w:rPr>
        <w:t xml:space="preserve">   </w:t>
      </w:r>
      <w:r w:rsidRPr="00AD4CBB">
        <w:rPr>
          <w:rFonts w:ascii="Arial" w:hAnsi="Arial" w:cs="Arial"/>
          <w:lang w:val="mn-MN"/>
        </w:rPr>
        <w:t>200 тээврийн хэрэгслээр 13,546.15 тн зэсийн баяжмал, 1032 тээврийн хэрэгслээр 142,272.3 тн нүүрс экспортолсон байна. Дээрх долоо хоногийн мэдээнд хил нэвтрэх зөвшөөрлийн бичиггүй 1 тээврийн хэрэгсэл (</w:t>
      </w:r>
      <w:r w:rsidR="004D3A0E" w:rsidRPr="00AD4CBB">
        <w:rPr>
          <w:rFonts w:ascii="Arial" w:hAnsi="Arial" w:cs="Arial"/>
          <w:lang w:val="mn-MN"/>
        </w:rPr>
        <w:t>“</w:t>
      </w:r>
      <w:r w:rsidRPr="00AD4CBB">
        <w:rPr>
          <w:rFonts w:ascii="Arial" w:hAnsi="Arial" w:cs="Arial"/>
          <w:lang w:val="mn-MN"/>
        </w:rPr>
        <w:t>Ивээл сар транс</w:t>
      </w:r>
      <w:r w:rsidR="004D3A0E" w:rsidRPr="00AD4CBB">
        <w:rPr>
          <w:rFonts w:ascii="Arial" w:hAnsi="Arial" w:cs="Arial"/>
          <w:lang w:val="mn-MN"/>
        </w:rPr>
        <w:t>”</w:t>
      </w:r>
      <w:r w:rsidRPr="00AD4CBB">
        <w:rPr>
          <w:rFonts w:ascii="Arial" w:hAnsi="Arial" w:cs="Arial"/>
          <w:lang w:val="mn-MN"/>
        </w:rPr>
        <w:t xml:space="preserve"> ХХК-ий</w:t>
      </w:r>
      <w:r w:rsidR="004D3A0E" w:rsidRPr="00AD4CBB">
        <w:rPr>
          <w:rFonts w:ascii="Arial" w:hAnsi="Arial" w:cs="Arial"/>
          <w:lang w:val="mn-MN"/>
        </w:rPr>
        <w:t>н</w:t>
      </w:r>
      <w:r w:rsidRPr="00AD4CBB">
        <w:rPr>
          <w:rFonts w:ascii="Arial" w:hAnsi="Arial" w:cs="Arial"/>
          <w:lang w:val="mn-MN"/>
        </w:rPr>
        <w:t xml:space="preserve"> 1826ӨМЭ 2022.04.01-ний өдөр), хугацаа дууссан зөвшөөрлийн бичгээр экспорт гүйцэтгэсэн </w:t>
      </w:r>
      <w:r w:rsidR="004D3A0E" w:rsidRPr="00AD4CBB">
        <w:rPr>
          <w:rFonts w:ascii="Arial" w:hAnsi="Arial" w:cs="Arial"/>
          <w:lang w:val="mn-MN"/>
        </w:rPr>
        <w:t xml:space="preserve">    </w:t>
      </w:r>
      <w:r w:rsidRPr="00AD4CBB">
        <w:rPr>
          <w:rFonts w:ascii="Arial" w:hAnsi="Arial" w:cs="Arial"/>
          <w:lang w:val="mn-MN"/>
        </w:rPr>
        <w:t>1 тээврийн хэрэгсэл (</w:t>
      </w:r>
      <w:r w:rsidR="004D3A0E" w:rsidRPr="00AD4CBB">
        <w:rPr>
          <w:rFonts w:ascii="Arial" w:hAnsi="Arial" w:cs="Arial"/>
          <w:lang w:val="mn-MN"/>
        </w:rPr>
        <w:t>“</w:t>
      </w:r>
      <w:r w:rsidRPr="00AD4CBB">
        <w:rPr>
          <w:rFonts w:ascii="Arial" w:hAnsi="Arial" w:cs="Arial"/>
          <w:lang w:val="mn-MN"/>
        </w:rPr>
        <w:t>Туруун транзит</w:t>
      </w:r>
      <w:r w:rsidR="004D3A0E" w:rsidRPr="00AD4CBB">
        <w:rPr>
          <w:rFonts w:ascii="Arial" w:hAnsi="Arial" w:cs="Arial"/>
          <w:lang w:val="mn-MN"/>
        </w:rPr>
        <w:t>”</w:t>
      </w:r>
      <w:r w:rsidRPr="00AD4CBB">
        <w:rPr>
          <w:rFonts w:ascii="Arial" w:hAnsi="Arial" w:cs="Arial"/>
          <w:lang w:val="mn-MN"/>
        </w:rPr>
        <w:t xml:space="preserve"> ХХК-ий</w:t>
      </w:r>
      <w:r w:rsidR="004D3A0E" w:rsidRPr="00AD4CBB">
        <w:rPr>
          <w:rFonts w:ascii="Arial" w:hAnsi="Arial" w:cs="Arial"/>
          <w:lang w:val="mn-MN"/>
        </w:rPr>
        <w:t>н</w:t>
      </w:r>
      <w:r w:rsidRPr="00AD4CBB">
        <w:rPr>
          <w:rFonts w:ascii="Arial" w:hAnsi="Arial" w:cs="Arial"/>
          <w:lang w:val="mn-MN"/>
        </w:rPr>
        <w:t xml:space="preserve"> 3334УАУ 2022.04.04)-д тус тус нүүрс ачиж экспор</w:t>
      </w:r>
      <w:r w:rsidR="00AD4CBB" w:rsidRPr="00AD4CBB">
        <w:rPr>
          <w:rFonts w:ascii="Arial" w:hAnsi="Arial" w:cs="Arial"/>
          <w:lang w:val="mn-MN"/>
        </w:rPr>
        <w:t>тол</w:t>
      </w:r>
      <w:r w:rsidRPr="00AD4CBB">
        <w:rPr>
          <w:rFonts w:ascii="Arial" w:hAnsi="Arial" w:cs="Arial"/>
          <w:lang w:val="mn-MN"/>
        </w:rPr>
        <w:t>сон нь байгууллагууд уялдаагүй ажиллаж байгааг илтгэж байна.</w:t>
      </w:r>
    </w:p>
    <w:p w14:paraId="4D305597" w14:textId="77777777" w:rsidR="00ED50E5" w:rsidRPr="00AD4CBB" w:rsidRDefault="00ED50E5" w:rsidP="00AD4CBB">
      <w:pPr>
        <w:contextualSpacing/>
        <w:jc w:val="both"/>
        <w:rPr>
          <w:rFonts w:ascii="Arial" w:hAnsi="Arial" w:cs="Arial"/>
          <w:lang w:val="mn-MN"/>
        </w:rPr>
      </w:pPr>
    </w:p>
    <w:p w14:paraId="728F4E2A" w14:textId="762813F5" w:rsidR="00ED50E5" w:rsidRPr="00AD4CBB" w:rsidRDefault="00ED50E5" w:rsidP="00E750C6">
      <w:pPr>
        <w:ind w:firstLine="720"/>
        <w:contextualSpacing/>
        <w:jc w:val="both"/>
        <w:rPr>
          <w:rFonts w:ascii="Arial" w:hAnsi="Arial" w:cs="Arial"/>
          <w:lang w:val="mn-MN"/>
        </w:rPr>
      </w:pPr>
      <w:r w:rsidRPr="00AD4CBB">
        <w:rPr>
          <w:rFonts w:ascii="Arial" w:hAnsi="Arial" w:cs="Arial"/>
          <w:lang w:val="mn-MN"/>
        </w:rPr>
        <w:t>Түүнчлэн тээвэрлэгчдийн зүгээс өгч байгаа мэдээллээр С төрлийн зорчих зөвшөөрлийн үнийг нэмэгдүүлж, дамлаж зарах асуудал байдаг байна. Өөрөөр хэлбэл, авлига, албан тушаалын гэмт хэрэг бий болох магадлалтай байна.</w:t>
      </w:r>
    </w:p>
    <w:p w14:paraId="7EB6A547" w14:textId="456A0519" w:rsidR="00ED50E5" w:rsidRPr="00AD4CBB" w:rsidRDefault="00ED50E5" w:rsidP="00AD4CBB">
      <w:pPr>
        <w:ind w:firstLine="720"/>
        <w:contextualSpacing/>
        <w:jc w:val="both"/>
        <w:rPr>
          <w:rFonts w:ascii="Arial" w:hAnsi="Arial" w:cs="Arial"/>
          <w:color w:val="000000" w:themeColor="text1"/>
          <w:lang w:val="mn-MN"/>
        </w:rPr>
      </w:pPr>
      <w:r w:rsidRPr="00AD4CBB">
        <w:rPr>
          <w:rFonts w:ascii="Arial" w:hAnsi="Arial" w:cs="Arial"/>
          <w:lang w:val="mn-MN"/>
        </w:rPr>
        <w:lastRenderedPageBreak/>
        <w:t>Иймд уул уурхайн чиглэлээр улс хоорондын тээвэрлэлтийн зөвшөөрөл олгох төрийн үйл ажиллагааг ил тод, шударга, нээлттэй бол</w:t>
      </w:r>
      <w:r w:rsidR="00F55D20">
        <w:rPr>
          <w:rFonts w:ascii="Arial" w:hAnsi="Arial" w:cs="Arial"/>
          <w:lang w:val="mn-MN"/>
        </w:rPr>
        <w:t>г</w:t>
      </w:r>
      <w:r w:rsidRPr="00AD4CBB">
        <w:rPr>
          <w:rFonts w:ascii="Arial" w:hAnsi="Arial" w:cs="Arial"/>
          <w:lang w:val="mn-MN"/>
        </w:rPr>
        <w:t xml:space="preserve">ох, бизнес эрхлэгчдэд үүсээд байгаа хүндрэл чирэгдлийг багасах, бизнесийн </w:t>
      </w:r>
      <w:r w:rsidR="00F55D20">
        <w:rPr>
          <w:rFonts w:ascii="Arial" w:hAnsi="Arial" w:cs="Arial"/>
          <w:lang w:val="mn-MN"/>
        </w:rPr>
        <w:t>шударга</w:t>
      </w:r>
      <w:r w:rsidRPr="00AD4CBB">
        <w:rPr>
          <w:rFonts w:ascii="Arial" w:hAnsi="Arial" w:cs="Arial"/>
          <w:lang w:val="mn-MN"/>
        </w:rPr>
        <w:t xml:space="preserve"> өрсөлдөөний зарчмыг хангах эерэг үр дагаврыг бий болгох зорилгоор </w:t>
      </w:r>
      <w:r w:rsidRPr="00AD4CBB">
        <w:rPr>
          <w:rFonts w:ascii="Arial" w:hAnsi="Arial" w:cs="Arial"/>
          <w:color w:val="000000" w:themeColor="text1"/>
          <w:lang w:val="mn-MN"/>
        </w:rPr>
        <w:t>Автотээврийн тухай хуульд нэмэлт оруулах тухай хуулийн</w:t>
      </w:r>
      <w:r w:rsidRPr="00AD4CBB">
        <w:rPr>
          <w:rFonts w:ascii="Arial" w:hAnsi="Arial" w:cs="Arial"/>
          <w:caps/>
          <w:color w:val="000000" w:themeColor="text1"/>
          <w:lang w:val="mn-MN"/>
        </w:rPr>
        <w:t xml:space="preserve"> </w:t>
      </w:r>
      <w:r w:rsidRPr="00AD4CBB">
        <w:rPr>
          <w:rFonts w:ascii="Arial" w:hAnsi="Arial" w:cs="Arial"/>
          <w:color w:val="000000" w:themeColor="text1"/>
          <w:lang w:val="mn-MN"/>
        </w:rPr>
        <w:t>төслийг боловсрууллаа.</w:t>
      </w:r>
    </w:p>
    <w:p w14:paraId="3FEF9718" w14:textId="77777777" w:rsidR="00ED50E5" w:rsidRPr="00AD4CBB" w:rsidRDefault="00ED50E5" w:rsidP="00AD4CBB">
      <w:pPr>
        <w:contextualSpacing/>
        <w:jc w:val="both"/>
        <w:rPr>
          <w:rFonts w:ascii="Arial" w:hAnsi="Arial" w:cs="Arial"/>
          <w:lang w:val="mn-MN"/>
        </w:rPr>
      </w:pPr>
    </w:p>
    <w:p w14:paraId="658448C3" w14:textId="3A2354C3" w:rsidR="00ED50E5" w:rsidRPr="00AD4CBB" w:rsidRDefault="00ED50E5" w:rsidP="00AD4CBB">
      <w:pPr>
        <w:ind w:firstLine="720"/>
        <w:contextualSpacing/>
        <w:jc w:val="both"/>
        <w:rPr>
          <w:rFonts w:ascii="Arial" w:hAnsi="Arial" w:cs="Arial"/>
          <w:lang w:val="mn-MN"/>
        </w:rPr>
      </w:pPr>
      <w:r w:rsidRPr="00AD4CBB">
        <w:rPr>
          <w:rFonts w:ascii="Arial" w:hAnsi="Arial" w:cs="Arial"/>
          <w:lang w:val="mn-MN"/>
        </w:rPr>
        <w:t xml:space="preserve">Хуулийн төсөлд ашигт малтмалын төлөвлөгөө болон худалдан авагчийн худалдан авсан бүтээгдэхүүний тоо хэмжээ, бүтээгдэхүүн зөөвөрлөх хугацаа, хил нэвтэрсэн гүйцэтгэл зэрэгтэй зайлшгүй уялдуулж </w:t>
      </w:r>
      <w:r w:rsidRPr="00AD4CBB">
        <w:rPr>
          <w:rFonts w:ascii="Arial" w:hAnsi="Arial" w:cs="Arial"/>
          <w:color w:val="000000" w:themeColor="text1"/>
          <w:lang w:val="mn-MN"/>
        </w:rPr>
        <w:t xml:space="preserve">зорчих зөвшөөрлийг олгох, хянах </w:t>
      </w:r>
      <w:r w:rsidRPr="00AD4CBB">
        <w:rPr>
          <w:rFonts w:ascii="Arial" w:hAnsi="Arial" w:cs="Arial"/>
          <w:lang w:val="mn-MN"/>
        </w:rPr>
        <w:t>асуудлыг Засгийн газар</w:t>
      </w:r>
      <w:r w:rsidR="00DB412F" w:rsidRPr="00AD4CBB">
        <w:rPr>
          <w:rFonts w:ascii="Arial" w:hAnsi="Arial" w:cs="Arial"/>
          <w:lang w:val="mn-MN"/>
        </w:rPr>
        <w:t>т</w:t>
      </w:r>
      <w:r w:rsidRPr="00AD4CBB">
        <w:rPr>
          <w:rFonts w:ascii="Arial" w:hAnsi="Arial" w:cs="Arial"/>
          <w:lang w:val="mn-MN"/>
        </w:rPr>
        <w:t xml:space="preserve"> захиргааны хэм хэмжээний акт батлах эрх олгож зохицуулах байдлаар тусгалаа.</w:t>
      </w:r>
    </w:p>
    <w:p w14:paraId="1EE840E6" w14:textId="77777777" w:rsidR="00ED50E5" w:rsidRPr="00AD4CBB" w:rsidRDefault="00ED50E5" w:rsidP="00AD4CBB">
      <w:pPr>
        <w:contextualSpacing/>
        <w:jc w:val="both"/>
        <w:rPr>
          <w:rFonts w:ascii="Arial" w:hAnsi="Arial" w:cs="Arial"/>
          <w:lang w:val="mn-MN"/>
        </w:rPr>
      </w:pPr>
    </w:p>
    <w:p w14:paraId="4F0E8C26" w14:textId="5815A373" w:rsidR="00ED50E5" w:rsidRPr="00AD4CBB" w:rsidRDefault="00ED50E5" w:rsidP="00AD4CBB">
      <w:pPr>
        <w:ind w:firstLine="720"/>
        <w:contextualSpacing/>
        <w:jc w:val="both"/>
        <w:rPr>
          <w:rFonts w:ascii="Arial" w:hAnsi="Arial" w:cs="Arial"/>
          <w:lang w:val="mn-MN"/>
        </w:rPr>
      </w:pPr>
      <w:r w:rsidRPr="00AD4CBB">
        <w:rPr>
          <w:rFonts w:ascii="Arial" w:hAnsi="Arial" w:cs="Arial"/>
          <w:lang w:val="mn-MN"/>
        </w:rPr>
        <w:t xml:space="preserve">Хуулийн төсөл батлагдсанаар С төрлийн зорчих зөвшөөрлийг авах шаардлага хангасан тээвэрлэгчдийн мэдээллийг уурхай эрхлэгчдэд хүргүүлж өөрсдийн </w:t>
      </w:r>
      <w:r w:rsidRPr="00AD4CBB">
        <w:rPr>
          <w:rFonts w:ascii="Arial" w:hAnsi="Arial" w:cs="Arial"/>
          <w:color w:val="000000" w:themeColor="text1"/>
          <w:lang w:val="mn-MN"/>
        </w:rPr>
        <w:t xml:space="preserve">экспортын бүтээгдэхүүний хувь хэмжээтэй </w:t>
      </w:r>
      <w:r w:rsidRPr="00AD4CBB">
        <w:rPr>
          <w:rFonts w:ascii="Arial" w:hAnsi="Arial" w:cs="Arial"/>
          <w:lang w:val="mn-MN"/>
        </w:rPr>
        <w:t>уялдуулан эдгээр тээврийн хэрэгслээс сонгон, шийдвэрлэх боломж бий болж авлига, албан тушаалын гэмт хэргээс урьдчилан сэргийлэх нөхцөл бүрдэнэ.</w:t>
      </w:r>
    </w:p>
    <w:p w14:paraId="7C236A6A" w14:textId="77777777" w:rsidR="00ED50E5" w:rsidRPr="00AD4CBB" w:rsidRDefault="00ED50E5" w:rsidP="00AD4CBB">
      <w:pPr>
        <w:contextualSpacing/>
        <w:jc w:val="both"/>
        <w:rPr>
          <w:rFonts w:ascii="Arial" w:hAnsi="Arial" w:cs="Arial"/>
          <w:lang w:val="mn-MN"/>
        </w:rPr>
      </w:pPr>
    </w:p>
    <w:p w14:paraId="75B651D3" w14:textId="22167F50" w:rsidR="00ED50E5" w:rsidRPr="00AD4CBB" w:rsidRDefault="00ED50E5" w:rsidP="00AD4CBB">
      <w:pPr>
        <w:ind w:firstLine="720"/>
        <w:contextualSpacing/>
        <w:jc w:val="both"/>
        <w:rPr>
          <w:rFonts w:ascii="Arial" w:hAnsi="Arial" w:cs="Arial"/>
          <w:lang w:val="mn-MN"/>
        </w:rPr>
      </w:pPr>
      <w:r w:rsidRPr="00AD4CBB">
        <w:rPr>
          <w:rFonts w:ascii="Arial" w:hAnsi="Arial" w:cs="Arial"/>
          <w:color w:val="000000" w:themeColor="text1"/>
          <w:lang w:val="mn-MN"/>
        </w:rPr>
        <w:t>Тус хуулийн төс</w:t>
      </w:r>
      <w:r w:rsidR="00F321A3" w:rsidRPr="00AD4CBB">
        <w:rPr>
          <w:rFonts w:ascii="Arial" w:hAnsi="Arial" w:cs="Arial"/>
          <w:color w:val="000000" w:themeColor="text1"/>
          <w:lang w:val="mn-MN"/>
        </w:rPr>
        <w:t xml:space="preserve">лийг </w:t>
      </w:r>
      <w:r w:rsidRPr="00AD4CBB">
        <w:rPr>
          <w:rFonts w:ascii="Arial" w:hAnsi="Arial" w:cs="Arial"/>
          <w:color w:val="000000" w:themeColor="text1"/>
          <w:shd w:val="clear" w:color="auto" w:fill="FFFFFF"/>
          <w:lang w:val="mn-MN"/>
        </w:rPr>
        <w:t xml:space="preserve">олон улсын хөл хориот өвчин гарсан онцгой нөхцөлийг арилгах </w:t>
      </w:r>
      <w:r w:rsidR="00F321A3" w:rsidRPr="00AD4CBB">
        <w:rPr>
          <w:rFonts w:ascii="Arial" w:hAnsi="Arial" w:cs="Arial"/>
          <w:color w:val="000000" w:themeColor="text1"/>
          <w:shd w:val="clear" w:color="auto" w:fill="FFFFFF"/>
          <w:lang w:val="mn-MN"/>
        </w:rPr>
        <w:t>хүрээнд</w:t>
      </w:r>
      <w:r w:rsidRPr="00AD4CBB">
        <w:rPr>
          <w:rFonts w:ascii="Arial" w:hAnsi="Arial" w:cs="Arial"/>
          <w:color w:val="000000" w:themeColor="text1"/>
          <w:shd w:val="clear" w:color="auto" w:fill="FFFFFF"/>
          <w:lang w:val="mn-MN"/>
        </w:rPr>
        <w:t xml:space="preserve"> </w:t>
      </w:r>
      <w:r w:rsidR="00F55D20">
        <w:rPr>
          <w:rFonts w:ascii="Arial" w:hAnsi="Arial" w:cs="Arial"/>
          <w:color w:val="000000" w:themeColor="text1"/>
          <w:shd w:val="clear" w:color="auto" w:fill="FFFFFF"/>
          <w:lang w:val="mn-MN"/>
        </w:rPr>
        <w:t>боловсруулсан</w:t>
      </w:r>
      <w:r w:rsidRPr="00AD4CBB">
        <w:rPr>
          <w:rFonts w:ascii="Arial" w:hAnsi="Arial" w:cs="Arial"/>
          <w:color w:val="000000" w:themeColor="text1"/>
          <w:lang w:val="mn-MN"/>
        </w:rPr>
        <w:t xml:space="preserve"> </w:t>
      </w:r>
      <w:r w:rsidRPr="00AD4CBB">
        <w:rPr>
          <w:rFonts w:ascii="Arial" w:hAnsi="Arial" w:cs="Arial"/>
          <w:lang w:val="mn-MN"/>
        </w:rPr>
        <w:t>тул Хууль тогтоомжийн тухай хуулийн 12 дугаар зүйлийн 12.2.7</w:t>
      </w:r>
      <w:r w:rsidR="00F55D20">
        <w:rPr>
          <w:rFonts w:ascii="Arial" w:hAnsi="Arial" w:cs="Arial"/>
          <w:lang w:val="mn-MN"/>
        </w:rPr>
        <w:t xml:space="preserve">-д заасны </w:t>
      </w:r>
      <w:r w:rsidRPr="00AD4CBB">
        <w:rPr>
          <w:rFonts w:ascii="Arial" w:hAnsi="Arial" w:cs="Arial"/>
          <w:lang w:val="mn-MN"/>
        </w:rPr>
        <w:t xml:space="preserve">дагуу </w:t>
      </w:r>
      <w:r w:rsidR="00F55D20">
        <w:rPr>
          <w:rFonts w:ascii="Arial" w:hAnsi="Arial" w:cs="Arial"/>
          <w:lang w:val="mn-MN"/>
        </w:rPr>
        <w:t xml:space="preserve">холбогдох </w:t>
      </w:r>
      <w:r w:rsidRPr="00AD4CBB">
        <w:rPr>
          <w:rFonts w:ascii="Arial" w:hAnsi="Arial" w:cs="Arial"/>
          <w:lang w:val="mn-MN"/>
        </w:rPr>
        <w:t>үнэлгээ, судалгааг боловсруулах шаардлагагүй болно.</w:t>
      </w:r>
    </w:p>
    <w:p w14:paraId="09C35A44" w14:textId="512C5442" w:rsidR="00ED50E5" w:rsidRPr="00AD4CBB" w:rsidRDefault="00ED50E5" w:rsidP="00AD4CBB">
      <w:pPr>
        <w:contextualSpacing/>
        <w:jc w:val="both"/>
        <w:rPr>
          <w:rFonts w:ascii="Arial" w:hAnsi="Arial" w:cs="Arial"/>
          <w:color w:val="000000" w:themeColor="text1"/>
          <w:lang w:val="mn-MN"/>
        </w:rPr>
      </w:pPr>
    </w:p>
    <w:p w14:paraId="2CA94DE1" w14:textId="761D8BC6" w:rsidR="00E66370" w:rsidRPr="00AD4CBB" w:rsidRDefault="00E66370" w:rsidP="00AD4CBB">
      <w:pPr>
        <w:contextualSpacing/>
        <w:jc w:val="both"/>
        <w:rPr>
          <w:rFonts w:ascii="Arial" w:hAnsi="Arial" w:cs="Arial"/>
          <w:color w:val="000000" w:themeColor="text1"/>
          <w:lang w:val="mn-MN"/>
        </w:rPr>
      </w:pPr>
    </w:p>
    <w:p w14:paraId="66881F5E" w14:textId="77777777" w:rsidR="00E66370" w:rsidRPr="00AD4CBB" w:rsidRDefault="00E66370" w:rsidP="00AD4CBB">
      <w:pPr>
        <w:contextualSpacing/>
        <w:jc w:val="both"/>
        <w:rPr>
          <w:rFonts w:ascii="Arial" w:hAnsi="Arial" w:cs="Arial"/>
          <w:color w:val="000000" w:themeColor="text1"/>
          <w:lang w:val="mn-MN"/>
        </w:rPr>
      </w:pPr>
    </w:p>
    <w:p w14:paraId="7264DC14" w14:textId="5BE608E0" w:rsidR="00ED50E5" w:rsidRPr="00AD4CBB" w:rsidRDefault="00ED50E5" w:rsidP="00AD4CBB">
      <w:pPr>
        <w:contextualSpacing/>
        <w:jc w:val="center"/>
        <w:rPr>
          <w:rFonts w:ascii="Arial" w:hAnsi="Arial" w:cs="Arial"/>
          <w:color w:val="000000" w:themeColor="text1"/>
        </w:rPr>
      </w:pPr>
      <w:r w:rsidRPr="00AD4CBB">
        <w:rPr>
          <w:rFonts w:ascii="Arial" w:hAnsi="Arial" w:cs="Arial"/>
          <w:color w:val="000000" w:themeColor="text1"/>
        </w:rPr>
        <w:t>ХУУЛЬ ЗҮЙ, ДОТООД ХЭРГИЙН ЯАМ</w:t>
      </w:r>
    </w:p>
    <w:p w14:paraId="22EF5A42" w14:textId="53666A7F" w:rsidR="004D3A0E" w:rsidRPr="00AD4CBB" w:rsidRDefault="004D3A0E" w:rsidP="00AD4CBB">
      <w:pPr>
        <w:contextualSpacing/>
        <w:jc w:val="center"/>
        <w:rPr>
          <w:rFonts w:ascii="Arial" w:hAnsi="Arial" w:cs="Arial"/>
          <w:color w:val="000000" w:themeColor="text1"/>
        </w:rPr>
      </w:pPr>
    </w:p>
    <w:p w14:paraId="1B105FC8" w14:textId="5E3746BC" w:rsidR="004D3A0E" w:rsidRPr="00AD4CBB" w:rsidRDefault="004D3A0E" w:rsidP="00AD4CBB">
      <w:pPr>
        <w:contextualSpacing/>
        <w:jc w:val="center"/>
        <w:rPr>
          <w:rFonts w:ascii="Arial" w:hAnsi="Arial" w:cs="Arial"/>
          <w:color w:val="000000" w:themeColor="text1"/>
        </w:rPr>
      </w:pPr>
    </w:p>
    <w:p w14:paraId="09A1744A" w14:textId="11F6F422" w:rsidR="004D3A0E" w:rsidRPr="00AD4CBB" w:rsidRDefault="004D3A0E" w:rsidP="00AD4CBB">
      <w:pPr>
        <w:contextualSpacing/>
        <w:jc w:val="center"/>
        <w:rPr>
          <w:rFonts w:ascii="Arial" w:hAnsi="Arial" w:cs="Arial"/>
          <w:color w:val="000000" w:themeColor="text1"/>
        </w:rPr>
      </w:pPr>
    </w:p>
    <w:p w14:paraId="4A006723" w14:textId="0C8178B1" w:rsidR="004D3A0E" w:rsidRPr="00AD4CBB" w:rsidRDefault="004D3A0E" w:rsidP="00AD4CBB">
      <w:pPr>
        <w:contextualSpacing/>
        <w:jc w:val="center"/>
        <w:rPr>
          <w:rFonts w:ascii="Arial" w:hAnsi="Arial" w:cs="Arial"/>
          <w:color w:val="000000" w:themeColor="text1"/>
        </w:rPr>
      </w:pPr>
    </w:p>
    <w:p w14:paraId="5DFFE302" w14:textId="3CB4B338" w:rsidR="004D3A0E" w:rsidRPr="00AD4CBB" w:rsidRDefault="004D3A0E" w:rsidP="00AD4CBB">
      <w:pPr>
        <w:contextualSpacing/>
        <w:jc w:val="center"/>
        <w:rPr>
          <w:rFonts w:ascii="Arial" w:hAnsi="Arial" w:cs="Arial"/>
          <w:color w:val="000000" w:themeColor="text1"/>
        </w:rPr>
      </w:pPr>
    </w:p>
    <w:p w14:paraId="7B4C4FF8" w14:textId="39A4DB20" w:rsidR="004D3A0E" w:rsidRPr="00AD4CBB" w:rsidRDefault="004D3A0E" w:rsidP="00AD4CBB">
      <w:pPr>
        <w:contextualSpacing/>
        <w:jc w:val="center"/>
        <w:rPr>
          <w:rFonts w:ascii="Arial" w:hAnsi="Arial" w:cs="Arial"/>
          <w:color w:val="000000" w:themeColor="text1"/>
        </w:rPr>
      </w:pPr>
    </w:p>
    <w:p w14:paraId="0477222F" w14:textId="69672A75" w:rsidR="004D3A0E" w:rsidRPr="00AD4CBB" w:rsidRDefault="004D3A0E" w:rsidP="00AD4CBB">
      <w:pPr>
        <w:contextualSpacing/>
        <w:jc w:val="center"/>
        <w:rPr>
          <w:rFonts w:ascii="Arial" w:hAnsi="Arial" w:cs="Arial"/>
          <w:color w:val="000000" w:themeColor="text1"/>
        </w:rPr>
      </w:pPr>
    </w:p>
    <w:p w14:paraId="35D4ABFD" w14:textId="3AD6C873" w:rsidR="004D3A0E" w:rsidRPr="00AD4CBB" w:rsidRDefault="004D3A0E" w:rsidP="00AD4CBB">
      <w:pPr>
        <w:contextualSpacing/>
        <w:jc w:val="center"/>
        <w:rPr>
          <w:rFonts w:ascii="Arial" w:hAnsi="Arial" w:cs="Arial"/>
          <w:color w:val="000000" w:themeColor="text1"/>
        </w:rPr>
      </w:pPr>
    </w:p>
    <w:p w14:paraId="5CD4BED0" w14:textId="68A92600" w:rsidR="004D3A0E" w:rsidRPr="00AD4CBB" w:rsidRDefault="004D3A0E" w:rsidP="00AD4CBB">
      <w:pPr>
        <w:contextualSpacing/>
        <w:jc w:val="center"/>
        <w:rPr>
          <w:rFonts w:ascii="Arial" w:hAnsi="Arial" w:cs="Arial"/>
          <w:color w:val="000000" w:themeColor="text1"/>
        </w:rPr>
      </w:pPr>
    </w:p>
    <w:p w14:paraId="3C23B22E" w14:textId="407762EE" w:rsidR="004D3A0E" w:rsidRPr="00AD4CBB" w:rsidRDefault="004D3A0E" w:rsidP="00AD4CBB">
      <w:pPr>
        <w:contextualSpacing/>
        <w:jc w:val="center"/>
        <w:rPr>
          <w:rFonts w:ascii="Arial" w:hAnsi="Arial" w:cs="Arial"/>
          <w:color w:val="000000" w:themeColor="text1"/>
        </w:rPr>
      </w:pPr>
    </w:p>
    <w:p w14:paraId="3F1B2498" w14:textId="0F57B6C9" w:rsidR="004D3A0E" w:rsidRPr="00AD4CBB" w:rsidRDefault="004D3A0E" w:rsidP="00AD4CBB">
      <w:pPr>
        <w:contextualSpacing/>
        <w:jc w:val="center"/>
        <w:rPr>
          <w:rFonts w:ascii="Arial" w:hAnsi="Arial" w:cs="Arial"/>
          <w:color w:val="000000" w:themeColor="text1"/>
        </w:rPr>
      </w:pPr>
    </w:p>
    <w:p w14:paraId="330BEF26" w14:textId="6BE24C22" w:rsidR="004D3A0E" w:rsidRPr="00AD4CBB" w:rsidRDefault="004D3A0E" w:rsidP="00AD4CBB">
      <w:pPr>
        <w:contextualSpacing/>
        <w:jc w:val="center"/>
        <w:rPr>
          <w:rFonts w:ascii="Arial" w:hAnsi="Arial" w:cs="Arial"/>
          <w:color w:val="000000" w:themeColor="text1"/>
        </w:rPr>
      </w:pPr>
    </w:p>
    <w:p w14:paraId="638FB18E" w14:textId="1A9B8282" w:rsidR="004D3A0E" w:rsidRPr="00AD4CBB" w:rsidRDefault="004D3A0E" w:rsidP="00AD4CBB">
      <w:pPr>
        <w:contextualSpacing/>
        <w:jc w:val="center"/>
        <w:rPr>
          <w:rFonts w:ascii="Arial" w:hAnsi="Arial" w:cs="Arial"/>
          <w:color w:val="000000" w:themeColor="text1"/>
        </w:rPr>
      </w:pPr>
    </w:p>
    <w:p w14:paraId="5AEA7A9C" w14:textId="706E9427" w:rsidR="004D3A0E" w:rsidRPr="00AD4CBB" w:rsidRDefault="004D3A0E" w:rsidP="00AD4CBB">
      <w:pPr>
        <w:contextualSpacing/>
        <w:jc w:val="center"/>
        <w:rPr>
          <w:rFonts w:ascii="Arial" w:hAnsi="Arial" w:cs="Arial"/>
          <w:color w:val="000000" w:themeColor="text1"/>
        </w:rPr>
      </w:pPr>
    </w:p>
    <w:p w14:paraId="5D368212" w14:textId="0F28C795" w:rsidR="004D3A0E" w:rsidRPr="00AD4CBB" w:rsidRDefault="004D3A0E" w:rsidP="00AD4CBB">
      <w:pPr>
        <w:contextualSpacing/>
        <w:jc w:val="center"/>
        <w:rPr>
          <w:rFonts w:ascii="Arial" w:hAnsi="Arial" w:cs="Arial"/>
          <w:color w:val="000000" w:themeColor="text1"/>
        </w:rPr>
      </w:pPr>
    </w:p>
    <w:p w14:paraId="2A7D46D8" w14:textId="541EDB2E" w:rsidR="004D3A0E" w:rsidRDefault="004D3A0E" w:rsidP="00AD4CBB">
      <w:pPr>
        <w:contextualSpacing/>
        <w:jc w:val="center"/>
        <w:rPr>
          <w:rFonts w:ascii="Arial" w:hAnsi="Arial" w:cs="Arial"/>
          <w:color w:val="000000" w:themeColor="text1"/>
        </w:rPr>
      </w:pPr>
    </w:p>
    <w:p w14:paraId="3ECB599D" w14:textId="1A39B713" w:rsidR="00F55D20" w:rsidRDefault="00F55D20" w:rsidP="00AD4CBB">
      <w:pPr>
        <w:contextualSpacing/>
        <w:jc w:val="center"/>
        <w:rPr>
          <w:rFonts w:ascii="Arial" w:hAnsi="Arial" w:cs="Arial"/>
          <w:color w:val="000000" w:themeColor="text1"/>
        </w:rPr>
      </w:pPr>
    </w:p>
    <w:p w14:paraId="333121FB" w14:textId="7EF157FF" w:rsidR="00F55D20" w:rsidRDefault="00F55D20" w:rsidP="00AD4CBB">
      <w:pPr>
        <w:contextualSpacing/>
        <w:jc w:val="center"/>
        <w:rPr>
          <w:rFonts w:ascii="Arial" w:hAnsi="Arial" w:cs="Arial"/>
          <w:color w:val="000000" w:themeColor="text1"/>
        </w:rPr>
      </w:pPr>
    </w:p>
    <w:p w14:paraId="0BC9CC39" w14:textId="7A92918A" w:rsidR="00F55D20" w:rsidRDefault="00F55D20" w:rsidP="00AD4CBB">
      <w:pPr>
        <w:contextualSpacing/>
        <w:jc w:val="center"/>
        <w:rPr>
          <w:rFonts w:ascii="Arial" w:hAnsi="Arial" w:cs="Arial"/>
          <w:color w:val="000000" w:themeColor="text1"/>
        </w:rPr>
      </w:pPr>
    </w:p>
    <w:p w14:paraId="63E65EEE" w14:textId="77777777" w:rsidR="00E750C6" w:rsidRPr="00AD4CBB" w:rsidRDefault="00E750C6" w:rsidP="00AD4CBB">
      <w:pPr>
        <w:contextualSpacing/>
        <w:jc w:val="center"/>
        <w:rPr>
          <w:rFonts w:ascii="Arial" w:hAnsi="Arial" w:cs="Arial"/>
          <w:color w:val="000000" w:themeColor="text1"/>
        </w:rPr>
      </w:pPr>
    </w:p>
    <w:p w14:paraId="3FACE6BD" w14:textId="671CC0CB" w:rsidR="004D3A0E" w:rsidRPr="00AD4CBB" w:rsidRDefault="004D3A0E" w:rsidP="00AD4CBB">
      <w:pPr>
        <w:contextualSpacing/>
        <w:jc w:val="center"/>
        <w:rPr>
          <w:rFonts w:ascii="Arial" w:hAnsi="Arial" w:cs="Arial"/>
          <w:color w:val="000000" w:themeColor="text1"/>
        </w:rPr>
      </w:pPr>
    </w:p>
    <w:p w14:paraId="551D074F" w14:textId="55AE3A30" w:rsidR="004D3A0E" w:rsidRPr="00AD4CBB" w:rsidRDefault="004D3A0E" w:rsidP="00AD4CBB">
      <w:pPr>
        <w:contextualSpacing/>
        <w:jc w:val="center"/>
        <w:rPr>
          <w:rFonts w:ascii="Arial" w:hAnsi="Arial" w:cs="Arial"/>
          <w:color w:val="000000" w:themeColor="text1"/>
        </w:rPr>
      </w:pPr>
    </w:p>
    <w:p w14:paraId="17FB3123" w14:textId="1A98BC32" w:rsidR="004D3A0E" w:rsidRPr="00AD4CBB" w:rsidRDefault="004D3A0E" w:rsidP="00AD4CBB">
      <w:pPr>
        <w:contextualSpacing/>
        <w:jc w:val="center"/>
        <w:rPr>
          <w:rFonts w:ascii="Arial" w:hAnsi="Arial" w:cs="Arial"/>
          <w:color w:val="000000" w:themeColor="text1"/>
        </w:rPr>
      </w:pPr>
    </w:p>
    <w:p w14:paraId="707891A5" w14:textId="5C784BB8" w:rsidR="004D3A0E" w:rsidRPr="00AD4CBB" w:rsidRDefault="004D3A0E" w:rsidP="00AD4CBB">
      <w:pPr>
        <w:contextualSpacing/>
        <w:jc w:val="center"/>
        <w:rPr>
          <w:rFonts w:ascii="Arial" w:hAnsi="Arial" w:cs="Arial"/>
          <w:color w:val="000000" w:themeColor="text1"/>
        </w:rPr>
      </w:pPr>
    </w:p>
    <w:p w14:paraId="0DFDB786" w14:textId="597655D0" w:rsidR="004D3A0E" w:rsidRPr="00AD4CBB" w:rsidRDefault="004D3A0E" w:rsidP="00AD4CBB">
      <w:pPr>
        <w:contextualSpacing/>
        <w:jc w:val="center"/>
        <w:rPr>
          <w:rFonts w:ascii="Arial" w:hAnsi="Arial" w:cs="Arial"/>
          <w:color w:val="000000" w:themeColor="text1"/>
        </w:rPr>
      </w:pPr>
    </w:p>
    <w:p w14:paraId="2BC6E701" w14:textId="0898CE0F" w:rsidR="004D3A0E" w:rsidRPr="00AD4CBB" w:rsidRDefault="004D3A0E" w:rsidP="00AD4CBB">
      <w:pPr>
        <w:contextualSpacing/>
        <w:jc w:val="center"/>
        <w:rPr>
          <w:rFonts w:ascii="Arial" w:hAnsi="Arial" w:cs="Arial"/>
          <w:color w:val="000000" w:themeColor="text1"/>
        </w:rPr>
      </w:pPr>
    </w:p>
    <w:sectPr w:rsidR="004D3A0E" w:rsidRPr="00AD4CBB" w:rsidSect="00E66370">
      <w:type w:val="continuous"/>
      <w:pgSz w:w="11900" w:h="16840"/>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E0"/>
    <w:rsid w:val="0017686E"/>
    <w:rsid w:val="001B77E1"/>
    <w:rsid w:val="0023617B"/>
    <w:rsid w:val="002A0C5E"/>
    <w:rsid w:val="002C11E2"/>
    <w:rsid w:val="003011F9"/>
    <w:rsid w:val="00403FFE"/>
    <w:rsid w:val="004345A2"/>
    <w:rsid w:val="004457DC"/>
    <w:rsid w:val="00460F6D"/>
    <w:rsid w:val="004A4F0D"/>
    <w:rsid w:val="004A51AA"/>
    <w:rsid w:val="004D3A0E"/>
    <w:rsid w:val="004E64B0"/>
    <w:rsid w:val="005C606C"/>
    <w:rsid w:val="006519DE"/>
    <w:rsid w:val="006B74E0"/>
    <w:rsid w:val="007F347B"/>
    <w:rsid w:val="00AD4CBB"/>
    <w:rsid w:val="00B24CC9"/>
    <w:rsid w:val="00BF6CC0"/>
    <w:rsid w:val="00C23FA2"/>
    <w:rsid w:val="00C32D7F"/>
    <w:rsid w:val="00C47640"/>
    <w:rsid w:val="00C663BB"/>
    <w:rsid w:val="00CA45C8"/>
    <w:rsid w:val="00DB412F"/>
    <w:rsid w:val="00E66370"/>
    <w:rsid w:val="00E750C6"/>
    <w:rsid w:val="00EA4650"/>
    <w:rsid w:val="00ED50E5"/>
    <w:rsid w:val="00F0656F"/>
    <w:rsid w:val="00F16F63"/>
    <w:rsid w:val="00F321A3"/>
    <w:rsid w:val="00F55D20"/>
    <w:rsid w:val="00F768EE"/>
    <w:rsid w:val="00FE30C4"/>
  </w:rsids>
  <m:mathPr>
    <m:mathFont m:val="Cambria Math"/>
    <m:brkBin m:val="before"/>
    <m:brkBinSub m:val="--"/>
    <m:smallFrac m:val="0"/>
    <m:dispDef/>
    <m:lMargin m:val="0"/>
    <m:rMargin m:val="0"/>
    <m:defJc m:val="centerGroup"/>
    <m:wrapIndent m:val="1440"/>
    <m:intLim m:val="subSup"/>
    <m:naryLim m:val="undOvr"/>
  </m:mathPr>
  <w:themeFontLang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EEAC3"/>
  <w15:chartTrackingRefBased/>
  <w15:docId w15:val="{1DF93469-8720-EF43-B9DF-BF590E8E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4E0"/>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B74E0"/>
    <w:pPr>
      <w:jc w:val="center"/>
    </w:pPr>
    <w:rPr>
      <w:rFonts w:ascii="Arial Mon" w:hAnsi="Arial Mon"/>
      <w:b/>
      <w:bCs/>
      <w:color w:val="000099"/>
      <w:szCs w:val="25"/>
    </w:rPr>
  </w:style>
  <w:style w:type="character" w:customStyle="1" w:styleId="TitleChar">
    <w:name w:val="Title Char"/>
    <w:basedOn w:val="DefaultParagraphFont"/>
    <w:link w:val="Title"/>
    <w:rsid w:val="006B74E0"/>
    <w:rPr>
      <w:rFonts w:ascii="Arial Mon" w:eastAsia="Times New Roman" w:hAnsi="Arial Mon" w:cs="Times New Roman"/>
      <w:b/>
      <w:bCs/>
      <w:color w:val="000099"/>
      <w:szCs w:val="2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Elbegzaya Jargalsaikhan</cp:lastModifiedBy>
  <cp:revision>14</cp:revision>
  <cp:lastPrinted>2022-04-22T03:45:00Z</cp:lastPrinted>
  <dcterms:created xsi:type="dcterms:W3CDTF">2022-04-11T10:34:00Z</dcterms:created>
  <dcterms:modified xsi:type="dcterms:W3CDTF">2022-05-04T06:42:00Z</dcterms:modified>
</cp:coreProperties>
</file>