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52E9" w14:textId="4D4B5432" w:rsidR="002A28AD" w:rsidRPr="002A70F2" w:rsidRDefault="002A70F2" w:rsidP="002A70F2">
      <w:pPr>
        <w:spacing w:after="0" w:line="240" w:lineRule="auto"/>
        <w:jc w:val="center"/>
        <w:rPr>
          <w:rFonts w:ascii="Arial" w:hAnsi="Arial" w:cs="Arial"/>
          <w:b/>
          <w:caps/>
          <w:lang w:val="mn-MN"/>
        </w:rPr>
      </w:pPr>
      <w:r>
        <w:rPr>
          <w:rFonts w:ascii="Arial" w:hAnsi="Arial" w:cs="Arial"/>
          <w:b/>
          <w:caps/>
          <w:lang w:val="mn-MN"/>
        </w:rPr>
        <w:t>“</w:t>
      </w:r>
      <w:r w:rsidR="002A28AD" w:rsidRPr="0015231B">
        <w:rPr>
          <w:rFonts w:ascii="Arial" w:hAnsi="Arial" w:cs="Arial"/>
          <w:b/>
          <w:caps/>
          <w:lang w:val="mn-MN"/>
        </w:rPr>
        <w:t>тогтоолЫН ХАВСРАЛТАД өөрчлөлт оруулах</w:t>
      </w:r>
      <w:r>
        <w:rPr>
          <w:rFonts w:ascii="Arial" w:hAnsi="Arial" w:cs="Arial"/>
          <w:b/>
          <w:caps/>
          <w:lang w:val="mn-MN"/>
        </w:rPr>
        <w:t xml:space="preserve"> тухай” улсын их хурлын </w:t>
      </w:r>
      <w:r w:rsidR="002A28AD" w:rsidRPr="0015231B">
        <w:rPr>
          <w:rFonts w:ascii="Arial" w:hAnsi="Arial" w:cs="Arial"/>
          <w:b/>
          <w:caps/>
          <w:lang w:val="mn-MN"/>
        </w:rPr>
        <w:t xml:space="preserve"> тогтоолын</w:t>
      </w:r>
      <w:r>
        <w:rPr>
          <w:rFonts w:ascii="Arial" w:hAnsi="Arial" w:cs="Arial"/>
          <w:b/>
          <w:caps/>
          <w:lang w:val="mn-MN"/>
        </w:rPr>
        <w:t xml:space="preserve"> </w:t>
      </w:r>
      <w:r w:rsidR="002A28AD" w:rsidRPr="0015231B">
        <w:rPr>
          <w:rFonts w:ascii="Arial" w:hAnsi="Arial" w:cs="Arial"/>
          <w:b/>
          <w:caps/>
          <w:lang w:val="mn-MN"/>
        </w:rPr>
        <w:t xml:space="preserve">төслийн </w:t>
      </w:r>
      <w:r w:rsidR="002A28AD" w:rsidRPr="0015231B">
        <w:rPr>
          <w:rFonts w:ascii="Arial" w:hAnsi="Arial" w:cs="Arial"/>
          <w:b/>
          <w:lang w:val="mn-MN"/>
        </w:rPr>
        <w:t xml:space="preserve">ҮР НӨЛӨӨНИЙ ҮНЭЛГЭЭ </w:t>
      </w:r>
    </w:p>
    <w:p w14:paraId="1A069C93" w14:textId="77777777" w:rsidR="002A28AD" w:rsidRPr="0015231B" w:rsidRDefault="002A28AD" w:rsidP="0015231B">
      <w:pPr>
        <w:pStyle w:val="NoSpacing"/>
        <w:jc w:val="center"/>
        <w:rPr>
          <w:rFonts w:ascii="Arial" w:hAnsi="Arial" w:cs="Arial"/>
          <w:sz w:val="22"/>
          <w:szCs w:val="22"/>
          <w:lang w:val="mn-MN"/>
        </w:rPr>
      </w:pPr>
    </w:p>
    <w:p w14:paraId="04EAC971" w14:textId="3B20F6A9" w:rsidR="002A28AD" w:rsidRPr="0015231B" w:rsidRDefault="002A28AD" w:rsidP="0015231B">
      <w:pPr>
        <w:spacing w:after="0" w:line="240" w:lineRule="auto"/>
        <w:ind w:firstLine="567"/>
        <w:jc w:val="both"/>
        <w:rPr>
          <w:rFonts w:ascii="Arial" w:hAnsi="Arial" w:cs="Arial"/>
          <w:lang w:val="mn-MN"/>
        </w:rPr>
      </w:pPr>
      <w:r w:rsidRPr="0015231B">
        <w:rPr>
          <w:rFonts w:ascii="Arial" w:hAnsi="Arial" w:cs="Arial"/>
          <w:lang w:val="mn-MN"/>
        </w:rPr>
        <w:tab/>
        <w:t>Улсын Их Хурлын 2015 оны 07 дугаар сарын 03-ны өдрийн 70 дугаар тогтоолын хавсралтаар баталсан “Төрийн өмчийг 2015-2016 онд хувьчлах, өөрчлөн байгуулах үндсэн чиглэл”-ийн 4.17 дахь заалтад Засгийн газрын 2016 оны 59 дүгээр тогтоолоор баталсан "Хууль тогтоомжийн төслийн үр нөлөг үнэлэх аргачлал"-ын дагуу үнэлгээ хийлээ.</w:t>
      </w:r>
    </w:p>
    <w:p w14:paraId="25DF7991" w14:textId="77777777" w:rsidR="0015231B" w:rsidRDefault="002A28AD" w:rsidP="0015231B">
      <w:pPr>
        <w:pStyle w:val="NoSpacing"/>
        <w:jc w:val="both"/>
        <w:rPr>
          <w:rFonts w:ascii="Arial" w:hAnsi="Arial" w:cs="Arial"/>
          <w:sz w:val="22"/>
          <w:szCs w:val="22"/>
          <w:lang w:val="mn-MN"/>
        </w:rPr>
      </w:pPr>
      <w:r w:rsidRPr="0015231B">
        <w:rPr>
          <w:rFonts w:ascii="Arial" w:hAnsi="Arial" w:cs="Arial"/>
          <w:sz w:val="22"/>
          <w:szCs w:val="22"/>
          <w:lang w:val="mn-MN"/>
        </w:rPr>
        <w:tab/>
      </w:r>
    </w:p>
    <w:p w14:paraId="23DDCA25" w14:textId="34471438" w:rsidR="002A28AD" w:rsidRPr="0015231B" w:rsidRDefault="002A28AD" w:rsidP="0015231B">
      <w:pPr>
        <w:pStyle w:val="NoSpacing"/>
        <w:ind w:firstLine="567"/>
        <w:jc w:val="both"/>
        <w:rPr>
          <w:rFonts w:ascii="Arial" w:hAnsi="Arial" w:cs="Arial"/>
          <w:b/>
          <w:sz w:val="22"/>
          <w:szCs w:val="22"/>
          <w:lang w:val="mn-MN"/>
        </w:rPr>
      </w:pPr>
      <w:r w:rsidRPr="0015231B">
        <w:rPr>
          <w:rFonts w:ascii="Arial" w:hAnsi="Arial" w:cs="Arial"/>
          <w:b/>
          <w:sz w:val="22"/>
          <w:szCs w:val="22"/>
          <w:lang w:val="mn-MN"/>
        </w:rPr>
        <w:t>Нэг.Үр нөлөөний үнэлгээний шалгуур үзүүлэлт</w:t>
      </w:r>
    </w:p>
    <w:p w14:paraId="0EA0AF4F" w14:textId="77777777" w:rsidR="002A28AD" w:rsidRPr="0015231B" w:rsidRDefault="002A28AD" w:rsidP="0015231B">
      <w:pPr>
        <w:pStyle w:val="NoSpacing"/>
        <w:jc w:val="both"/>
        <w:rPr>
          <w:rFonts w:ascii="Arial" w:hAnsi="Arial" w:cs="Arial"/>
          <w:b/>
          <w:sz w:val="22"/>
          <w:szCs w:val="22"/>
          <w:lang w:val="mn-MN"/>
        </w:rPr>
      </w:pPr>
      <w:r w:rsidRPr="0015231B">
        <w:rPr>
          <w:rFonts w:ascii="Arial" w:hAnsi="Arial" w:cs="Arial"/>
          <w:b/>
          <w:sz w:val="22"/>
          <w:szCs w:val="22"/>
          <w:lang w:val="mn-MN"/>
        </w:rPr>
        <w:tab/>
      </w:r>
    </w:p>
    <w:p w14:paraId="45721036" w14:textId="03D8FE6D" w:rsidR="002A28AD" w:rsidRPr="0015231B" w:rsidRDefault="002A28AD" w:rsidP="0015231B">
      <w:pPr>
        <w:pStyle w:val="NoSpacing"/>
        <w:ind w:firstLine="720"/>
        <w:jc w:val="both"/>
        <w:rPr>
          <w:rFonts w:ascii="Arial" w:hAnsi="Arial" w:cs="Arial"/>
          <w:sz w:val="22"/>
          <w:szCs w:val="22"/>
          <w:lang w:val="mn-MN"/>
        </w:rPr>
      </w:pPr>
      <w:r w:rsidRPr="0015231B">
        <w:rPr>
          <w:rFonts w:ascii="Arial" w:hAnsi="Arial" w:cs="Arial"/>
          <w:sz w:val="22"/>
          <w:szCs w:val="22"/>
          <w:lang w:val="mn-MN"/>
        </w:rPr>
        <w:t>Улсын Их Хурлын тогтоолын төсөлд хийх үр нөлөөний үнэлгээнд тогтоолын төсөл бүхэлдээ зорилгод хүрч чадах эсэхийг тогтоохын тулд зорилгод хүрэх байдал, төрийн болон орон нутгийн өмчит хуулийн этгээд дагаж мөрдөх боломжтой эсэхийг тогтоохын тулд практикт хэрэгжих боломж гэсэн шалгуур үзүүлэлтийг сонгон авлаа.</w:t>
      </w:r>
    </w:p>
    <w:p w14:paraId="43E4CF65" w14:textId="77777777" w:rsidR="002A28AD" w:rsidRPr="0015231B" w:rsidRDefault="002A28AD" w:rsidP="0015231B">
      <w:pPr>
        <w:pStyle w:val="NoSpacing"/>
        <w:jc w:val="both"/>
        <w:rPr>
          <w:rFonts w:ascii="Arial" w:hAnsi="Arial" w:cs="Arial"/>
          <w:sz w:val="22"/>
          <w:szCs w:val="22"/>
          <w:lang w:val="mn-MN"/>
        </w:rPr>
      </w:pPr>
    </w:p>
    <w:p w14:paraId="3BF51F1F" w14:textId="77777777" w:rsidR="002A28AD" w:rsidRPr="0015231B" w:rsidRDefault="002A28AD" w:rsidP="0015231B">
      <w:pPr>
        <w:pStyle w:val="NoSpacing"/>
        <w:jc w:val="both"/>
        <w:rPr>
          <w:rFonts w:ascii="Arial" w:hAnsi="Arial" w:cs="Arial"/>
          <w:b/>
          <w:sz w:val="22"/>
          <w:szCs w:val="22"/>
          <w:lang w:val="mn-MN"/>
        </w:rPr>
      </w:pPr>
      <w:r w:rsidRPr="0015231B">
        <w:rPr>
          <w:rFonts w:ascii="Arial" w:hAnsi="Arial" w:cs="Arial"/>
          <w:sz w:val="22"/>
          <w:szCs w:val="22"/>
          <w:lang w:val="mn-MN"/>
        </w:rPr>
        <w:tab/>
      </w:r>
      <w:r w:rsidRPr="0015231B">
        <w:rPr>
          <w:rFonts w:ascii="Arial" w:hAnsi="Arial" w:cs="Arial"/>
          <w:b/>
          <w:sz w:val="22"/>
          <w:szCs w:val="22"/>
          <w:lang w:val="mn-MN"/>
        </w:rPr>
        <w:t>Хоёр.Үнэлгээ хийх хэсэг</w:t>
      </w:r>
    </w:p>
    <w:p w14:paraId="45B7C267" w14:textId="77777777" w:rsidR="002A28AD" w:rsidRPr="0015231B" w:rsidRDefault="002A28AD" w:rsidP="0015231B">
      <w:pPr>
        <w:pStyle w:val="NoSpacing"/>
        <w:jc w:val="both"/>
        <w:rPr>
          <w:rFonts w:ascii="Arial" w:hAnsi="Arial" w:cs="Arial"/>
          <w:sz w:val="22"/>
          <w:szCs w:val="22"/>
          <w:lang w:val="mn-MN"/>
        </w:rPr>
      </w:pPr>
      <w:r w:rsidRPr="0015231B">
        <w:rPr>
          <w:rFonts w:ascii="Arial" w:hAnsi="Arial" w:cs="Arial"/>
          <w:sz w:val="22"/>
          <w:szCs w:val="22"/>
          <w:lang w:val="mn-MN"/>
        </w:rPr>
        <w:tab/>
      </w:r>
    </w:p>
    <w:p w14:paraId="35A9B09A" w14:textId="312CD72C" w:rsidR="002A28AD" w:rsidRPr="0015231B" w:rsidRDefault="002A28AD" w:rsidP="0015231B">
      <w:pPr>
        <w:pStyle w:val="NoSpacing"/>
        <w:ind w:firstLine="720"/>
        <w:jc w:val="both"/>
        <w:rPr>
          <w:rFonts w:ascii="Arial" w:hAnsi="Arial" w:cs="Arial"/>
          <w:sz w:val="22"/>
          <w:szCs w:val="22"/>
          <w:lang w:val="mn-MN" w:eastAsia="zh-CN"/>
        </w:rPr>
      </w:pPr>
      <w:r w:rsidRPr="0015231B">
        <w:rPr>
          <w:rFonts w:ascii="Arial" w:hAnsi="Arial" w:cs="Arial"/>
          <w:sz w:val="22"/>
          <w:szCs w:val="22"/>
          <w:lang w:val="mn-MN" w:eastAsia="zh-CN"/>
        </w:rPr>
        <w:t xml:space="preserve">Улсын Их Хурлын тогтоолын төсөл </w:t>
      </w:r>
      <w:r w:rsidR="002002A7" w:rsidRPr="0015231B">
        <w:rPr>
          <w:rFonts w:ascii="Arial" w:hAnsi="Arial" w:cs="Arial"/>
          <w:sz w:val="22"/>
          <w:szCs w:val="22"/>
          <w:lang w:val="mn-MN" w:eastAsia="zh-CN"/>
        </w:rPr>
        <w:t>нь:</w:t>
      </w:r>
    </w:p>
    <w:p w14:paraId="0885383D" w14:textId="77777777" w:rsidR="002002A7" w:rsidRPr="0015231B" w:rsidRDefault="002002A7" w:rsidP="0015231B">
      <w:pPr>
        <w:pStyle w:val="NoSpacing"/>
        <w:ind w:firstLine="720"/>
        <w:jc w:val="both"/>
        <w:rPr>
          <w:rFonts w:ascii="Arial" w:hAnsi="Arial" w:cs="Arial"/>
          <w:sz w:val="22"/>
          <w:szCs w:val="22"/>
          <w:lang w:val="mn-MN" w:eastAsia="zh-CN"/>
        </w:rPr>
      </w:pPr>
      <w:r w:rsidRPr="0015231B">
        <w:rPr>
          <w:rFonts w:ascii="Arial" w:hAnsi="Arial" w:cs="Arial"/>
          <w:i/>
          <w:iCs/>
          <w:sz w:val="22"/>
          <w:szCs w:val="22"/>
          <w:lang w:val="mn-MN"/>
        </w:rPr>
        <w:t>1.Монгол Улсын Их Хурлын 2015 оны 07 дугаар сарын 03-ны өдрийн “Төрийн өмчийг 2015-2016 онд хувьчлах, өөрчлөн байгуулах үндсэн чиглэл батлах тухай” 70 дугаар тогтоолын хавсралтын 4.17-д “Хөтөлийн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 гэснийг хассугай.</w:t>
      </w:r>
      <w:r w:rsidRPr="0015231B">
        <w:rPr>
          <w:rFonts w:ascii="Arial" w:hAnsi="Arial" w:cs="Arial"/>
          <w:sz w:val="22"/>
          <w:szCs w:val="22"/>
          <w:lang w:val="mn-MN"/>
        </w:rPr>
        <w:t xml:space="preserve"> гэсэн нэг </w:t>
      </w:r>
      <w:r w:rsidRPr="0015231B">
        <w:rPr>
          <w:rFonts w:ascii="Arial" w:hAnsi="Arial" w:cs="Arial"/>
          <w:sz w:val="22"/>
          <w:szCs w:val="22"/>
          <w:lang w:val="mn-MN" w:eastAsia="zh-CN"/>
        </w:rPr>
        <w:t>заалттай бөгөөд уг заалтын хүрээнд үнэлгээ хийнэ.</w:t>
      </w:r>
    </w:p>
    <w:p w14:paraId="73AE790B" w14:textId="77777777" w:rsidR="002002A7" w:rsidRPr="0015231B" w:rsidRDefault="002002A7" w:rsidP="0015231B">
      <w:pPr>
        <w:pStyle w:val="NoSpacing"/>
        <w:ind w:firstLine="720"/>
        <w:jc w:val="both"/>
        <w:rPr>
          <w:rFonts w:ascii="Arial" w:hAnsi="Arial" w:cs="Arial"/>
          <w:sz w:val="22"/>
          <w:szCs w:val="22"/>
          <w:lang w:val="mn-MN" w:eastAsia="zh-CN"/>
        </w:rPr>
      </w:pPr>
    </w:p>
    <w:p w14:paraId="030796EC" w14:textId="77777777" w:rsidR="002A28AD" w:rsidRPr="0015231B" w:rsidRDefault="002A28AD" w:rsidP="0015231B">
      <w:pPr>
        <w:pStyle w:val="NoSpacing"/>
        <w:ind w:firstLine="720"/>
        <w:jc w:val="both"/>
        <w:rPr>
          <w:rFonts w:ascii="Arial" w:hAnsi="Arial" w:cs="Arial"/>
          <w:b/>
          <w:sz w:val="22"/>
          <w:szCs w:val="22"/>
          <w:lang w:val="mn-MN" w:eastAsia="zh-CN"/>
        </w:rPr>
      </w:pPr>
      <w:r w:rsidRPr="0015231B">
        <w:rPr>
          <w:rFonts w:ascii="Arial" w:hAnsi="Arial" w:cs="Arial"/>
          <w:b/>
          <w:sz w:val="22"/>
          <w:szCs w:val="22"/>
          <w:lang w:val="mn-MN" w:eastAsia="zh-CN"/>
        </w:rPr>
        <w:t>Гурав.Шалгах хэрэгслийн дагуу хуулийн төслийн үр нөлөөг үнэлэх</w:t>
      </w:r>
    </w:p>
    <w:p w14:paraId="55359966" w14:textId="77777777" w:rsidR="002A28AD" w:rsidRPr="0015231B" w:rsidRDefault="002A28AD" w:rsidP="0015231B">
      <w:pPr>
        <w:pStyle w:val="NoSpacing"/>
        <w:ind w:firstLine="720"/>
        <w:jc w:val="both"/>
        <w:rPr>
          <w:rFonts w:ascii="Arial" w:hAnsi="Arial" w:cs="Arial"/>
          <w:sz w:val="22"/>
          <w:szCs w:val="22"/>
          <w:lang w:val="mn-MN" w:eastAsia="zh-CN"/>
        </w:rPr>
      </w:pPr>
    </w:p>
    <w:p w14:paraId="30F15D74" w14:textId="5DE9ED76" w:rsidR="002002A7" w:rsidRDefault="002002A7" w:rsidP="0015231B">
      <w:pPr>
        <w:spacing w:after="0" w:line="240" w:lineRule="auto"/>
        <w:ind w:firstLine="567"/>
        <w:jc w:val="both"/>
        <w:rPr>
          <w:rFonts w:ascii="Arial" w:hAnsi="Arial" w:cs="Arial"/>
          <w:shd w:val="clear" w:color="auto" w:fill="FFFFFF"/>
          <w:lang w:val="mn-MN"/>
        </w:rPr>
      </w:pPr>
      <w:r w:rsidRPr="0015231B">
        <w:rPr>
          <w:rFonts w:ascii="Arial" w:hAnsi="Arial" w:cs="Arial"/>
          <w:lang w:val="mn-MN"/>
        </w:rPr>
        <w:t xml:space="preserve">Монгол Улсын Их Хурлын 2015 оны 07 дугаар сарын 03-ны өдрийн 70 дугаар тогтоолын хавсралтаар “Төрийн өмчийг 2015-2016 онд хувьчлах, өөрчлөн байгуулах үндсэн чиглэл”-ийг баталсан бөгөөд түүний 4.17-д ““Хөтөлийн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хувьчлах”-аар баталсан. Улмаар Монгол Улсын Засгийн газрын 2015 оны 08 дугаар сарын 17-ны өдрийн 330, Төрийн өмчийн хорооны 2015 оны 10 дугаар сарын 08-ны өдрийн 608 дугаар тогтоолоор </w:t>
      </w:r>
      <w:r w:rsidRPr="0015231B">
        <w:rPr>
          <w:rFonts w:ascii="Arial" w:hAnsi="Arial" w:cs="Arial"/>
          <w:shd w:val="clear" w:color="auto" w:fill="FFFFFF"/>
          <w:lang w:val="mn-MN"/>
        </w:rPr>
        <w:t>“Хөтөлийн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хувьчилж, Төрийн өмчийн хорооны 2015 оны 10 дугаар сарын 15-ны өдрийн 617 дугаар тогтоолоор “Бейзмент” ХХК-д хувьцааны өмчлөгчийн эрхийг олгосон.</w:t>
      </w:r>
    </w:p>
    <w:p w14:paraId="7247A5E6" w14:textId="77777777" w:rsidR="002A70F2" w:rsidRPr="0015231B" w:rsidRDefault="002A70F2" w:rsidP="0015231B">
      <w:pPr>
        <w:spacing w:after="0" w:line="240" w:lineRule="auto"/>
        <w:ind w:firstLine="567"/>
        <w:jc w:val="both"/>
        <w:rPr>
          <w:rFonts w:ascii="Arial" w:hAnsi="Arial" w:cs="Arial"/>
          <w:lang w:val="mn-MN"/>
        </w:rPr>
      </w:pPr>
    </w:p>
    <w:p w14:paraId="369AFE16" w14:textId="41B4672F" w:rsidR="002002A7" w:rsidRDefault="002002A7" w:rsidP="0015231B">
      <w:pPr>
        <w:spacing w:after="0" w:line="240" w:lineRule="auto"/>
        <w:ind w:firstLine="567"/>
        <w:jc w:val="both"/>
        <w:rPr>
          <w:rFonts w:ascii="Arial" w:hAnsi="Arial" w:cs="Arial"/>
          <w:lang w:val="mn-MN"/>
        </w:rPr>
      </w:pPr>
      <w:r w:rsidRPr="0015231B">
        <w:rPr>
          <w:rFonts w:ascii="Arial" w:hAnsi="Arial" w:cs="Arial"/>
          <w:lang w:val="mn-MN"/>
        </w:rPr>
        <w:t>Авлигатай тэмцэх газраас 2022 оны 03 дугаар сарын 22-ны өдрийн 32 дугаар “Мөрдөгчийн мэдэгдэл”-ийг Төрийн өмчийн бодлого, зохицуулалтын газарт ирүүлсэн бөгөөд гэмт хэрэг гарахад нөлөөлсөн шалтгаан нөхцөлийг арилгах тодорхой арга хэмжээ авч ажиллахыг даалгасан байна.</w:t>
      </w:r>
    </w:p>
    <w:p w14:paraId="40E74F04" w14:textId="77777777" w:rsidR="002A70F2" w:rsidRPr="0015231B" w:rsidRDefault="002A70F2" w:rsidP="0015231B">
      <w:pPr>
        <w:spacing w:after="0" w:line="240" w:lineRule="auto"/>
        <w:ind w:firstLine="567"/>
        <w:jc w:val="both"/>
        <w:rPr>
          <w:rFonts w:ascii="Arial" w:hAnsi="Arial" w:cs="Arial"/>
          <w:lang w:val="mn-MN"/>
        </w:rPr>
      </w:pPr>
    </w:p>
    <w:p w14:paraId="73126EC0" w14:textId="04CF173C" w:rsidR="002002A7" w:rsidRDefault="002002A7" w:rsidP="0015231B">
      <w:pPr>
        <w:spacing w:after="0" w:line="240" w:lineRule="auto"/>
        <w:ind w:firstLine="567"/>
        <w:jc w:val="both"/>
        <w:rPr>
          <w:rFonts w:ascii="Arial" w:hAnsi="Arial" w:cs="Arial"/>
          <w:lang w:val="mn-MN"/>
        </w:rPr>
      </w:pPr>
      <w:r w:rsidRPr="0015231B">
        <w:rPr>
          <w:rFonts w:ascii="Arial" w:hAnsi="Arial" w:cs="Arial"/>
          <w:lang w:val="mn-MN"/>
        </w:rPr>
        <w:t>Уг “Мөрдөгчийн мэдэгдэл”-д Хөтөлийн Цемент Шохой ТӨХК /хуучнаар/-ийн хувьчлалыг хэрэгжүүлэхдээ Бейзмент ХХК-д давуу байдал бий болгон төрд их хэмжээний хохирол учруулсан гэмт хэрэг үйлдэгдсэн болохыг дурдаад Төрийн болон орон нутгийн өмчийн тухай хуулийн 62 дугаар зүйлийн 1 дэх хэсэгт заасан хувьчлалыг хүчингүйд тооцох хэд хэдэн үндэслэл байгааг шалгаж тогтоосон тул Хөтөлийн Цемент Шохой ТӨХК /хуучнаар/-ийг төрийн өмчид буцаан авах шийдвэр гаргахыг даалгасан байна.</w:t>
      </w:r>
    </w:p>
    <w:p w14:paraId="17BB16EA" w14:textId="77777777" w:rsidR="002A70F2" w:rsidRPr="0015231B" w:rsidRDefault="002A70F2" w:rsidP="0015231B">
      <w:pPr>
        <w:spacing w:after="0" w:line="240" w:lineRule="auto"/>
        <w:ind w:firstLine="567"/>
        <w:jc w:val="both"/>
        <w:rPr>
          <w:rFonts w:ascii="Arial" w:hAnsi="Arial" w:cs="Arial"/>
          <w:lang w:val="mn-MN"/>
        </w:rPr>
      </w:pPr>
    </w:p>
    <w:p w14:paraId="252FB702" w14:textId="7F6AD8BC" w:rsidR="002002A7" w:rsidRDefault="002002A7" w:rsidP="0015231B">
      <w:pPr>
        <w:tabs>
          <w:tab w:val="left" w:pos="709"/>
        </w:tabs>
        <w:spacing w:after="0" w:line="240" w:lineRule="auto"/>
        <w:jc w:val="both"/>
        <w:rPr>
          <w:rFonts w:ascii="Arial" w:hAnsi="Arial" w:cs="Arial"/>
          <w:lang w:val="mn-MN"/>
        </w:rPr>
      </w:pPr>
      <w:r w:rsidRPr="0015231B">
        <w:rPr>
          <w:rFonts w:ascii="Arial" w:hAnsi="Arial" w:cs="Arial"/>
          <w:lang w:val="mn-MN"/>
        </w:rPr>
        <w:lastRenderedPageBreak/>
        <w:tab/>
        <w:t xml:space="preserve">Монгол Улсын Засгийн газрын 2022 оны 3 дугаар сарын 23-ны өдрийн ““Хөтөлийн цемент шохой” ТӨХК-ийн хувьчлалын талаар авах арга хэмжээний тухай” 124 дүгээр тогтоолоор Засгийн газрын 2015 оны 330 дугаар тогтоолын хавсралтаар баталсан “2015-2016 онд хувьчлах, өөрчлөн байгуулах төрийн өмчит хуулийн этгээдийн жагсаалт”-ын “Хөтөлийн цемент шохой” ТӨХК-тай холбогдох 15 дахь хэсгийг хасч шийдвэрлэсэн.  </w:t>
      </w:r>
    </w:p>
    <w:p w14:paraId="41099A4F" w14:textId="77777777" w:rsidR="002A70F2" w:rsidRPr="0015231B" w:rsidRDefault="002A70F2" w:rsidP="0015231B">
      <w:pPr>
        <w:tabs>
          <w:tab w:val="left" w:pos="709"/>
        </w:tabs>
        <w:spacing w:after="0" w:line="240" w:lineRule="auto"/>
        <w:jc w:val="both"/>
        <w:rPr>
          <w:rFonts w:ascii="Arial" w:hAnsi="Arial" w:cs="Arial"/>
          <w:lang w:val="mn-MN"/>
        </w:rPr>
      </w:pPr>
    </w:p>
    <w:p w14:paraId="328C99ED" w14:textId="77777777" w:rsidR="002002A7" w:rsidRPr="0015231B" w:rsidRDefault="002002A7" w:rsidP="0015231B">
      <w:pPr>
        <w:tabs>
          <w:tab w:val="left" w:pos="709"/>
        </w:tabs>
        <w:spacing w:after="0" w:line="240" w:lineRule="auto"/>
        <w:jc w:val="both"/>
        <w:rPr>
          <w:rFonts w:ascii="Arial" w:hAnsi="Arial" w:cs="Arial"/>
          <w:lang w:val="mn-MN"/>
        </w:rPr>
      </w:pPr>
      <w:r w:rsidRPr="0015231B">
        <w:rPr>
          <w:rFonts w:ascii="Arial" w:hAnsi="Arial" w:cs="Arial"/>
          <w:lang w:val="mn-MN"/>
        </w:rPr>
        <w:tab/>
      </w:r>
      <w:r w:rsidRPr="0015231B">
        <w:rPr>
          <w:rFonts w:ascii="Arial" w:hAnsi="Arial" w:cs="Arial"/>
          <w:lang w:val="mn-MN"/>
        </w:rPr>
        <w:tab/>
        <w:t xml:space="preserve">Дээрх шийдвэрийн дагуу Төрийн өмчийн бодлого, зохицуулалтын газрын 2022 оны 03 дугаар сарын 24-ний өдрийн 108 дугаар тогтоолоор “Хөтөлийн цемент шохой” ТӨХК-ийн төрийн эзэмшлийн хувьцааг өр төлбөрийг төлөх нөхцөлтэйгөөр хөрөнгө оруулагч талд санал болгон хувьчилсан Төрийн өмчийн хорооны 2015 оны 608, 617 дугаар тогтоолыг хүчингүй болгож, компанийн эрх, эд хөрөнгийг төрийн өмчид хүлээн авах ажлыг зохион байгуулан ажиллаж байна. </w:t>
      </w:r>
      <w:r w:rsidRPr="0015231B">
        <w:rPr>
          <w:rFonts w:ascii="Arial" w:hAnsi="Arial" w:cs="Arial"/>
          <w:lang w:val="mn-MN"/>
        </w:rPr>
        <w:tab/>
      </w:r>
    </w:p>
    <w:p w14:paraId="56F9D68A" w14:textId="2871A5D6" w:rsidR="002002A7" w:rsidRDefault="002002A7" w:rsidP="0015231B">
      <w:pPr>
        <w:tabs>
          <w:tab w:val="left" w:pos="709"/>
        </w:tabs>
        <w:spacing w:after="0" w:line="240" w:lineRule="auto"/>
        <w:jc w:val="both"/>
        <w:rPr>
          <w:rFonts w:ascii="Arial" w:hAnsi="Arial" w:cs="Arial"/>
          <w:lang w:val="mn-MN"/>
        </w:rPr>
      </w:pPr>
      <w:r w:rsidRPr="0015231B">
        <w:rPr>
          <w:rFonts w:ascii="Arial" w:hAnsi="Arial" w:cs="Arial"/>
          <w:lang w:val="mn-MN"/>
        </w:rPr>
        <w:tab/>
        <w:t>Мөн Төрийн өмчийн бодлого, зохицуулалтын газрын 2022 оны 03 дугаар сарын 29-ний өдрийн 110 дугаар тогтоолоор “Цемент шохой” хувьцаат компанийн Хувьцаа эзэмшигчдийн болон Төлөөлөн удирдах зөвлөлийн холбогдох шийдвэрийг хүчингүй болгож, “Цемент шохой” төрийн өмчит хувьцаат компанийн дүрмийг баталж, 119,452,690 ширхэг энгийн хувьцааг төрийн өмчид бүртгүүлэх шийдвэрийг гаргаад байна.</w:t>
      </w:r>
      <w:r w:rsidRPr="0015231B">
        <w:rPr>
          <w:rFonts w:ascii="Arial" w:hAnsi="Arial" w:cs="Arial"/>
          <w:lang w:val="mn-MN"/>
        </w:rPr>
        <w:tab/>
      </w:r>
    </w:p>
    <w:p w14:paraId="2AF3D41E" w14:textId="77777777" w:rsidR="002A70F2" w:rsidRPr="0015231B" w:rsidRDefault="002A70F2" w:rsidP="0015231B">
      <w:pPr>
        <w:tabs>
          <w:tab w:val="left" w:pos="709"/>
        </w:tabs>
        <w:spacing w:after="0" w:line="240" w:lineRule="auto"/>
        <w:jc w:val="both"/>
        <w:rPr>
          <w:rFonts w:ascii="Arial" w:hAnsi="Arial" w:cs="Arial"/>
          <w:lang w:val="mn-MN"/>
        </w:rPr>
      </w:pPr>
    </w:p>
    <w:p w14:paraId="49A843E0" w14:textId="671D406A" w:rsidR="002002A7" w:rsidRDefault="002002A7" w:rsidP="0015231B">
      <w:pPr>
        <w:tabs>
          <w:tab w:val="left" w:pos="709"/>
        </w:tabs>
        <w:spacing w:after="0" w:line="240" w:lineRule="auto"/>
        <w:jc w:val="both"/>
        <w:rPr>
          <w:rFonts w:ascii="Arial" w:hAnsi="Arial" w:cs="Arial"/>
          <w:lang w:val="mn-MN"/>
        </w:rPr>
      </w:pPr>
      <w:r w:rsidRPr="0015231B">
        <w:rPr>
          <w:rFonts w:ascii="Arial" w:hAnsi="Arial" w:cs="Arial"/>
          <w:lang w:val="mn-MN"/>
        </w:rPr>
        <w:tab/>
        <w:t xml:space="preserve">Монгол Улсын Хөгжлийн банкнаас мэдээлснээр “Бейзмент” ХХК-нд 2010 онд олгосон 61.3 сая ам.долларын зээл, зээлийн хүүг хугацаандаа төлөөгүй, зээлийн гэрээний хугацаа дууссан боловч өр нь нийт 295 тэрбум төгрөгт хүрсэн байна. </w:t>
      </w:r>
    </w:p>
    <w:p w14:paraId="683D0137" w14:textId="77777777" w:rsidR="002A70F2" w:rsidRPr="0015231B" w:rsidRDefault="002A70F2" w:rsidP="0015231B">
      <w:pPr>
        <w:tabs>
          <w:tab w:val="left" w:pos="709"/>
        </w:tabs>
        <w:spacing w:after="0" w:line="240" w:lineRule="auto"/>
        <w:jc w:val="both"/>
        <w:rPr>
          <w:rFonts w:ascii="Arial" w:hAnsi="Arial" w:cs="Arial"/>
          <w:lang w:val="mn-MN"/>
        </w:rPr>
      </w:pPr>
    </w:p>
    <w:p w14:paraId="5740B6C0" w14:textId="77777777" w:rsidR="002002A7" w:rsidRPr="0015231B" w:rsidRDefault="002002A7" w:rsidP="0015231B">
      <w:pPr>
        <w:tabs>
          <w:tab w:val="left" w:pos="709"/>
        </w:tabs>
        <w:spacing w:after="0" w:line="240" w:lineRule="auto"/>
        <w:jc w:val="both"/>
        <w:rPr>
          <w:rFonts w:ascii="Arial" w:hAnsi="Arial" w:cs="Arial"/>
          <w:lang w:val="mn-MN"/>
        </w:rPr>
      </w:pPr>
      <w:r w:rsidRPr="0015231B">
        <w:rPr>
          <w:rFonts w:ascii="Arial" w:hAnsi="Arial" w:cs="Arial"/>
          <w:lang w:val="mn-MN"/>
        </w:rPr>
        <w:tab/>
        <w:t>“Бейзмент” ХХК нь өмч хувьчлалд оролцохоос өмнө Худалдаа хөгжлийн банкнаас авсан 34 сая, хятадын CHIMEG компаниас авсан 21.5 сая ам.долларын зэрэг нийт 61.0 сая ам.долларын зээлийг Хөгжлийн банкнаас авсан зээлийн эх үүсвэрээр барагдуулсан болох нь баримтаар нотлогдсон байна.</w:t>
      </w:r>
    </w:p>
    <w:p w14:paraId="17DDE55A" w14:textId="77777777" w:rsidR="0015231B" w:rsidRDefault="0015231B" w:rsidP="0015231B">
      <w:pPr>
        <w:spacing w:after="0" w:line="240" w:lineRule="auto"/>
        <w:ind w:firstLine="567"/>
        <w:jc w:val="both"/>
        <w:rPr>
          <w:rFonts w:ascii="Arial" w:hAnsi="Arial" w:cs="Arial"/>
          <w:lang w:val="mn-MN"/>
        </w:rPr>
      </w:pPr>
    </w:p>
    <w:p w14:paraId="3CB05218" w14:textId="5D723851" w:rsidR="002A28AD" w:rsidRDefault="002002A7" w:rsidP="0015231B">
      <w:pPr>
        <w:spacing w:after="0" w:line="240" w:lineRule="auto"/>
        <w:ind w:firstLine="567"/>
        <w:jc w:val="both"/>
        <w:rPr>
          <w:rFonts w:ascii="Arial" w:hAnsi="Arial" w:cs="Arial"/>
          <w:lang w:val="mn-MN"/>
        </w:rPr>
      </w:pPr>
      <w:r w:rsidRPr="0015231B">
        <w:rPr>
          <w:rFonts w:ascii="Arial" w:hAnsi="Arial" w:cs="Arial"/>
          <w:lang w:val="mn-MN"/>
        </w:rPr>
        <w:t xml:space="preserve">Иймд Улсын Их Хурлын 2015 оны 70 дугаар тогтоолоор ““Хөтөлийн цемент шохой” төрийн өмчит хувьцаат компанийн төрийн эзэмшлийн хувьцааг өр төлбөрийг төлөх нөхцөлтэйгөөр хөрөнгө оруулагч талд санал болгон хувьчлах”-аар шийдвэрлэсэн нь дээрх сөрөг үр дагавруудыг бий болгосон </w:t>
      </w:r>
      <w:r w:rsidR="000038A0" w:rsidRPr="0015231B">
        <w:rPr>
          <w:rFonts w:ascii="Arial" w:hAnsi="Arial" w:cs="Arial"/>
          <w:lang w:val="mn-MN"/>
        </w:rPr>
        <w:t xml:space="preserve">учраас Улсын Их Хурал Төрийн болон орон нутгийн өмчийн тухай хуулийн 8 дугаар зүйлийн 1 дэх хэсгийн 5-д </w:t>
      </w:r>
      <w:r w:rsidR="000038A0" w:rsidRPr="0015231B">
        <w:rPr>
          <w:rFonts w:ascii="Arial" w:hAnsi="Arial" w:cs="Arial"/>
          <w:b/>
          <w:bCs/>
          <w:i/>
          <w:iCs/>
          <w:lang w:val="mn-MN"/>
        </w:rPr>
        <w:t>“төрийн өмчийг хувьчлах үндсэн чиглэл, хувьчилж үл болох эд хөрөнгийн жагсаалтыг батлах, түүнд өөрчлөлт оруулах”</w:t>
      </w:r>
      <w:r w:rsidR="000038A0" w:rsidRPr="0015231B">
        <w:rPr>
          <w:rFonts w:ascii="Arial" w:hAnsi="Arial" w:cs="Arial"/>
          <w:lang w:val="mn-MN"/>
        </w:rPr>
        <w:t xml:space="preserve"> гэж заасан бүрэн эрхээ хэрэгжүүлж,</w:t>
      </w:r>
      <w:r w:rsidR="0015231B" w:rsidRPr="0015231B">
        <w:rPr>
          <w:rFonts w:ascii="Arial" w:hAnsi="Arial" w:cs="Arial"/>
          <w:lang w:val="mn-MN"/>
        </w:rPr>
        <w:t xml:space="preserve"> </w:t>
      </w:r>
      <w:r w:rsidR="009B201F">
        <w:rPr>
          <w:rFonts w:ascii="Arial" w:hAnsi="Arial" w:cs="Arial"/>
          <w:lang w:val="mn-MN"/>
        </w:rPr>
        <w:t xml:space="preserve">уг заалтыг хассанаар </w:t>
      </w:r>
      <w:r w:rsidR="002A28AD" w:rsidRPr="0015231B">
        <w:rPr>
          <w:rFonts w:ascii="Arial" w:hAnsi="Arial" w:cs="Arial"/>
          <w:lang w:val="mn-MN"/>
        </w:rPr>
        <w:t>зорилгодоо хүрч чадсан байна.</w:t>
      </w:r>
    </w:p>
    <w:p w14:paraId="2BB69866" w14:textId="77777777" w:rsidR="0015231B" w:rsidRPr="0015231B" w:rsidRDefault="0015231B" w:rsidP="0015231B">
      <w:pPr>
        <w:spacing w:after="0" w:line="240" w:lineRule="auto"/>
        <w:ind w:firstLine="567"/>
        <w:jc w:val="both"/>
        <w:rPr>
          <w:rFonts w:ascii="Arial" w:hAnsi="Arial" w:cs="Arial"/>
          <w:lang w:val="mn-MN"/>
        </w:rPr>
      </w:pPr>
    </w:p>
    <w:p w14:paraId="5EBD9141" w14:textId="66DB2982" w:rsidR="002A28AD" w:rsidRPr="0015231B" w:rsidRDefault="0015231B" w:rsidP="0015231B">
      <w:pPr>
        <w:pStyle w:val="NoSpacing"/>
        <w:ind w:firstLine="720"/>
        <w:jc w:val="both"/>
        <w:rPr>
          <w:rFonts w:ascii="Arial" w:hAnsi="Arial" w:cs="Arial"/>
          <w:sz w:val="22"/>
          <w:szCs w:val="22"/>
          <w:lang w:val="mn-MN"/>
        </w:rPr>
      </w:pPr>
      <w:r w:rsidRPr="0015231B">
        <w:rPr>
          <w:rFonts w:ascii="Arial" w:hAnsi="Arial" w:cs="Arial"/>
          <w:sz w:val="22"/>
          <w:szCs w:val="22"/>
          <w:lang w:val="mn-MN"/>
        </w:rPr>
        <w:t>Мөн түүнчлэн тогтоолын</w:t>
      </w:r>
      <w:r w:rsidR="002A28AD" w:rsidRPr="0015231B">
        <w:rPr>
          <w:rFonts w:ascii="Arial" w:hAnsi="Arial" w:cs="Arial"/>
          <w:sz w:val="22"/>
          <w:szCs w:val="22"/>
          <w:lang w:val="mn-MN"/>
        </w:rPr>
        <w:t xml:space="preserve"> төсөл нь практикт хэрэгжих боломжтой болох нь харагдаж байна.</w:t>
      </w:r>
    </w:p>
    <w:p w14:paraId="297A4DF8" w14:textId="77777777" w:rsidR="002A28AD" w:rsidRPr="0015231B" w:rsidRDefault="002A28AD" w:rsidP="0015231B">
      <w:pPr>
        <w:pStyle w:val="NoSpacing"/>
        <w:ind w:firstLine="720"/>
        <w:jc w:val="both"/>
        <w:rPr>
          <w:rFonts w:ascii="Arial" w:hAnsi="Arial" w:cs="Arial"/>
          <w:sz w:val="22"/>
          <w:szCs w:val="22"/>
          <w:lang w:val="mn-MN"/>
        </w:rPr>
      </w:pPr>
    </w:p>
    <w:p w14:paraId="540DF763" w14:textId="77777777" w:rsidR="002A28AD" w:rsidRPr="0015231B" w:rsidRDefault="002A28AD" w:rsidP="0015231B">
      <w:pPr>
        <w:pStyle w:val="NoSpacing"/>
        <w:ind w:firstLine="720"/>
        <w:jc w:val="both"/>
        <w:rPr>
          <w:rFonts w:ascii="Arial" w:hAnsi="Arial" w:cs="Arial"/>
          <w:b/>
          <w:sz w:val="22"/>
          <w:szCs w:val="22"/>
          <w:lang w:val="mn-MN"/>
        </w:rPr>
      </w:pPr>
      <w:r w:rsidRPr="0015231B">
        <w:rPr>
          <w:rFonts w:ascii="Arial" w:hAnsi="Arial" w:cs="Arial"/>
          <w:b/>
          <w:sz w:val="22"/>
          <w:szCs w:val="22"/>
          <w:lang w:val="mn-MN"/>
        </w:rPr>
        <w:t>Дөрөв. Зөвлөмж</w:t>
      </w:r>
    </w:p>
    <w:p w14:paraId="36D87811" w14:textId="77777777" w:rsidR="002A28AD" w:rsidRPr="0015231B" w:rsidRDefault="002A28AD" w:rsidP="0015231B">
      <w:pPr>
        <w:pStyle w:val="NoSpacing"/>
        <w:ind w:firstLine="720"/>
        <w:jc w:val="both"/>
        <w:rPr>
          <w:rFonts w:ascii="Arial" w:hAnsi="Arial" w:cs="Arial"/>
          <w:b/>
          <w:sz w:val="22"/>
          <w:szCs w:val="22"/>
          <w:lang w:val="mn-MN"/>
        </w:rPr>
      </w:pPr>
    </w:p>
    <w:p w14:paraId="2982FB9E" w14:textId="165DA9B6" w:rsidR="002A28AD" w:rsidRPr="0015231B" w:rsidRDefault="0015231B" w:rsidP="0015231B">
      <w:pPr>
        <w:pStyle w:val="NoSpacing"/>
        <w:ind w:firstLine="720"/>
        <w:jc w:val="both"/>
        <w:rPr>
          <w:rFonts w:ascii="Arial" w:hAnsi="Arial" w:cs="Arial"/>
          <w:sz w:val="22"/>
          <w:szCs w:val="22"/>
          <w:lang w:val="mn-MN"/>
        </w:rPr>
      </w:pPr>
      <w:r>
        <w:rPr>
          <w:rFonts w:ascii="Arial" w:hAnsi="Arial" w:cs="Arial"/>
          <w:sz w:val="22"/>
          <w:szCs w:val="22"/>
          <w:lang w:val="mn-MN"/>
        </w:rPr>
        <w:t>Улсын Их Хурлын тогтоолын</w:t>
      </w:r>
      <w:r w:rsidR="002A28AD" w:rsidRPr="0015231B">
        <w:rPr>
          <w:rFonts w:ascii="Arial" w:hAnsi="Arial" w:cs="Arial"/>
          <w:sz w:val="22"/>
          <w:szCs w:val="22"/>
          <w:lang w:val="mn-MN"/>
        </w:rPr>
        <w:t xml:space="preserve"> төслийн үр нөлөөг үнэлэхэд хуулийн төсөл батлагдсан тохиолдолд зорилгодоо хүрэх байдал нь эерэг, тухайн зохицуулалтыг дагаж мөрдөх, хэрэгжүүлэх боломжтой гэж дүгнэж байна.</w:t>
      </w:r>
    </w:p>
    <w:p w14:paraId="20FBB544" w14:textId="77777777" w:rsidR="002A28AD" w:rsidRPr="0015231B" w:rsidRDefault="002A28AD" w:rsidP="0015231B">
      <w:pPr>
        <w:pStyle w:val="NoSpacing"/>
        <w:ind w:firstLine="720"/>
        <w:jc w:val="both"/>
        <w:rPr>
          <w:rFonts w:ascii="Arial" w:hAnsi="Arial" w:cs="Arial"/>
          <w:sz w:val="22"/>
          <w:szCs w:val="22"/>
          <w:lang w:val="mn-MN"/>
        </w:rPr>
      </w:pPr>
    </w:p>
    <w:p w14:paraId="7365B583" w14:textId="374C46A6" w:rsidR="002A28AD" w:rsidRPr="0015231B" w:rsidRDefault="002A28AD" w:rsidP="0015231B">
      <w:pPr>
        <w:pStyle w:val="NoSpacing"/>
        <w:ind w:firstLine="720"/>
        <w:jc w:val="both"/>
        <w:rPr>
          <w:rFonts w:ascii="Arial" w:hAnsi="Arial" w:cs="Arial"/>
          <w:sz w:val="22"/>
          <w:szCs w:val="22"/>
          <w:lang w:val="mn-MN"/>
        </w:rPr>
      </w:pPr>
      <w:r w:rsidRPr="0015231B">
        <w:rPr>
          <w:rFonts w:ascii="Arial" w:hAnsi="Arial" w:cs="Arial"/>
          <w:sz w:val="22"/>
          <w:szCs w:val="22"/>
          <w:lang w:val="mn-MN"/>
        </w:rPr>
        <w:t xml:space="preserve">Иймд </w:t>
      </w:r>
      <w:r w:rsidR="002A70F2">
        <w:rPr>
          <w:rFonts w:ascii="Arial" w:hAnsi="Arial" w:cs="Arial"/>
          <w:sz w:val="22"/>
          <w:szCs w:val="22"/>
          <w:lang w:val="mn-MN"/>
        </w:rPr>
        <w:t>т</w:t>
      </w:r>
      <w:r w:rsidR="007E1EC9">
        <w:rPr>
          <w:rFonts w:ascii="Arial" w:hAnsi="Arial" w:cs="Arial"/>
          <w:sz w:val="22"/>
          <w:szCs w:val="22"/>
          <w:lang w:val="mn-MN"/>
        </w:rPr>
        <w:t xml:space="preserve">огтоолын </w:t>
      </w:r>
      <w:r w:rsidRPr="0015231B">
        <w:rPr>
          <w:rFonts w:ascii="Arial" w:hAnsi="Arial" w:cs="Arial"/>
          <w:sz w:val="22"/>
          <w:szCs w:val="22"/>
          <w:lang w:val="mn-MN"/>
        </w:rPr>
        <w:t xml:space="preserve"> төслийг хэвээр үлдээхийг зөвлөж байна.</w:t>
      </w:r>
    </w:p>
    <w:p w14:paraId="1FF14B31" w14:textId="77777777" w:rsidR="002A28AD" w:rsidRPr="0015231B" w:rsidRDefault="002A28AD" w:rsidP="0015231B">
      <w:pPr>
        <w:pStyle w:val="NoSpacing"/>
        <w:ind w:firstLine="720"/>
        <w:jc w:val="both"/>
        <w:rPr>
          <w:rFonts w:ascii="Arial" w:eastAsia="SimSun" w:hAnsi="Arial" w:cs="Arial"/>
          <w:sz w:val="22"/>
          <w:szCs w:val="22"/>
          <w:lang w:val="mn-MN" w:eastAsia="zh-CN"/>
        </w:rPr>
      </w:pPr>
    </w:p>
    <w:p w14:paraId="06DE6029" w14:textId="77777777" w:rsidR="002A28AD" w:rsidRPr="0015231B" w:rsidRDefault="002A28AD" w:rsidP="0015231B">
      <w:pPr>
        <w:pStyle w:val="NoSpacing"/>
        <w:jc w:val="both"/>
        <w:rPr>
          <w:rFonts w:ascii="Arial" w:hAnsi="Arial" w:cs="Arial"/>
          <w:sz w:val="22"/>
          <w:szCs w:val="22"/>
          <w:lang w:val="mn-MN" w:eastAsia="zh-CN"/>
        </w:rPr>
      </w:pPr>
    </w:p>
    <w:p w14:paraId="1C1BB1B4" w14:textId="6B3F3493" w:rsidR="007830B7" w:rsidRPr="002A70F2" w:rsidRDefault="002A70F2" w:rsidP="0015231B">
      <w:pPr>
        <w:spacing w:after="0" w:line="240" w:lineRule="auto"/>
        <w:jc w:val="center"/>
      </w:pPr>
      <w:r>
        <w:rPr>
          <w:rFonts w:ascii="Arial" w:hAnsi="Arial" w:cs="Arial"/>
        </w:rPr>
        <w:t>-----o0o------</w:t>
      </w:r>
    </w:p>
    <w:sectPr w:rsidR="007830B7" w:rsidRPr="002A70F2" w:rsidSect="002A28AD">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AD"/>
    <w:rsid w:val="000038A0"/>
    <w:rsid w:val="000171F9"/>
    <w:rsid w:val="00022D76"/>
    <w:rsid w:val="000E7324"/>
    <w:rsid w:val="000F103C"/>
    <w:rsid w:val="00102BB2"/>
    <w:rsid w:val="00117D08"/>
    <w:rsid w:val="0015231B"/>
    <w:rsid w:val="002002A7"/>
    <w:rsid w:val="002A28AD"/>
    <w:rsid w:val="002A70F2"/>
    <w:rsid w:val="002B27A7"/>
    <w:rsid w:val="002E64AF"/>
    <w:rsid w:val="00361C72"/>
    <w:rsid w:val="00370173"/>
    <w:rsid w:val="003A46E2"/>
    <w:rsid w:val="003F5E45"/>
    <w:rsid w:val="00415A9F"/>
    <w:rsid w:val="004354DB"/>
    <w:rsid w:val="004B715F"/>
    <w:rsid w:val="004B78E3"/>
    <w:rsid w:val="00503046"/>
    <w:rsid w:val="00533FFC"/>
    <w:rsid w:val="00540128"/>
    <w:rsid w:val="005E75E5"/>
    <w:rsid w:val="00620AA8"/>
    <w:rsid w:val="006960B2"/>
    <w:rsid w:val="006B6D4B"/>
    <w:rsid w:val="006D7E40"/>
    <w:rsid w:val="006F05DD"/>
    <w:rsid w:val="00700582"/>
    <w:rsid w:val="007716DC"/>
    <w:rsid w:val="007830B7"/>
    <w:rsid w:val="007C0CEB"/>
    <w:rsid w:val="007E1EC9"/>
    <w:rsid w:val="00823F61"/>
    <w:rsid w:val="00880CE6"/>
    <w:rsid w:val="008A595B"/>
    <w:rsid w:val="0097252F"/>
    <w:rsid w:val="009B201F"/>
    <w:rsid w:val="00AE1F79"/>
    <w:rsid w:val="00B22130"/>
    <w:rsid w:val="00B27BCE"/>
    <w:rsid w:val="00B34EC0"/>
    <w:rsid w:val="00B61E92"/>
    <w:rsid w:val="00BF0907"/>
    <w:rsid w:val="00BF0FF5"/>
    <w:rsid w:val="00D03B98"/>
    <w:rsid w:val="00D47ADD"/>
    <w:rsid w:val="00D84E84"/>
    <w:rsid w:val="00E041F6"/>
    <w:rsid w:val="00E12DDD"/>
    <w:rsid w:val="00E23826"/>
    <w:rsid w:val="00E50B5C"/>
    <w:rsid w:val="00E730F2"/>
    <w:rsid w:val="00EB05DD"/>
    <w:rsid w:val="00F03C7C"/>
    <w:rsid w:val="00F63202"/>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254A"/>
  <w15:chartTrackingRefBased/>
  <w15:docId w15:val="{EEC9A29B-9CCC-40A1-86B6-A5FD8FD9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A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28AD"/>
    <w:pPr>
      <w:spacing w:after="0" w:line="240" w:lineRule="auto"/>
    </w:pPr>
    <w:rPr>
      <w:rFonts w:ascii="Times New Roman" w:eastAsia="Times New Roman" w:hAnsi="Times New Roman" w:cs="Times New Roman"/>
      <w:sz w:val="24"/>
      <w:szCs w:val="20"/>
    </w:rPr>
  </w:style>
  <w:style w:type="paragraph" w:styleId="ListParagraph">
    <w:name w:val="List Paragraph"/>
    <w:aliases w:val="List Paragraph1,List Paragraph Num,Дэд гарчиг"/>
    <w:basedOn w:val="Normal"/>
    <w:link w:val="ListParagraphChar"/>
    <w:uiPriority w:val="34"/>
    <w:qFormat/>
    <w:rsid w:val="002A28AD"/>
    <w:pPr>
      <w:ind w:left="720"/>
    </w:pPr>
    <w:rPr>
      <w:rFonts w:ascii="Arial" w:eastAsia="Calibri" w:hAnsi="Arial" w:cs="Arial"/>
    </w:rPr>
  </w:style>
  <w:style w:type="character" w:customStyle="1" w:styleId="ListParagraphChar">
    <w:name w:val="List Paragraph Char"/>
    <w:aliases w:val="List Paragraph1 Char,List Paragraph Num Char,Дэд гарчиг Char"/>
    <w:basedOn w:val="DefaultParagraphFont"/>
    <w:link w:val="ListParagraph"/>
    <w:uiPriority w:val="34"/>
    <w:locked/>
    <w:rsid w:val="002A28AD"/>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Elbegzaya Jargalsaikhan</cp:lastModifiedBy>
  <cp:revision>2</cp:revision>
  <dcterms:created xsi:type="dcterms:W3CDTF">2022-05-06T02:54:00Z</dcterms:created>
  <dcterms:modified xsi:type="dcterms:W3CDTF">2022-05-06T02:54:00Z</dcterms:modified>
</cp:coreProperties>
</file>