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E59C" w14:textId="77777777" w:rsidR="000A4BAC" w:rsidRPr="00ED1CB4" w:rsidRDefault="003E1E53" w:rsidP="00BE220F">
      <w:pPr>
        <w:spacing w:after="0" w:line="240" w:lineRule="auto"/>
        <w:jc w:val="center"/>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 xml:space="preserve">УЛСЫН ИХ ХУРЛЫН 2015 ОНЫ 70 ДУГААР ТОГТООЛЫН ХАВСРАЛТЫН </w:t>
      </w:r>
    </w:p>
    <w:p w14:paraId="3DF910E6" w14:textId="77777777" w:rsidR="003018A6" w:rsidRPr="00ED1CB4" w:rsidRDefault="003E1E53" w:rsidP="00BE220F">
      <w:pPr>
        <w:spacing w:after="0" w:line="240" w:lineRule="auto"/>
        <w:jc w:val="center"/>
        <w:rPr>
          <w:rFonts w:ascii="Arial" w:eastAsia="Times New Roman" w:hAnsi="Arial" w:cs="Arial"/>
          <w:b/>
          <w:bCs/>
          <w:color w:val="000000" w:themeColor="text1"/>
          <w:sz w:val="24"/>
          <w:szCs w:val="24"/>
          <w:lang w:val="mn-MN"/>
        </w:rPr>
      </w:pPr>
      <w:r w:rsidRPr="00ED1CB4">
        <w:rPr>
          <w:rFonts w:ascii="Arial" w:hAnsi="Arial" w:cs="Arial"/>
          <w:b/>
          <w:bCs/>
          <w:color w:val="000000" w:themeColor="text1"/>
          <w:sz w:val="24"/>
          <w:szCs w:val="24"/>
          <w:lang w:val="mn-MN"/>
        </w:rPr>
        <w:t xml:space="preserve">4.17 ДАХЬ ЗААЛТЫН </w:t>
      </w:r>
      <w:r w:rsidR="000A4BAC" w:rsidRPr="00ED1CB4">
        <w:rPr>
          <w:rFonts w:ascii="Arial" w:eastAsia="Times New Roman" w:hAnsi="Arial" w:cs="Arial"/>
          <w:b/>
          <w:bCs/>
          <w:color w:val="000000" w:themeColor="text1"/>
          <w:sz w:val="24"/>
          <w:szCs w:val="24"/>
          <w:lang w:val="mn-MN"/>
        </w:rPr>
        <w:t xml:space="preserve">ХЭРЭГЖИЛТИЙН </w:t>
      </w:r>
      <w:r w:rsidRPr="00ED1CB4">
        <w:rPr>
          <w:rFonts w:ascii="Arial" w:eastAsia="Times New Roman" w:hAnsi="Arial" w:cs="Arial"/>
          <w:b/>
          <w:bCs/>
          <w:color w:val="000000" w:themeColor="text1"/>
          <w:sz w:val="24"/>
          <w:szCs w:val="24"/>
          <w:lang w:val="mn-MN"/>
        </w:rPr>
        <w:t xml:space="preserve">ҮР ДАГАВАРТ </w:t>
      </w:r>
    </w:p>
    <w:p w14:paraId="38F413B1" w14:textId="49DCFD95" w:rsidR="003E1E53" w:rsidRPr="00ED1CB4" w:rsidRDefault="003E1E53" w:rsidP="00BE220F">
      <w:pPr>
        <w:spacing w:after="0" w:line="240" w:lineRule="auto"/>
        <w:jc w:val="center"/>
        <w:rPr>
          <w:rFonts w:ascii="Arial" w:eastAsia="Times New Roman" w:hAnsi="Arial" w:cs="Arial"/>
          <w:b/>
          <w:bCs/>
          <w:color w:val="000000" w:themeColor="text1"/>
          <w:sz w:val="24"/>
          <w:szCs w:val="24"/>
          <w:lang w:val="mn-MN"/>
        </w:rPr>
      </w:pPr>
      <w:r w:rsidRPr="00ED1CB4">
        <w:rPr>
          <w:rFonts w:ascii="Arial" w:eastAsia="Times New Roman" w:hAnsi="Arial" w:cs="Arial"/>
          <w:b/>
          <w:bCs/>
          <w:color w:val="000000" w:themeColor="text1"/>
          <w:sz w:val="24"/>
          <w:szCs w:val="24"/>
          <w:lang w:val="mn-MN"/>
        </w:rPr>
        <w:t>ХИЙСЭН ҮНЭЛГЭЭ</w:t>
      </w:r>
    </w:p>
    <w:p w14:paraId="5F75C822" w14:textId="47D51F7E" w:rsidR="003E1E53" w:rsidRPr="00ED1CB4" w:rsidRDefault="003E1E53" w:rsidP="00BE220F">
      <w:pPr>
        <w:spacing w:after="0" w:line="240" w:lineRule="auto"/>
        <w:jc w:val="both"/>
        <w:rPr>
          <w:rFonts w:ascii="Arial" w:hAnsi="Arial" w:cs="Arial"/>
          <w:b/>
          <w:bCs/>
          <w:color w:val="000000" w:themeColor="text1"/>
          <w:sz w:val="24"/>
          <w:szCs w:val="24"/>
          <w:lang w:val="mn-MN"/>
        </w:rPr>
      </w:pPr>
    </w:p>
    <w:p w14:paraId="5626128B" w14:textId="20137FA4" w:rsidR="000A4BAC" w:rsidRPr="00ED1CB4" w:rsidRDefault="006F670A" w:rsidP="00BE220F">
      <w:pPr>
        <w:pStyle w:val="NormalWeb"/>
        <w:shd w:val="clear" w:color="auto" w:fill="FFFFFF"/>
        <w:spacing w:after="0"/>
        <w:ind w:firstLine="720"/>
        <w:jc w:val="both"/>
        <w:rPr>
          <w:rFonts w:ascii="Arial" w:eastAsia="Times New Roman" w:hAnsi="Arial" w:cs="Arial"/>
          <w:color w:val="000000" w:themeColor="text1"/>
        </w:rPr>
      </w:pPr>
      <w:r w:rsidRPr="00ED1CB4">
        <w:rPr>
          <w:rFonts w:ascii="Arial" w:eastAsia="Times New Roman" w:hAnsi="Arial" w:cs="Arial"/>
          <w:color w:val="000000" w:themeColor="text1"/>
          <w:shd w:val="clear" w:color="auto" w:fill="FFFFFF"/>
        </w:rPr>
        <w:t>“</w:t>
      </w:r>
      <w:proofErr w:type="spellStart"/>
      <w:r w:rsidRPr="00ED1CB4">
        <w:rPr>
          <w:rFonts w:ascii="Arial" w:eastAsia="Times New Roman" w:hAnsi="Arial" w:cs="Arial"/>
          <w:color w:val="000000" w:themeColor="text1"/>
          <w:shd w:val="clear" w:color="auto" w:fill="FFFFFF"/>
        </w:rPr>
        <w:t>Төрийн</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өмчийг</w:t>
      </w:r>
      <w:proofErr w:type="spellEnd"/>
      <w:r w:rsidRPr="00ED1CB4">
        <w:rPr>
          <w:rFonts w:ascii="Arial" w:eastAsia="Times New Roman" w:hAnsi="Arial" w:cs="Arial"/>
          <w:color w:val="000000" w:themeColor="text1"/>
          <w:shd w:val="clear" w:color="auto" w:fill="FFFFFF"/>
        </w:rPr>
        <w:t xml:space="preserve"> 2015-2016 </w:t>
      </w:r>
      <w:proofErr w:type="spellStart"/>
      <w:r w:rsidRPr="00ED1CB4">
        <w:rPr>
          <w:rFonts w:ascii="Arial" w:eastAsia="Times New Roman" w:hAnsi="Arial" w:cs="Arial"/>
          <w:color w:val="000000" w:themeColor="text1"/>
          <w:shd w:val="clear" w:color="auto" w:fill="FFFFFF"/>
        </w:rPr>
        <w:t>онд</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хувьчлах</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өөрчлөн</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байгуулах</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үндсэн</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чиглэл</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батлах</w:t>
      </w:r>
      <w:proofErr w:type="spellEnd"/>
      <w:r w:rsidRPr="00ED1CB4">
        <w:rPr>
          <w:rFonts w:ascii="Arial" w:eastAsia="Times New Roman" w:hAnsi="Arial" w:cs="Arial"/>
          <w:color w:val="000000" w:themeColor="text1"/>
          <w:shd w:val="clear" w:color="auto" w:fill="FFFFFF"/>
        </w:rPr>
        <w:t xml:space="preserve"> </w:t>
      </w:r>
      <w:proofErr w:type="spellStart"/>
      <w:r w:rsidRPr="00ED1CB4">
        <w:rPr>
          <w:rFonts w:ascii="Arial" w:eastAsia="Times New Roman" w:hAnsi="Arial" w:cs="Arial"/>
          <w:color w:val="000000" w:themeColor="text1"/>
          <w:shd w:val="clear" w:color="auto" w:fill="FFFFFF"/>
        </w:rPr>
        <w:t>тухай</w:t>
      </w:r>
      <w:proofErr w:type="spellEnd"/>
      <w:r w:rsidRPr="00ED1CB4">
        <w:rPr>
          <w:rFonts w:ascii="Arial" w:eastAsia="Times New Roman" w:hAnsi="Arial" w:cs="Arial"/>
          <w:color w:val="000000" w:themeColor="text1"/>
          <w:shd w:val="clear" w:color="auto" w:fill="FFFFFF"/>
        </w:rPr>
        <w:t>”</w:t>
      </w:r>
      <w:r w:rsidRPr="00ED1CB4">
        <w:rPr>
          <w:rFonts w:ascii="Arial" w:eastAsia="Times New Roman" w:hAnsi="Arial" w:cs="Arial"/>
          <w:color w:val="000000" w:themeColor="text1"/>
        </w:rPr>
        <w:t xml:space="preserve"> </w:t>
      </w:r>
      <w:r w:rsidR="000A4BAC" w:rsidRPr="00ED1CB4">
        <w:rPr>
          <w:rFonts w:ascii="Arial" w:hAnsi="Arial" w:cs="Arial"/>
          <w:color w:val="000000" w:themeColor="text1"/>
          <w:lang w:val="mn-MN"/>
        </w:rPr>
        <w:t xml:space="preserve">Улсын Их Хурлын 2015 оны 07 дугаар сарын 03-ны өдрийн 70 дугаар тогтоолын хавсралтаар баталсан </w:t>
      </w:r>
      <w:r w:rsidR="000B6A49" w:rsidRPr="00ED1CB4">
        <w:rPr>
          <w:rFonts w:ascii="Arial" w:hAnsi="Arial" w:cs="Arial"/>
          <w:color w:val="000000" w:themeColor="text1"/>
          <w:lang w:val="mn-MN"/>
        </w:rPr>
        <w:t>“</w:t>
      </w:r>
      <w:r w:rsidR="000A4BAC" w:rsidRPr="00ED1CB4">
        <w:rPr>
          <w:rFonts w:ascii="Arial" w:hAnsi="Arial" w:cs="Arial"/>
          <w:color w:val="000000" w:themeColor="text1"/>
          <w:lang w:val="mn-MN"/>
        </w:rPr>
        <w:t>Төрийн өмчийг 2015-2016 онд хувьчлах, өөрчлөн байгуулах үндсэн чиглэл</w:t>
      </w:r>
      <w:r w:rsidR="000B6A49" w:rsidRPr="00ED1CB4">
        <w:rPr>
          <w:rFonts w:ascii="Arial" w:hAnsi="Arial" w:cs="Arial"/>
          <w:color w:val="000000" w:themeColor="text1"/>
          <w:lang w:val="mn-MN"/>
        </w:rPr>
        <w:t xml:space="preserve">”-ийн </w:t>
      </w:r>
      <w:r w:rsidR="00566A54" w:rsidRPr="00ED1CB4">
        <w:rPr>
          <w:rFonts w:ascii="Arial" w:hAnsi="Arial" w:cs="Arial"/>
          <w:color w:val="000000" w:themeColor="text1"/>
          <w:lang w:val="mn-MN"/>
        </w:rPr>
        <w:t>“</w:t>
      </w:r>
      <w:r w:rsidR="000B6A49" w:rsidRPr="00ED1CB4">
        <w:rPr>
          <w:rFonts w:ascii="Arial" w:hAnsi="Arial" w:cs="Arial"/>
          <w:color w:val="000000" w:themeColor="text1"/>
          <w:lang w:val="mn-MN"/>
        </w:rPr>
        <w:t>4.17</w:t>
      </w:r>
      <w:r w:rsidR="00566A54" w:rsidRPr="00ED1CB4">
        <w:rPr>
          <w:rFonts w:ascii="Arial" w:hAnsi="Arial" w:cs="Arial"/>
          <w:color w:val="000000" w:themeColor="text1"/>
          <w:lang w:val="mn-MN"/>
        </w:rPr>
        <w:t>.”</w:t>
      </w:r>
      <w:proofErr w:type="spellStart"/>
      <w:r w:rsidRPr="00ED1CB4">
        <w:rPr>
          <w:rFonts w:ascii="Arial" w:eastAsia="Times New Roman" w:hAnsi="Arial" w:cs="Arial"/>
          <w:color w:val="000000" w:themeColor="text1"/>
        </w:rPr>
        <w:t>Хөтөлийн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цемент</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шохой</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төрийн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өмчит</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хувьцаат</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компанийн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төрийн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эзэмшлийн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хувьцааг</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өр</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төлбөрийг</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төлөх</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нөхцөлтэйгээр</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хөрөнгө</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оруулагч</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талд</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санал</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болгон</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хувьчлах</w:t>
      </w:r>
      <w:proofErr w:type="spellEnd"/>
      <w:r w:rsidRPr="00ED1CB4">
        <w:rPr>
          <w:rFonts w:ascii="Arial" w:eastAsia="Times New Roman" w:hAnsi="Arial" w:cs="Arial"/>
          <w:color w:val="000000" w:themeColor="text1"/>
        </w:rPr>
        <w:t xml:space="preserve">.” </w:t>
      </w:r>
      <w:proofErr w:type="spellStart"/>
      <w:r w:rsidRPr="00ED1CB4">
        <w:rPr>
          <w:rFonts w:ascii="Arial" w:eastAsia="Times New Roman" w:hAnsi="Arial" w:cs="Arial"/>
          <w:color w:val="000000" w:themeColor="text1"/>
        </w:rPr>
        <w:t>гэсэн</w:t>
      </w:r>
      <w:proofErr w:type="spellEnd"/>
      <w:r w:rsidRPr="00ED1CB4">
        <w:rPr>
          <w:rFonts w:ascii="Arial" w:eastAsia="Times New Roman" w:hAnsi="Arial" w:cs="Arial"/>
          <w:color w:val="000000" w:themeColor="text1"/>
        </w:rPr>
        <w:t xml:space="preserve"> </w:t>
      </w:r>
      <w:r w:rsidR="000B6A49" w:rsidRPr="00ED1CB4">
        <w:rPr>
          <w:rFonts w:ascii="Arial" w:hAnsi="Arial" w:cs="Arial"/>
          <w:color w:val="000000" w:themeColor="text1"/>
          <w:lang w:val="mn-MN"/>
        </w:rPr>
        <w:t xml:space="preserve">заалтад Засгийн газрын 2016 оны 59 дүгээр </w:t>
      </w:r>
      <w:r w:rsidR="00875966" w:rsidRPr="00ED1CB4">
        <w:rPr>
          <w:rFonts w:ascii="Arial" w:hAnsi="Arial" w:cs="Arial"/>
          <w:color w:val="000000" w:themeColor="text1"/>
          <w:lang w:val="mn-MN"/>
        </w:rPr>
        <w:t xml:space="preserve">тогтоолоор </w:t>
      </w:r>
      <w:r w:rsidR="000B6A49" w:rsidRPr="00ED1CB4">
        <w:rPr>
          <w:rFonts w:ascii="Arial" w:hAnsi="Arial" w:cs="Arial"/>
          <w:color w:val="000000" w:themeColor="text1"/>
          <w:lang w:val="mn-MN"/>
        </w:rPr>
        <w:t>баталсан "Хууль тогтоомжийн хэрэгжилтийн үр дагаварт үнэлгээ хийх аргачлал"-ын дагуу үнэлгээ хийлээ.</w:t>
      </w:r>
    </w:p>
    <w:p w14:paraId="00761AEA" w14:textId="77777777" w:rsidR="006F670A" w:rsidRPr="00ED1CB4" w:rsidRDefault="006F670A" w:rsidP="00BE220F">
      <w:pPr>
        <w:spacing w:line="240" w:lineRule="auto"/>
        <w:ind w:firstLine="567"/>
        <w:jc w:val="both"/>
        <w:rPr>
          <w:rFonts w:ascii="Arial" w:hAnsi="Arial" w:cs="Arial"/>
          <w:b/>
          <w:bCs/>
          <w:color w:val="000000" w:themeColor="text1"/>
          <w:sz w:val="24"/>
          <w:szCs w:val="24"/>
          <w:lang w:val="mn-MN"/>
        </w:rPr>
      </w:pPr>
    </w:p>
    <w:p w14:paraId="6830A636" w14:textId="2C9237DE" w:rsidR="000B6A49" w:rsidRPr="00ED1CB4" w:rsidRDefault="003C7021" w:rsidP="00BE220F">
      <w:pPr>
        <w:spacing w:line="240" w:lineRule="auto"/>
        <w:ind w:firstLine="567"/>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Нэг</w:t>
      </w:r>
      <w:r w:rsidR="00044C4D" w:rsidRPr="00ED1CB4">
        <w:rPr>
          <w:rFonts w:ascii="Arial" w:hAnsi="Arial" w:cs="Arial"/>
          <w:b/>
          <w:bCs/>
          <w:color w:val="000000" w:themeColor="text1"/>
          <w:sz w:val="24"/>
          <w:szCs w:val="24"/>
          <w:lang w:val="mn-MN"/>
        </w:rPr>
        <w:t>.</w:t>
      </w:r>
      <w:r w:rsidR="000B6A49" w:rsidRPr="00ED1CB4">
        <w:rPr>
          <w:rFonts w:ascii="Arial" w:hAnsi="Arial" w:cs="Arial"/>
          <w:b/>
          <w:bCs/>
          <w:color w:val="000000" w:themeColor="text1"/>
          <w:sz w:val="24"/>
          <w:szCs w:val="24"/>
          <w:lang w:val="mn-MN"/>
        </w:rPr>
        <w:t xml:space="preserve">Үнэлгээ хийх </w:t>
      </w:r>
      <w:r w:rsidR="00044C4D" w:rsidRPr="00ED1CB4">
        <w:rPr>
          <w:rFonts w:ascii="Arial" w:hAnsi="Arial" w:cs="Arial"/>
          <w:b/>
          <w:bCs/>
          <w:color w:val="000000" w:themeColor="text1"/>
          <w:sz w:val="24"/>
          <w:szCs w:val="24"/>
          <w:lang w:val="mn-MN"/>
        </w:rPr>
        <w:t xml:space="preserve">болсон </w:t>
      </w:r>
      <w:r w:rsidR="000B6A49" w:rsidRPr="00ED1CB4">
        <w:rPr>
          <w:rFonts w:ascii="Arial" w:hAnsi="Arial" w:cs="Arial"/>
          <w:b/>
          <w:bCs/>
          <w:color w:val="000000" w:themeColor="text1"/>
          <w:sz w:val="24"/>
          <w:szCs w:val="24"/>
          <w:lang w:val="mn-MN"/>
        </w:rPr>
        <w:t>шалтгаан</w:t>
      </w:r>
      <w:r w:rsidR="00044C4D" w:rsidRPr="00ED1CB4">
        <w:rPr>
          <w:rFonts w:ascii="Arial" w:hAnsi="Arial" w:cs="Arial"/>
          <w:b/>
          <w:bCs/>
          <w:color w:val="000000" w:themeColor="text1"/>
          <w:sz w:val="24"/>
          <w:szCs w:val="24"/>
          <w:lang w:val="mn-MN"/>
        </w:rPr>
        <w:t>:</w:t>
      </w:r>
    </w:p>
    <w:p w14:paraId="3B3E7000" w14:textId="48ABA9DD" w:rsidR="004437E7" w:rsidRPr="00ED1CB4" w:rsidRDefault="004437E7"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Төрийн болон орон нутгийн өмчийн тухай хуулийн 8 дугаар зүйлийн 1 дэх хэсгийн 5-д </w:t>
      </w:r>
      <w:r w:rsidR="00566A54" w:rsidRPr="00ED1CB4">
        <w:rPr>
          <w:rFonts w:ascii="Arial" w:hAnsi="Arial" w:cs="Arial"/>
          <w:color w:val="000000" w:themeColor="text1"/>
          <w:sz w:val="24"/>
          <w:szCs w:val="24"/>
          <w:lang w:val="mn-MN"/>
        </w:rPr>
        <w:t>Улсын Их Хурал</w:t>
      </w:r>
      <w:r w:rsidRPr="00ED1CB4">
        <w:rPr>
          <w:rFonts w:ascii="Arial" w:hAnsi="Arial" w:cs="Arial"/>
          <w:color w:val="000000" w:themeColor="text1"/>
          <w:sz w:val="24"/>
          <w:szCs w:val="24"/>
          <w:lang w:val="mn-MN"/>
        </w:rPr>
        <w:t xml:space="preserve"> “төрийн өмчийг хувьчлах үндсэн чиглэл, хувьчилж үл болох эд хөрөнгийн жагсаалтыг</w:t>
      </w:r>
      <w:r w:rsidRPr="00ED1CB4">
        <w:rPr>
          <w:rFonts w:ascii="Arial" w:hAnsi="Arial" w:cs="Arial"/>
          <w:i/>
          <w:iCs/>
          <w:color w:val="000000" w:themeColor="text1"/>
          <w:sz w:val="24"/>
          <w:szCs w:val="24"/>
          <w:lang w:val="mn-MN"/>
        </w:rPr>
        <w:t xml:space="preserve"> батлах, түүнд өөрчлөлт оруулах”</w:t>
      </w:r>
      <w:r w:rsidR="00566A54" w:rsidRPr="00ED1CB4">
        <w:rPr>
          <w:rFonts w:ascii="Arial" w:hAnsi="Arial" w:cs="Arial"/>
          <w:i/>
          <w:iCs/>
          <w:color w:val="000000" w:themeColor="text1"/>
          <w:sz w:val="24"/>
          <w:szCs w:val="24"/>
          <w:lang w:val="mn-MN"/>
        </w:rPr>
        <w:t xml:space="preserve"> бүрэн эрхтэй</w:t>
      </w:r>
      <w:r w:rsidRPr="00ED1CB4">
        <w:rPr>
          <w:rFonts w:ascii="Arial" w:hAnsi="Arial" w:cs="Arial"/>
          <w:color w:val="000000" w:themeColor="text1"/>
          <w:sz w:val="24"/>
          <w:szCs w:val="24"/>
          <w:lang w:val="mn-MN"/>
        </w:rPr>
        <w:t xml:space="preserve"> гэж заасан.</w:t>
      </w:r>
    </w:p>
    <w:p w14:paraId="5ED6FA4A" w14:textId="77777777" w:rsidR="00566A54" w:rsidRPr="00ED1CB4" w:rsidRDefault="004437E7" w:rsidP="00566A54">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r>
      <w:r w:rsidR="00566A54" w:rsidRPr="00ED1CB4">
        <w:rPr>
          <w:rFonts w:ascii="Arial" w:eastAsia="Times New Roman" w:hAnsi="Arial" w:cs="Arial"/>
          <w:color w:val="000000" w:themeColor="text1"/>
          <w:sz w:val="24"/>
          <w:szCs w:val="24"/>
          <w:shd w:val="clear" w:color="auto" w:fill="FFFFFF"/>
        </w:rPr>
        <w:t>“</w:t>
      </w:r>
      <w:proofErr w:type="spellStart"/>
      <w:r w:rsidR="00566A54" w:rsidRPr="00ED1CB4">
        <w:rPr>
          <w:rFonts w:ascii="Arial" w:eastAsia="Times New Roman" w:hAnsi="Arial" w:cs="Arial"/>
          <w:color w:val="000000" w:themeColor="text1"/>
          <w:sz w:val="24"/>
          <w:szCs w:val="24"/>
          <w:shd w:val="clear" w:color="auto" w:fill="FFFFFF"/>
        </w:rPr>
        <w:t>Төрийн</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өмчийг</w:t>
      </w:r>
      <w:proofErr w:type="spellEnd"/>
      <w:r w:rsidR="00566A54" w:rsidRPr="00ED1CB4">
        <w:rPr>
          <w:rFonts w:ascii="Arial" w:eastAsia="Times New Roman" w:hAnsi="Arial" w:cs="Arial"/>
          <w:color w:val="000000" w:themeColor="text1"/>
          <w:sz w:val="24"/>
          <w:szCs w:val="24"/>
          <w:shd w:val="clear" w:color="auto" w:fill="FFFFFF"/>
        </w:rPr>
        <w:t xml:space="preserve"> 2015-2016 </w:t>
      </w:r>
      <w:proofErr w:type="spellStart"/>
      <w:r w:rsidR="00566A54" w:rsidRPr="00ED1CB4">
        <w:rPr>
          <w:rFonts w:ascii="Arial" w:eastAsia="Times New Roman" w:hAnsi="Arial" w:cs="Arial"/>
          <w:color w:val="000000" w:themeColor="text1"/>
          <w:sz w:val="24"/>
          <w:szCs w:val="24"/>
          <w:shd w:val="clear" w:color="auto" w:fill="FFFFFF"/>
        </w:rPr>
        <w:t>онд</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хувьчлах</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өөрчлөн</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байгуулах</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үндсэн</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чиглэл</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батлах</w:t>
      </w:r>
      <w:proofErr w:type="spellEnd"/>
      <w:r w:rsidR="00566A54" w:rsidRPr="00ED1CB4">
        <w:rPr>
          <w:rFonts w:ascii="Arial" w:eastAsia="Times New Roman" w:hAnsi="Arial" w:cs="Arial"/>
          <w:color w:val="000000" w:themeColor="text1"/>
          <w:sz w:val="24"/>
          <w:szCs w:val="24"/>
          <w:shd w:val="clear" w:color="auto" w:fill="FFFFFF"/>
        </w:rPr>
        <w:t xml:space="preserve"> </w:t>
      </w:r>
      <w:proofErr w:type="spellStart"/>
      <w:r w:rsidR="00566A54" w:rsidRPr="00ED1CB4">
        <w:rPr>
          <w:rFonts w:ascii="Arial" w:eastAsia="Times New Roman" w:hAnsi="Arial" w:cs="Arial"/>
          <w:color w:val="000000" w:themeColor="text1"/>
          <w:sz w:val="24"/>
          <w:szCs w:val="24"/>
          <w:shd w:val="clear" w:color="auto" w:fill="FFFFFF"/>
        </w:rPr>
        <w:t>тухай</w:t>
      </w:r>
      <w:proofErr w:type="spellEnd"/>
      <w:r w:rsidR="00566A54" w:rsidRPr="00ED1CB4">
        <w:rPr>
          <w:rFonts w:ascii="Arial" w:eastAsia="Times New Roman" w:hAnsi="Arial" w:cs="Arial"/>
          <w:color w:val="000000" w:themeColor="text1"/>
          <w:sz w:val="24"/>
          <w:szCs w:val="24"/>
          <w:shd w:val="clear" w:color="auto" w:fill="FFFFFF"/>
        </w:rPr>
        <w:t>”</w:t>
      </w:r>
      <w:r w:rsidR="00566A54" w:rsidRPr="00ED1CB4">
        <w:rPr>
          <w:rFonts w:ascii="Arial" w:eastAsia="Times New Roman" w:hAnsi="Arial" w:cs="Arial"/>
          <w:color w:val="000000" w:themeColor="text1"/>
          <w:sz w:val="24"/>
          <w:szCs w:val="24"/>
        </w:rPr>
        <w:t xml:space="preserve"> </w:t>
      </w:r>
      <w:r w:rsidR="00566A54" w:rsidRPr="00ED1CB4">
        <w:rPr>
          <w:rFonts w:ascii="Arial" w:hAnsi="Arial" w:cs="Arial"/>
          <w:color w:val="000000" w:themeColor="text1"/>
          <w:sz w:val="24"/>
          <w:szCs w:val="24"/>
          <w:lang w:val="mn-MN"/>
        </w:rPr>
        <w:t>Улсын</w:t>
      </w:r>
      <w:r w:rsidRPr="00ED1CB4">
        <w:rPr>
          <w:rFonts w:ascii="Arial" w:hAnsi="Arial" w:cs="Arial"/>
          <w:color w:val="000000" w:themeColor="text1"/>
          <w:sz w:val="24"/>
          <w:szCs w:val="24"/>
          <w:lang w:val="mn-MN"/>
        </w:rPr>
        <w:t xml:space="preserve"> Их Хурлын 2015 оны 07 дугаар сарын 03-ны өдрийн </w:t>
      </w:r>
      <w:r w:rsidR="0019279C" w:rsidRPr="00ED1CB4">
        <w:rPr>
          <w:rFonts w:ascii="Arial" w:hAnsi="Arial" w:cs="Arial"/>
          <w:color w:val="000000" w:themeColor="text1"/>
          <w:sz w:val="24"/>
          <w:szCs w:val="24"/>
          <w:lang w:val="mn-MN"/>
        </w:rPr>
        <w:t xml:space="preserve">70 дугаар тогтоолын хавсралтаар </w:t>
      </w:r>
      <w:r w:rsidRPr="00ED1CB4">
        <w:rPr>
          <w:rFonts w:ascii="Arial" w:hAnsi="Arial" w:cs="Arial"/>
          <w:color w:val="000000" w:themeColor="text1"/>
          <w:sz w:val="24"/>
          <w:szCs w:val="24"/>
          <w:lang w:val="mn-MN"/>
        </w:rPr>
        <w:t>“Төрийн өмчийг 2015-2016 онд хувьчлах, өөрчлөн байгуулах үндсэн чиглэл”</w:t>
      </w:r>
      <w:r w:rsidR="0019279C" w:rsidRPr="00ED1CB4">
        <w:rPr>
          <w:rFonts w:ascii="Arial" w:hAnsi="Arial" w:cs="Arial"/>
          <w:color w:val="000000" w:themeColor="text1"/>
          <w:sz w:val="24"/>
          <w:szCs w:val="24"/>
          <w:lang w:val="mn-MN"/>
        </w:rPr>
        <w:t>-ийг</w:t>
      </w:r>
      <w:r w:rsidRPr="00ED1CB4">
        <w:rPr>
          <w:rFonts w:ascii="Arial" w:hAnsi="Arial" w:cs="Arial"/>
          <w:color w:val="000000" w:themeColor="text1"/>
          <w:sz w:val="24"/>
          <w:szCs w:val="24"/>
          <w:lang w:val="mn-MN"/>
        </w:rPr>
        <w:t xml:space="preserve"> </w:t>
      </w:r>
      <w:r w:rsidR="0019279C" w:rsidRPr="00ED1CB4">
        <w:rPr>
          <w:rFonts w:ascii="Arial" w:hAnsi="Arial" w:cs="Arial"/>
          <w:color w:val="000000" w:themeColor="text1"/>
          <w:sz w:val="24"/>
          <w:szCs w:val="24"/>
          <w:lang w:val="mn-MN"/>
        </w:rPr>
        <w:t>баталсан бөгөөд түүний 4.17-д</w:t>
      </w:r>
      <w:r w:rsidRPr="00ED1CB4">
        <w:rPr>
          <w:rFonts w:ascii="Arial" w:hAnsi="Arial" w:cs="Arial"/>
          <w:color w:val="000000" w:themeColor="text1"/>
          <w:sz w:val="24"/>
          <w:szCs w:val="24"/>
          <w:lang w:val="mn-MN"/>
        </w:rPr>
        <w:t xml:space="preserve"> </w:t>
      </w:r>
      <w:r w:rsidR="0019279C" w:rsidRPr="00ED1CB4">
        <w:rPr>
          <w:rFonts w:ascii="Arial" w:hAnsi="Arial" w:cs="Arial"/>
          <w:color w:val="000000" w:themeColor="text1"/>
          <w:sz w:val="24"/>
          <w:szCs w:val="24"/>
          <w:lang w:val="mn-MN"/>
        </w:rPr>
        <w:t>“</w:t>
      </w:r>
      <w:r w:rsidRPr="00ED1CB4">
        <w:rPr>
          <w:rFonts w:ascii="Arial" w:hAnsi="Arial" w:cs="Arial"/>
          <w:color w:val="000000" w:themeColor="text1"/>
          <w:sz w:val="24"/>
          <w:szCs w:val="24"/>
          <w:lang w:val="mn-MN"/>
        </w:rPr>
        <w:t xml:space="preserve">“Хөтөлийн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хувьчлах”-аар </w:t>
      </w:r>
      <w:r w:rsidR="00566A54" w:rsidRPr="00ED1CB4">
        <w:rPr>
          <w:rFonts w:ascii="Arial" w:hAnsi="Arial" w:cs="Arial"/>
          <w:color w:val="000000" w:themeColor="text1"/>
          <w:sz w:val="24"/>
          <w:szCs w:val="24"/>
          <w:lang w:val="mn-MN"/>
        </w:rPr>
        <w:t>заа</w:t>
      </w:r>
      <w:r w:rsidRPr="00ED1CB4">
        <w:rPr>
          <w:rFonts w:ascii="Arial" w:hAnsi="Arial" w:cs="Arial"/>
          <w:color w:val="000000" w:themeColor="text1"/>
          <w:sz w:val="24"/>
          <w:szCs w:val="24"/>
          <w:lang w:val="mn-MN"/>
        </w:rPr>
        <w:t>сан.</w:t>
      </w:r>
      <w:r w:rsidR="0019279C" w:rsidRPr="00ED1CB4">
        <w:rPr>
          <w:rFonts w:ascii="Arial" w:hAnsi="Arial" w:cs="Arial"/>
          <w:color w:val="000000" w:themeColor="text1"/>
          <w:sz w:val="24"/>
          <w:szCs w:val="24"/>
          <w:lang w:val="mn-MN"/>
        </w:rPr>
        <w:t xml:space="preserve"> Улмаар Монгол Улсын Засгийн газрын 2015 оны 08 дугаар сарын 17-ны өдрийн 330, Төрийн өмчийн хорооны 2015 оны 10 дугаар сарын 08-ны өдрийн 608 дугаар тогтоолоор </w:t>
      </w:r>
      <w:r w:rsidR="0019279C" w:rsidRPr="00ED1CB4">
        <w:rPr>
          <w:rFonts w:ascii="Arial" w:hAnsi="Arial" w:cs="Arial"/>
          <w:color w:val="000000" w:themeColor="text1"/>
          <w:sz w:val="24"/>
          <w:szCs w:val="24"/>
          <w:shd w:val="clear" w:color="auto" w:fill="FFFFFF"/>
          <w:lang w:val="mn-MN"/>
        </w:rPr>
        <w:t>“Хөтөлийн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хувьчилж, Төрийн өмчийн хорооны 2015 оны 10 дугаар сарын 15-ны өдрийн 617 дугаар тогтоолоор “Бейзмент” ХХК-д хувьцааны өмчлөгчийн эрхийг олгосон.</w:t>
      </w:r>
    </w:p>
    <w:p w14:paraId="740D47FF" w14:textId="537C33AB" w:rsidR="00566A54" w:rsidRPr="00ED1CB4" w:rsidRDefault="00566A54" w:rsidP="00566A54">
      <w:pPr>
        <w:spacing w:line="240" w:lineRule="auto"/>
        <w:ind w:firstLine="567"/>
        <w:jc w:val="both"/>
        <w:rPr>
          <w:rFonts w:ascii="Arial" w:hAnsi="Arial" w:cs="Arial"/>
          <w:color w:val="000000" w:themeColor="text1"/>
          <w:sz w:val="24"/>
          <w:szCs w:val="24"/>
          <w:lang w:val="mn-MN"/>
        </w:rPr>
      </w:pPr>
      <w:r w:rsidRPr="00ED1CB4">
        <w:rPr>
          <w:rFonts w:ascii="Arial" w:hAnsi="Arial" w:cs="Arial"/>
          <w:sz w:val="24"/>
          <w:szCs w:val="24"/>
          <w:lang w:val="mn-MN"/>
        </w:rPr>
        <w:t>Авлигатай тэмцэх газраас 2022 оны 03 дугаар сарын 22-ны өдрийн 32 дугаар “Мөрдөгчийн мэдэгдэл”-ийг Төрийн өмчийн бодлого, зохицуулалтын газарт ирүүлсэн бөгөөд гэмт хэрэг гарахад нөлөөлсөн шалтгаан нөхцөлийг арилгах тодорхой арга хэмжээ авч ажиллахыг даалгасан бөгөөд “Мөрдөгчийн мэдэгдэл”-д Хөтөлийн Цемент Шохой ТӨХК /хуучнаар/-ийн хувьчлалыг хэрэгжүүлэхдээ Бейзмент ХХК-д давуу байдал бий болгон төрд их хэмжээний хохирол учруулсан гэмт хэрэг үйлдэгдсэн болохыг дурдаад Төрийн болон орон нутгийн өмчийн тухай хуулийн 62 дугаар зүйлийн 1 дэх хэсэгт заасан хувьчлалыг хүчингүйд тооцох хэд хэдэн үндэслэл байгааг шалгаж тогтоосон тул Хөтөлийн Цемент Шохой ТӨХК /хуучнаар/-ийг төрийн өмчид буцаан авах шийдвэр гаргахыг даалгасан байна.</w:t>
      </w:r>
    </w:p>
    <w:p w14:paraId="565A8E5C" w14:textId="12B302CE" w:rsidR="00566A54" w:rsidRPr="00ED1CB4" w:rsidRDefault="00566A54" w:rsidP="00ED1CB4">
      <w:pPr>
        <w:pStyle w:val="NormalWeb"/>
        <w:spacing w:after="0"/>
        <w:ind w:firstLine="567"/>
        <w:jc w:val="both"/>
        <w:rPr>
          <w:rFonts w:ascii="Arial" w:hAnsi="Arial" w:cs="Arial"/>
          <w:color w:val="333333"/>
          <w:lang w:val="mn-MN"/>
        </w:rPr>
      </w:pPr>
      <w:r w:rsidRPr="00ED1CB4">
        <w:rPr>
          <w:rFonts w:ascii="Arial" w:hAnsi="Arial" w:cs="Arial"/>
          <w:color w:val="333333"/>
          <w:lang w:val="mn-MN"/>
        </w:rPr>
        <w:t>Төрийн болон орон нутгийн өмчийн тухай хуулийн 62 дугаар зүйлд</w:t>
      </w:r>
      <w:r w:rsidRPr="00ED1CB4">
        <w:rPr>
          <w:rFonts w:ascii="Arial" w:hAnsi="Arial" w:cs="Arial"/>
          <w:color w:val="333333"/>
        </w:rPr>
        <w:t xml:space="preserve"> </w:t>
      </w:r>
      <w:r w:rsidRPr="00ED1CB4">
        <w:rPr>
          <w:rFonts w:ascii="Arial" w:hAnsi="Arial" w:cs="Arial"/>
          <w:color w:val="333333"/>
          <w:lang w:val="mn-MN"/>
        </w:rPr>
        <w:t>“</w:t>
      </w:r>
      <w:proofErr w:type="spellStart"/>
      <w:r w:rsidRPr="00ED1CB4">
        <w:rPr>
          <w:rFonts w:ascii="Arial" w:hAnsi="Arial" w:cs="Arial"/>
          <w:color w:val="333333"/>
        </w:rPr>
        <w:t>хувьчлан</w:t>
      </w:r>
      <w:proofErr w:type="spellEnd"/>
      <w:r w:rsidRPr="00ED1CB4">
        <w:rPr>
          <w:rFonts w:ascii="Arial" w:hAnsi="Arial" w:cs="Arial"/>
          <w:color w:val="333333"/>
        </w:rPr>
        <w:t xml:space="preserve"> </w:t>
      </w:r>
      <w:proofErr w:type="spellStart"/>
      <w:r w:rsidRPr="00ED1CB4">
        <w:rPr>
          <w:rFonts w:ascii="Arial" w:hAnsi="Arial" w:cs="Arial"/>
          <w:color w:val="333333"/>
        </w:rPr>
        <w:t>авагч</w:t>
      </w:r>
      <w:proofErr w:type="spellEnd"/>
      <w:r w:rsidRPr="00ED1CB4">
        <w:rPr>
          <w:rFonts w:ascii="Arial" w:hAnsi="Arial" w:cs="Arial"/>
          <w:color w:val="333333"/>
        </w:rPr>
        <w:t xml:space="preserve"> </w:t>
      </w:r>
      <w:proofErr w:type="spellStart"/>
      <w:r w:rsidRPr="00ED1CB4">
        <w:rPr>
          <w:rFonts w:ascii="Arial" w:hAnsi="Arial" w:cs="Arial"/>
          <w:color w:val="333333"/>
        </w:rPr>
        <w:t>хөрөнгийн</w:t>
      </w:r>
      <w:proofErr w:type="spellEnd"/>
      <w:r w:rsidRPr="00ED1CB4">
        <w:rPr>
          <w:rFonts w:ascii="Arial" w:hAnsi="Arial" w:cs="Arial"/>
          <w:color w:val="333333"/>
        </w:rPr>
        <w:t xml:space="preserve"> </w:t>
      </w:r>
      <w:proofErr w:type="spellStart"/>
      <w:r w:rsidRPr="00ED1CB4">
        <w:rPr>
          <w:rFonts w:ascii="Arial" w:hAnsi="Arial" w:cs="Arial"/>
          <w:color w:val="333333"/>
        </w:rPr>
        <w:t>үнэ</w:t>
      </w:r>
      <w:proofErr w:type="spellEnd"/>
      <w:r w:rsidRPr="00ED1CB4">
        <w:rPr>
          <w:rFonts w:ascii="Arial" w:hAnsi="Arial" w:cs="Arial"/>
          <w:color w:val="333333"/>
        </w:rPr>
        <w:t xml:space="preserve">, </w:t>
      </w:r>
      <w:proofErr w:type="spellStart"/>
      <w:r w:rsidRPr="00ED1CB4">
        <w:rPr>
          <w:rFonts w:ascii="Arial" w:hAnsi="Arial" w:cs="Arial"/>
          <w:color w:val="333333"/>
        </w:rPr>
        <w:t>хууль</w:t>
      </w:r>
      <w:proofErr w:type="spellEnd"/>
      <w:r w:rsidRPr="00ED1CB4">
        <w:rPr>
          <w:rFonts w:ascii="Arial" w:hAnsi="Arial" w:cs="Arial"/>
          <w:color w:val="333333"/>
        </w:rPr>
        <w:t xml:space="preserve">, </w:t>
      </w:r>
      <w:proofErr w:type="spellStart"/>
      <w:r w:rsidRPr="00ED1CB4">
        <w:rPr>
          <w:rFonts w:ascii="Arial" w:hAnsi="Arial" w:cs="Arial"/>
          <w:color w:val="333333"/>
        </w:rPr>
        <w:t>гэрээнд</w:t>
      </w:r>
      <w:proofErr w:type="spellEnd"/>
      <w:r w:rsidRPr="00ED1CB4">
        <w:rPr>
          <w:rFonts w:ascii="Arial" w:hAnsi="Arial" w:cs="Arial"/>
          <w:color w:val="333333"/>
        </w:rPr>
        <w:t xml:space="preserve"> </w:t>
      </w:r>
      <w:proofErr w:type="spellStart"/>
      <w:r w:rsidRPr="00ED1CB4">
        <w:rPr>
          <w:rFonts w:ascii="Arial" w:hAnsi="Arial" w:cs="Arial"/>
          <w:color w:val="333333"/>
        </w:rPr>
        <w:t>заасан</w:t>
      </w:r>
      <w:proofErr w:type="spellEnd"/>
      <w:r w:rsidRPr="00ED1CB4">
        <w:rPr>
          <w:rFonts w:ascii="Arial" w:hAnsi="Arial" w:cs="Arial"/>
          <w:color w:val="333333"/>
        </w:rPr>
        <w:t xml:space="preserve"> </w:t>
      </w:r>
      <w:proofErr w:type="spellStart"/>
      <w:r w:rsidRPr="00ED1CB4">
        <w:rPr>
          <w:rFonts w:ascii="Arial" w:hAnsi="Arial" w:cs="Arial"/>
          <w:color w:val="333333"/>
        </w:rPr>
        <w:t>бусад</w:t>
      </w:r>
      <w:proofErr w:type="spellEnd"/>
      <w:r w:rsidRPr="00ED1CB4">
        <w:rPr>
          <w:rFonts w:ascii="Arial" w:hAnsi="Arial" w:cs="Arial"/>
          <w:color w:val="333333"/>
        </w:rPr>
        <w:t xml:space="preserve"> </w:t>
      </w:r>
      <w:proofErr w:type="spellStart"/>
      <w:r w:rsidRPr="00ED1CB4">
        <w:rPr>
          <w:rFonts w:ascii="Arial" w:hAnsi="Arial" w:cs="Arial"/>
          <w:color w:val="333333"/>
        </w:rPr>
        <w:t>төлбөрийг</w:t>
      </w:r>
      <w:proofErr w:type="spellEnd"/>
      <w:r w:rsidRPr="00ED1CB4">
        <w:rPr>
          <w:rFonts w:ascii="Arial" w:hAnsi="Arial" w:cs="Arial"/>
          <w:color w:val="333333"/>
        </w:rPr>
        <w:t xml:space="preserve"> </w:t>
      </w:r>
      <w:proofErr w:type="spellStart"/>
      <w:r w:rsidRPr="00ED1CB4">
        <w:rPr>
          <w:rFonts w:ascii="Arial" w:hAnsi="Arial" w:cs="Arial"/>
          <w:color w:val="333333"/>
        </w:rPr>
        <w:t>гэрээний</w:t>
      </w:r>
      <w:proofErr w:type="spellEnd"/>
      <w:r w:rsidRPr="00ED1CB4">
        <w:rPr>
          <w:rFonts w:ascii="Arial" w:hAnsi="Arial" w:cs="Arial"/>
          <w:color w:val="333333"/>
        </w:rPr>
        <w:t xml:space="preserve"> </w:t>
      </w:r>
      <w:proofErr w:type="spellStart"/>
      <w:r w:rsidRPr="00ED1CB4">
        <w:rPr>
          <w:rFonts w:ascii="Arial" w:hAnsi="Arial" w:cs="Arial"/>
          <w:color w:val="333333"/>
        </w:rPr>
        <w:t>хугацаанд</w:t>
      </w:r>
      <w:proofErr w:type="spellEnd"/>
      <w:r w:rsidRPr="00ED1CB4">
        <w:rPr>
          <w:rFonts w:ascii="Arial" w:hAnsi="Arial" w:cs="Arial"/>
          <w:color w:val="333333"/>
        </w:rPr>
        <w:t xml:space="preserve"> </w:t>
      </w:r>
      <w:proofErr w:type="spellStart"/>
      <w:r w:rsidRPr="00ED1CB4">
        <w:rPr>
          <w:rFonts w:ascii="Arial" w:hAnsi="Arial" w:cs="Arial"/>
          <w:color w:val="333333"/>
        </w:rPr>
        <w:t>төлөөгүй</w:t>
      </w:r>
      <w:proofErr w:type="spellEnd"/>
      <w:r w:rsidRPr="00ED1CB4">
        <w:rPr>
          <w:rFonts w:ascii="Arial" w:hAnsi="Arial" w:cs="Arial"/>
          <w:color w:val="333333"/>
        </w:rPr>
        <w:t xml:space="preserve"> </w:t>
      </w:r>
      <w:proofErr w:type="spellStart"/>
      <w:r w:rsidRPr="00ED1CB4">
        <w:rPr>
          <w:rFonts w:ascii="Arial" w:hAnsi="Arial" w:cs="Arial"/>
          <w:color w:val="333333"/>
        </w:rPr>
        <w:t>буюу</w:t>
      </w:r>
      <w:proofErr w:type="spellEnd"/>
      <w:r w:rsidRPr="00ED1CB4">
        <w:rPr>
          <w:rFonts w:ascii="Arial" w:hAnsi="Arial" w:cs="Arial"/>
          <w:color w:val="333333"/>
        </w:rPr>
        <w:t xml:space="preserve"> </w:t>
      </w:r>
      <w:proofErr w:type="spellStart"/>
      <w:r w:rsidRPr="00ED1CB4">
        <w:rPr>
          <w:rFonts w:ascii="Arial" w:hAnsi="Arial" w:cs="Arial"/>
          <w:color w:val="333333"/>
        </w:rPr>
        <w:t>төлбөрийг</w:t>
      </w:r>
      <w:proofErr w:type="spellEnd"/>
      <w:r w:rsidRPr="00ED1CB4">
        <w:rPr>
          <w:rFonts w:ascii="Arial" w:hAnsi="Arial" w:cs="Arial"/>
          <w:color w:val="333333"/>
        </w:rPr>
        <w:t xml:space="preserve"> </w:t>
      </w:r>
      <w:proofErr w:type="spellStart"/>
      <w:r w:rsidRPr="00ED1CB4">
        <w:rPr>
          <w:rFonts w:ascii="Arial" w:hAnsi="Arial" w:cs="Arial"/>
          <w:color w:val="333333"/>
        </w:rPr>
        <w:t>хууль</w:t>
      </w:r>
      <w:proofErr w:type="spellEnd"/>
      <w:r w:rsidRPr="00ED1CB4">
        <w:rPr>
          <w:rFonts w:ascii="Arial" w:hAnsi="Arial" w:cs="Arial"/>
          <w:color w:val="333333"/>
        </w:rPr>
        <w:t xml:space="preserve"> </w:t>
      </w:r>
      <w:proofErr w:type="spellStart"/>
      <w:r w:rsidRPr="00ED1CB4">
        <w:rPr>
          <w:rFonts w:ascii="Arial" w:hAnsi="Arial" w:cs="Arial"/>
          <w:color w:val="333333"/>
        </w:rPr>
        <w:t>бусаар</w:t>
      </w:r>
      <w:proofErr w:type="spellEnd"/>
      <w:r w:rsidRPr="00ED1CB4">
        <w:rPr>
          <w:rFonts w:ascii="Arial" w:hAnsi="Arial" w:cs="Arial"/>
          <w:color w:val="333333"/>
        </w:rPr>
        <w:t xml:space="preserve"> </w:t>
      </w:r>
      <w:proofErr w:type="spellStart"/>
      <w:r w:rsidRPr="00ED1CB4">
        <w:rPr>
          <w:rFonts w:ascii="Arial" w:hAnsi="Arial" w:cs="Arial"/>
          <w:color w:val="333333"/>
        </w:rPr>
        <w:t>хийсэн</w:t>
      </w:r>
      <w:proofErr w:type="spellEnd"/>
      <w:r w:rsidRPr="00ED1CB4">
        <w:rPr>
          <w:rFonts w:ascii="Arial" w:hAnsi="Arial" w:cs="Arial"/>
          <w:color w:val="333333"/>
        </w:rPr>
        <w:t>;</w:t>
      </w:r>
      <w:r w:rsidRPr="00ED1CB4">
        <w:rPr>
          <w:rFonts w:ascii="Arial" w:hAnsi="Arial" w:cs="Arial"/>
          <w:color w:val="333333"/>
          <w:lang w:val="mn-MN"/>
        </w:rPr>
        <w:t>”, “</w:t>
      </w:r>
      <w:proofErr w:type="spellStart"/>
      <w:r w:rsidRPr="00ED1CB4">
        <w:rPr>
          <w:rFonts w:ascii="Arial" w:hAnsi="Arial" w:cs="Arial"/>
          <w:color w:val="333333"/>
        </w:rPr>
        <w:t>хувьчлан</w:t>
      </w:r>
      <w:proofErr w:type="spellEnd"/>
      <w:r w:rsidRPr="00ED1CB4">
        <w:rPr>
          <w:rFonts w:ascii="Arial" w:hAnsi="Arial" w:cs="Arial"/>
          <w:color w:val="333333"/>
        </w:rPr>
        <w:t xml:space="preserve"> </w:t>
      </w:r>
      <w:proofErr w:type="spellStart"/>
      <w:r w:rsidRPr="00ED1CB4">
        <w:rPr>
          <w:rFonts w:ascii="Arial" w:hAnsi="Arial" w:cs="Arial"/>
          <w:color w:val="333333"/>
        </w:rPr>
        <w:t>авагчид</w:t>
      </w:r>
      <w:proofErr w:type="spellEnd"/>
      <w:r w:rsidRPr="00ED1CB4">
        <w:rPr>
          <w:rFonts w:ascii="Arial" w:hAnsi="Arial" w:cs="Arial"/>
          <w:color w:val="333333"/>
        </w:rPr>
        <w:t xml:space="preserve"> </w:t>
      </w:r>
      <w:proofErr w:type="spellStart"/>
      <w:r w:rsidRPr="00ED1CB4">
        <w:rPr>
          <w:rFonts w:ascii="Arial" w:hAnsi="Arial" w:cs="Arial"/>
          <w:color w:val="333333"/>
        </w:rPr>
        <w:t>нь</w:t>
      </w:r>
      <w:proofErr w:type="spellEnd"/>
      <w:r w:rsidRPr="00ED1CB4">
        <w:rPr>
          <w:rFonts w:ascii="Arial" w:hAnsi="Arial" w:cs="Arial"/>
          <w:color w:val="333333"/>
        </w:rPr>
        <w:t xml:space="preserve"> </w:t>
      </w:r>
      <w:proofErr w:type="spellStart"/>
      <w:r w:rsidRPr="00ED1CB4">
        <w:rPr>
          <w:rFonts w:ascii="Arial" w:hAnsi="Arial" w:cs="Arial"/>
          <w:color w:val="333333"/>
        </w:rPr>
        <w:t>хуульд</w:t>
      </w:r>
      <w:proofErr w:type="spellEnd"/>
      <w:r w:rsidRPr="00ED1CB4">
        <w:rPr>
          <w:rFonts w:ascii="Arial" w:hAnsi="Arial" w:cs="Arial"/>
          <w:color w:val="333333"/>
        </w:rPr>
        <w:t xml:space="preserve"> </w:t>
      </w:r>
      <w:proofErr w:type="spellStart"/>
      <w:r w:rsidRPr="00ED1CB4">
        <w:rPr>
          <w:rFonts w:ascii="Arial" w:hAnsi="Arial" w:cs="Arial"/>
          <w:color w:val="333333"/>
        </w:rPr>
        <w:t>зааснаас</w:t>
      </w:r>
      <w:proofErr w:type="spellEnd"/>
      <w:r w:rsidRPr="00ED1CB4">
        <w:rPr>
          <w:rFonts w:ascii="Arial" w:hAnsi="Arial" w:cs="Arial"/>
          <w:color w:val="333333"/>
        </w:rPr>
        <w:t xml:space="preserve"> </w:t>
      </w:r>
      <w:proofErr w:type="spellStart"/>
      <w:r w:rsidRPr="00ED1CB4">
        <w:rPr>
          <w:rFonts w:ascii="Arial" w:hAnsi="Arial" w:cs="Arial"/>
          <w:color w:val="333333"/>
        </w:rPr>
        <w:t>илүү</w:t>
      </w:r>
      <w:proofErr w:type="spellEnd"/>
      <w:r w:rsidRPr="00ED1CB4">
        <w:rPr>
          <w:rFonts w:ascii="Arial" w:hAnsi="Arial" w:cs="Arial"/>
          <w:color w:val="333333"/>
        </w:rPr>
        <w:t xml:space="preserve"> </w:t>
      </w:r>
      <w:proofErr w:type="spellStart"/>
      <w:r w:rsidRPr="00ED1CB4">
        <w:rPr>
          <w:rFonts w:ascii="Arial" w:hAnsi="Arial" w:cs="Arial"/>
          <w:color w:val="333333"/>
        </w:rPr>
        <w:t>хөнгөлөлт</w:t>
      </w:r>
      <w:proofErr w:type="spellEnd"/>
      <w:r w:rsidRPr="00ED1CB4">
        <w:rPr>
          <w:rFonts w:ascii="Arial" w:hAnsi="Arial" w:cs="Arial"/>
          <w:color w:val="333333"/>
        </w:rPr>
        <w:t xml:space="preserve">, </w:t>
      </w:r>
      <w:proofErr w:type="spellStart"/>
      <w:r w:rsidRPr="00ED1CB4">
        <w:rPr>
          <w:rFonts w:ascii="Arial" w:hAnsi="Arial" w:cs="Arial"/>
          <w:color w:val="333333"/>
        </w:rPr>
        <w:t>давуу</w:t>
      </w:r>
      <w:proofErr w:type="spellEnd"/>
      <w:r w:rsidRPr="00ED1CB4">
        <w:rPr>
          <w:rFonts w:ascii="Arial" w:hAnsi="Arial" w:cs="Arial"/>
          <w:color w:val="333333"/>
        </w:rPr>
        <w:t xml:space="preserve"> </w:t>
      </w:r>
      <w:proofErr w:type="spellStart"/>
      <w:r w:rsidRPr="00ED1CB4">
        <w:rPr>
          <w:rFonts w:ascii="Arial" w:hAnsi="Arial" w:cs="Arial"/>
          <w:color w:val="333333"/>
        </w:rPr>
        <w:t>эрх</w:t>
      </w:r>
      <w:proofErr w:type="spellEnd"/>
      <w:r w:rsidRPr="00ED1CB4">
        <w:rPr>
          <w:rFonts w:ascii="Arial" w:hAnsi="Arial" w:cs="Arial"/>
          <w:color w:val="333333"/>
        </w:rPr>
        <w:t xml:space="preserve"> </w:t>
      </w:r>
      <w:proofErr w:type="spellStart"/>
      <w:r w:rsidRPr="00ED1CB4">
        <w:rPr>
          <w:rFonts w:ascii="Arial" w:hAnsi="Arial" w:cs="Arial"/>
          <w:color w:val="333333"/>
        </w:rPr>
        <w:t>олгосон</w:t>
      </w:r>
      <w:proofErr w:type="spellEnd"/>
      <w:r w:rsidRPr="00ED1CB4">
        <w:rPr>
          <w:rFonts w:ascii="Arial" w:hAnsi="Arial" w:cs="Arial"/>
          <w:color w:val="333333"/>
        </w:rPr>
        <w:t>;</w:t>
      </w:r>
      <w:r w:rsidRPr="00ED1CB4">
        <w:rPr>
          <w:rFonts w:ascii="Arial" w:hAnsi="Arial" w:cs="Arial"/>
          <w:color w:val="333333"/>
          <w:lang w:val="mn-MN"/>
        </w:rPr>
        <w:t>”, “</w:t>
      </w:r>
      <w:proofErr w:type="spellStart"/>
      <w:r w:rsidRPr="00ED1CB4">
        <w:rPr>
          <w:rFonts w:ascii="Arial" w:hAnsi="Arial" w:cs="Arial"/>
          <w:color w:val="333333"/>
        </w:rPr>
        <w:t>хувьчлан</w:t>
      </w:r>
      <w:proofErr w:type="spellEnd"/>
      <w:r w:rsidRPr="00ED1CB4">
        <w:rPr>
          <w:rFonts w:ascii="Arial" w:hAnsi="Arial" w:cs="Arial"/>
          <w:color w:val="333333"/>
        </w:rPr>
        <w:t xml:space="preserve"> </w:t>
      </w:r>
      <w:proofErr w:type="spellStart"/>
      <w:r w:rsidRPr="00ED1CB4">
        <w:rPr>
          <w:rFonts w:ascii="Arial" w:hAnsi="Arial" w:cs="Arial"/>
          <w:color w:val="333333"/>
        </w:rPr>
        <w:t>авагч</w:t>
      </w:r>
      <w:proofErr w:type="spellEnd"/>
      <w:r w:rsidRPr="00ED1CB4">
        <w:rPr>
          <w:rFonts w:ascii="Arial" w:hAnsi="Arial" w:cs="Arial"/>
          <w:color w:val="333333"/>
        </w:rPr>
        <w:t xml:space="preserve"> </w:t>
      </w:r>
      <w:proofErr w:type="spellStart"/>
      <w:r w:rsidRPr="00ED1CB4">
        <w:rPr>
          <w:rFonts w:ascii="Arial" w:hAnsi="Arial" w:cs="Arial"/>
          <w:color w:val="333333"/>
        </w:rPr>
        <w:t>өмч</w:t>
      </w:r>
      <w:proofErr w:type="spellEnd"/>
      <w:r w:rsidRPr="00ED1CB4">
        <w:rPr>
          <w:rFonts w:ascii="Arial" w:hAnsi="Arial" w:cs="Arial"/>
          <w:color w:val="333333"/>
        </w:rPr>
        <w:t xml:space="preserve"> </w:t>
      </w:r>
      <w:proofErr w:type="spellStart"/>
      <w:r w:rsidRPr="00ED1CB4">
        <w:rPr>
          <w:rFonts w:ascii="Arial" w:hAnsi="Arial" w:cs="Arial"/>
          <w:color w:val="333333"/>
        </w:rPr>
        <w:t>хувьчлан</w:t>
      </w:r>
      <w:proofErr w:type="spellEnd"/>
      <w:r w:rsidRPr="00ED1CB4">
        <w:rPr>
          <w:rFonts w:ascii="Arial" w:hAnsi="Arial" w:cs="Arial"/>
          <w:color w:val="333333"/>
        </w:rPr>
        <w:t xml:space="preserve"> </w:t>
      </w:r>
      <w:proofErr w:type="spellStart"/>
      <w:r w:rsidRPr="00ED1CB4">
        <w:rPr>
          <w:rFonts w:ascii="Arial" w:hAnsi="Arial" w:cs="Arial"/>
          <w:color w:val="333333"/>
        </w:rPr>
        <w:t>авсан</w:t>
      </w:r>
      <w:proofErr w:type="spellEnd"/>
      <w:r w:rsidRPr="00ED1CB4">
        <w:rPr>
          <w:rFonts w:ascii="Arial" w:hAnsi="Arial" w:cs="Arial"/>
          <w:color w:val="333333"/>
        </w:rPr>
        <w:t xml:space="preserve"> </w:t>
      </w:r>
      <w:proofErr w:type="spellStart"/>
      <w:r w:rsidRPr="00ED1CB4">
        <w:rPr>
          <w:rFonts w:ascii="Arial" w:hAnsi="Arial" w:cs="Arial"/>
          <w:color w:val="333333"/>
        </w:rPr>
        <w:t>тухай</w:t>
      </w:r>
      <w:proofErr w:type="spellEnd"/>
      <w:r w:rsidRPr="00ED1CB4">
        <w:rPr>
          <w:rFonts w:ascii="Arial" w:hAnsi="Arial" w:cs="Arial"/>
          <w:color w:val="333333"/>
        </w:rPr>
        <w:t xml:space="preserve"> </w:t>
      </w:r>
      <w:proofErr w:type="spellStart"/>
      <w:r w:rsidRPr="00ED1CB4">
        <w:rPr>
          <w:rFonts w:ascii="Arial" w:hAnsi="Arial" w:cs="Arial"/>
          <w:color w:val="333333"/>
        </w:rPr>
        <w:t>гэрээгээр</w:t>
      </w:r>
      <w:proofErr w:type="spellEnd"/>
      <w:r w:rsidRPr="00ED1CB4">
        <w:rPr>
          <w:rFonts w:ascii="Arial" w:hAnsi="Arial" w:cs="Arial"/>
          <w:color w:val="333333"/>
        </w:rPr>
        <w:t xml:space="preserve"> </w:t>
      </w:r>
      <w:proofErr w:type="spellStart"/>
      <w:r w:rsidRPr="00ED1CB4">
        <w:rPr>
          <w:rFonts w:ascii="Arial" w:hAnsi="Arial" w:cs="Arial"/>
          <w:color w:val="333333"/>
        </w:rPr>
        <w:t>хүлээсэн</w:t>
      </w:r>
      <w:proofErr w:type="spellEnd"/>
      <w:r w:rsidRPr="00ED1CB4">
        <w:rPr>
          <w:rFonts w:ascii="Arial" w:hAnsi="Arial" w:cs="Arial"/>
          <w:color w:val="333333"/>
        </w:rPr>
        <w:t xml:space="preserve"> </w:t>
      </w:r>
      <w:proofErr w:type="spellStart"/>
      <w:r w:rsidRPr="00ED1CB4">
        <w:rPr>
          <w:rFonts w:ascii="Arial" w:hAnsi="Arial" w:cs="Arial"/>
          <w:color w:val="333333"/>
        </w:rPr>
        <w:t>үүргээ</w:t>
      </w:r>
      <w:proofErr w:type="spellEnd"/>
      <w:r w:rsidRPr="00ED1CB4">
        <w:rPr>
          <w:rFonts w:ascii="Arial" w:hAnsi="Arial" w:cs="Arial"/>
          <w:color w:val="333333"/>
        </w:rPr>
        <w:t xml:space="preserve"> </w:t>
      </w:r>
      <w:proofErr w:type="spellStart"/>
      <w:r w:rsidRPr="00ED1CB4">
        <w:rPr>
          <w:rFonts w:ascii="Arial" w:hAnsi="Arial" w:cs="Arial"/>
          <w:color w:val="333333"/>
        </w:rPr>
        <w:t>хугацаанд</w:t>
      </w:r>
      <w:proofErr w:type="spellEnd"/>
      <w:r w:rsidRPr="00ED1CB4">
        <w:rPr>
          <w:rFonts w:ascii="Arial" w:hAnsi="Arial" w:cs="Arial"/>
          <w:color w:val="333333"/>
        </w:rPr>
        <w:t xml:space="preserve"> </w:t>
      </w:r>
      <w:proofErr w:type="spellStart"/>
      <w:r w:rsidRPr="00ED1CB4">
        <w:rPr>
          <w:rFonts w:ascii="Arial" w:hAnsi="Arial" w:cs="Arial"/>
          <w:color w:val="333333"/>
        </w:rPr>
        <w:t>нь</w:t>
      </w:r>
      <w:proofErr w:type="spellEnd"/>
      <w:r w:rsidRPr="00ED1CB4">
        <w:rPr>
          <w:rFonts w:ascii="Arial" w:hAnsi="Arial" w:cs="Arial"/>
          <w:color w:val="333333"/>
        </w:rPr>
        <w:t xml:space="preserve"> </w:t>
      </w:r>
      <w:proofErr w:type="spellStart"/>
      <w:r w:rsidRPr="00ED1CB4">
        <w:rPr>
          <w:rFonts w:ascii="Arial" w:hAnsi="Arial" w:cs="Arial"/>
          <w:color w:val="333333"/>
        </w:rPr>
        <w:t>зохих</w:t>
      </w:r>
      <w:proofErr w:type="spellEnd"/>
      <w:r w:rsidRPr="00ED1CB4">
        <w:rPr>
          <w:rFonts w:ascii="Arial" w:hAnsi="Arial" w:cs="Arial"/>
          <w:color w:val="333333"/>
        </w:rPr>
        <w:t xml:space="preserve"> </w:t>
      </w:r>
      <w:proofErr w:type="spellStart"/>
      <w:r w:rsidRPr="00ED1CB4">
        <w:rPr>
          <w:rFonts w:ascii="Arial" w:hAnsi="Arial" w:cs="Arial"/>
          <w:color w:val="333333"/>
        </w:rPr>
        <w:t>ёсоор</w:t>
      </w:r>
      <w:proofErr w:type="spellEnd"/>
      <w:r w:rsidRPr="00ED1CB4">
        <w:rPr>
          <w:rFonts w:ascii="Arial" w:hAnsi="Arial" w:cs="Arial"/>
          <w:color w:val="333333"/>
        </w:rPr>
        <w:t xml:space="preserve"> </w:t>
      </w:r>
      <w:proofErr w:type="spellStart"/>
      <w:r w:rsidRPr="00ED1CB4">
        <w:rPr>
          <w:rFonts w:ascii="Arial" w:hAnsi="Arial" w:cs="Arial"/>
          <w:color w:val="333333"/>
        </w:rPr>
        <w:t>биелүүлээгүй</w:t>
      </w:r>
      <w:proofErr w:type="spellEnd"/>
      <w:r w:rsidRPr="00ED1CB4">
        <w:rPr>
          <w:rFonts w:ascii="Arial" w:hAnsi="Arial" w:cs="Arial"/>
          <w:color w:val="333333"/>
        </w:rPr>
        <w:t>;</w:t>
      </w:r>
      <w:r w:rsidRPr="00ED1CB4">
        <w:rPr>
          <w:rFonts w:ascii="Arial" w:hAnsi="Arial" w:cs="Arial"/>
          <w:color w:val="333333"/>
          <w:lang w:val="mn-MN"/>
        </w:rPr>
        <w:t xml:space="preserve">” гэсэн үндэслэл байвал </w:t>
      </w:r>
      <w:proofErr w:type="spellStart"/>
      <w:r w:rsidRPr="00ED1CB4">
        <w:rPr>
          <w:rFonts w:ascii="Arial" w:hAnsi="Arial" w:cs="Arial"/>
          <w:color w:val="333333"/>
        </w:rPr>
        <w:lastRenderedPageBreak/>
        <w:t>хувьчиллыг</w:t>
      </w:r>
      <w:proofErr w:type="spellEnd"/>
      <w:r w:rsidRPr="00ED1CB4">
        <w:rPr>
          <w:rFonts w:ascii="Arial" w:hAnsi="Arial" w:cs="Arial"/>
          <w:color w:val="333333"/>
        </w:rPr>
        <w:t xml:space="preserve"> </w:t>
      </w:r>
      <w:proofErr w:type="spellStart"/>
      <w:r w:rsidRPr="00ED1CB4">
        <w:rPr>
          <w:rFonts w:ascii="Arial" w:hAnsi="Arial" w:cs="Arial"/>
          <w:color w:val="333333"/>
        </w:rPr>
        <w:t>хууль</w:t>
      </w:r>
      <w:proofErr w:type="spellEnd"/>
      <w:r w:rsidRPr="00ED1CB4">
        <w:rPr>
          <w:rFonts w:ascii="Arial" w:hAnsi="Arial" w:cs="Arial"/>
          <w:color w:val="333333"/>
        </w:rPr>
        <w:t xml:space="preserve"> </w:t>
      </w:r>
      <w:proofErr w:type="spellStart"/>
      <w:r w:rsidRPr="00ED1CB4">
        <w:rPr>
          <w:rFonts w:ascii="Arial" w:hAnsi="Arial" w:cs="Arial"/>
          <w:color w:val="333333"/>
        </w:rPr>
        <w:t>бус</w:t>
      </w:r>
      <w:proofErr w:type="spellEnd"/>
      <w:r w:rsidRPr="00ED1CB4">
        <w:rPr>
          <w:rFonts w:ascii="Arial" w:hAnsi="Arial" w:cs="Arial"/>
          <w:color w:val="333333"/>
        </w:rPr>
        <w:t xml:space="preserve"> </w:t>
      </w:r>
      <w:proofErr w:type="spellStart"/>
      <w:r w:rsidRPr="00ED1CB4">
        <w:rPr>
          <w:rFonts w:ascii="Arial" w:hAnsi="Arial" w:cs="Arial"/>
          <w:color w:val="333333"/>
        </w:rPr>
        <w:t>гэж</w:t>
      </w:r>
      <w:proofErr w:type="spellEnd"/>
      <w:r w:rsidRPr="00ED1CB4">
        <w:rPr>
          <w:rFonts w:ascii="Arial" w:hAnsi="Arial" w:cs="Arial"/>
          <w:color w:val="333333"/>
        </w:rPr>
        <w:t xml:space="preserve"> </w:t>
      </w:r>
      <w:proofErr w:type="spellStart"/>
      <w:r w:rsidRPr="00ED1CB4">
        <w:rPr>
          <w:rFonts w:ascii="Arial" w:hAnsi="Arial" w:cs="Arial"/>
          <w:color w:val="333333"/>
        </w:rPr>
        <w:t>үзэж</w:t>
      </w:r>
      <w:proofErr w:type="spellEnd"/>
      <w:r w:rsidRPr="00ED1CB4">
        <w:rPr>
          <w:rFonts w:ascii="Arial" w:hAnsi="Arial" w:cs="Arial"/>
          <w:color w:val="333333"/>
        </w:rPr>
        <w:t xml:space="preserve"> </w:t>
      </w:r>
      <w:proofErr w:type="spellStart"/>
      <w:r w:rsidRPr="00ED1CB4">
        <w:rPr>
          <w:rFonts w:ascii="Arial" w:hAnsi="Arial" w:cs="Arial"/>
          <w:color w:val="333333"/>
        </w:rPr>
        <w:t>хүчингүй</w:t>
      </w:r>
      <w:proofErr w:type="spellEnd"/>
      <w:r w:rsidRPr="00ED1CB4">
        <w:rPr>
          <w:rFonts w:ascii="Arial" w:hAnsi="Arial" w:cs="Arial"/>
          <w:color w:val="333333"/>
        </w:rPr>
        <w:t xml:space="preserve"> </w:t>
      </w:r>
      <w:proofErr w:type="spellStart"/>
      <w:r w:rsidRPr="00ED1CB4">
        <w:rPr>
          <w:rFonts w:ascii="Arial" w:hAnsi="Arial" w:cs="Arial"/>
          <w:color w:val="333333"/>
        </w:rPr>
        <w:t>болгоно</w:t>
      </w:r>
      <w:proofErr w:type="spellEnd"/>
      <w:r w:rsidRPr="00ED1CB4">
        <w:rPr>
          <w:rFonts w:ascii="Arial" w:hAnsi="Arial" w:cs="Arial"/>
          <w:color w:val="333333"/>
          <w:lang w:val="mn-MN"/>
        </w:rPr>
        <w:t xml:space="preserve"> гэж, мөн зүйлд дээрх </w:t>
      </w:r>
      <w:proofErr w:type="spellStart"/>
      <w:r w:rsidRPr="00ED1CB4">
        <w:rPr>
          <w:rFonts w:ascii="Arial" w:hAnsi="Arial" w:cs="Arial"/>
          <w:color w:val="333333"/>
        </w:rPr>
        <w:t>үндэслэлээр</w:t>
      </w:r>
      <w:proofErr w:type="spellEnd"/>
      <w:r w:rsidRPr="00ED1CB4">
        <w:rPr>
          <w:rFonts w:ascii="Arial" w:hAnsi="Arial" w:cs="Arial"/>
          <w:color w:val="333333"/>
        </w:rPr>
        <w:t xml:space="preserve"> </w:t>
      </w:r>
      <w:proofErr w:type="spellStart"/>
      <w:r w:rsidRPr="00ED1CB4">
        <w:rPr>
          <w:rFonts w:ascii="Arial" w:hAnsi="Arial" w:cs="Arial"/>
          <w:color w:val="333333"/>
        </w:rPr>
        <w:t>хувьчлалыг</w:t>
      </w:r>
      <w:proofErr w:type="spellEnd"/>
      <w:r w:rsidRPr="00ED1CB4">
        <w:rPr>
          <w:rFonts w:ascii="Arial" w:hAnsi="Arial" w:cs="Arial"/>
          <w:color w:val="333333"/>
        </w:rPr>
        <w:t xml:space="preserve"> </w:t>
      </w:r>
      <w:proofErr w:type="spellStart"/>
      <w:r w:rsidRPr="00ED1CB4">
        <w:rPr>
          <w:rFonts w:ascii="Arial" w:hAnsi="Arial" w:cs="Arial"/>
          <w:color w:val="333333"/>
        </w:rPr>
        <w:t>хүчингүйд</w:t>
      </w:r>
      <w:proofErr w:type="spellEnd"/>
      <w:r w:rsidRPr="00ED1CB4">
        <w:rPr>
          <w:rFonts w:ascii="Arial" w:hAnsi="Arial" w:cs="Arial"/>
          <w:color w:val="333333"/>
        </w:rPr>
        <w:t xml:space="preserve"> </w:t>
      </w:r>
      <w:proofErr w:type="spellStart"/>
      <w:r w:rsidRPr="00ED1CB4">
        <w:rPr>
          <w:rFonts w:ascii="Arial" w:hAnsi="Arial" w:cs="Arial"/>
          <w:color w:val="333333"/>
        </w:rPr>
        <w:t>тооцох</w:t>
      </w:r>
      <w:proofErr w:type="spellEnd"/>
      <w:r w:rsidRPr="00ED1CB4">
        <w:rPr>
          <w:rFonts w:ascii="Arial" w:hAnsi="Arial" w:cs="Arial"/>
          <w:color w:val="333333"/>
        </w:rPr>
        <w:t xml:space="preserve"> </w:t>
      </w:r>
      <w:proofErr w:type="spellStart"/>
      <w:r w:rsidRPr="00ED1CB4">
        <w:rPr>
          <w:rFonts w:ascii="Arial" w:hAnsi="Arial" w:cs="Arial"/>
          <w:color w:val="333333"/>
        </w:rPr>
        <w:t>шийдвэрийг</w:t>
      </w:r>
      <w:proofErr w:type="spellEnd"/>
      <w:r w:rsidRPr="00ED1CB4">
        <w:rPr>
          <w:rFonts w:ascii="Arial" w:hAnsi="Arial" w:cs="Arial"/>
          <w:color w:val="333333"/>
        </w:rPr>
        <w:t xml:space="preserve"> </w:t>
      </w:r>
      <w:proofErr w:type="spellStart"/>
      <w:r w:rsidRPr="00ED1CB4">
        <w:rPr>
          <w:rFonts w:ascii="Arial" w:hAnsi="Arial" w:cs="Arial"/>
          <w:color w:val="333333"/>
        </w:rPr>
        <w:t>төрийн</w:t>
      </w:r>
      <w:proofErr w:type="spellEnd"/>
      <w:r w:rsidRPr="00ED1CB4">
        <w:rPr>
          <w:rFonts w:ascii="Arial" w:hAnsi="Arial" w:cs="Arial"/>
          <w:color w:val="333333"/>
        </w:rPr>
        <w:t xml:space="preserve"> </w:t>
      </w:r>
      <w:proofErr w:type="spellStart"/>
      <w:r w:rsidRPr="00ED1CB4">
        <w:rPr>
          <w:rFonts w:ascii="Arial" w:hAnsi="Arial" w:cs="Arial"/>
          <w:color w:val="333333"/>
        </w:rPr>
        <w:t>өмчийн</w:t>
      </w:r>
      <w:proofErr w:type="spellEnd"/>
      <w:r w:rsidRPr="00ED1CB4">
        <w:rPr>
          <w:rFonts w:ascii="Arial" w:hAnsi="Arial" w:cs="Arial"/>
          <w:color w:val="333333"/>
        </w:rPr>
        <w:t xml:space="preserve"> </w:t>
      </w:r>
      <w:proofErr w:type="spellStart"/>
      <w:r w:rsidRPr="00ED1CB4">
        <w:rPr>
          <w:rFonts w:ascii="Arial" w:hAnsi="Arial" w:cs="Arial"/>
          <w:color w:val="333333"/>
        </w:rPr>
        <w:t>бодлого</w:t>
      </w:r>
      <w:proofErr w:type="spellEnd"/>
      <w:r w:rsidRPr="00ED1CB4">
        <w:rPr>
          <w:rFonts w:ascii="Arial" w:hAnsi="Arial" w:cs="Arial"/>
          <w:color w:val="333333"/>
        </w:rPr>
        <w:t xml:space="preserve">, </w:t>
      </w:r>
      <w:proofErr w:type="spellStart"/>
      <w:r w:rsidRPr="00ED1CB4">
        <w:rPr>
          <w:rFonts w:ascii="Arial" w:hAnsi="Arial" w:cs="Arial"/>
          <w:color w:val="333333"/>
        </w:rPr>
        <w:t>зохицуулалтын</w:t>
      </w:r>
      <w:proofErr w:type="spellEnd"/>
      <w:r w:rsidRPr="00ED1CB4">
        <w:rPr>
          <w:rFonts w:ascii="Arial" w:hAnsi="Arial" w:cs="Arial"/>
          <w:color w:val="333333"/>
        </w:rPr>
        <w:t xml:space="preserve"> </w:t>
      </w:r>
      <w:proofErr w:type="spellStart"/>
      <w:r w:rsidRPr="00ED1CB4">
        <w:rPr>
          <w:rFonts w:ascii="Arial" w:hAnsi="Arial" w:cs="Arial"/>
          <w:color w:val="333333"/>
        </w:rPr>
        <w:t>асуудал</w:t>
      </w:r>
      <w:proofErr w:type="spellEnd"/>
      <w:r w:rsidRPr="00ED1CB4">
        <w:rPr>
          <w:rFonts w:ascii="Arial" w:hAnsi="Arial" w:cs="Arial"/>
          <w:color w:val="333333"/>
        </w:rPr>
        <w:t xml:space="preserve"> </w:t>
      </w:r>
      <w:proofErr w:type="spellStart"/>
      <w:r w:rsidRPr="00ED1CB4">
        <w:rPr>
          <w:rFonts w:ascii="Arial" w:hAnsi="Arial" w:cs="Arial"/>
          <w:color w:val="333333"/>
        </w:rPr>
        <w:t>эрхэлсэн</w:t>
      </w:r>
      <w:proofErr w:type="spellEnd"/>
      <w:r w:rsidRPr="00ED1CB4">
        <w:rPr>
          <w:rFonts w:ascii="Arial" w:hAnsi="Arial" w:cs="Arial"/>
          <w:color w:val="333333"/>
        </w:rPr>
        <w:t xml:space="preserve"> </w:t>
      </w:r>
      <w:proofErr w:type="spellStart"/>
      <w:r w:rsidRPr="00ED1CB4">
        <w:rPr>
          <w:rFonts w:ascii="Arial" w:hAnsi="Arial" w:cs="Arial"/>
          <w:color w:val="333333"/>
        </w:rPr>
        <w:t>төрийн</w:t>
      </w:r>
      <w:proofErr w:type="spellEnd"/>
      <w:r w:rsidRPr="00ED1CB4">
        <w:rPr>
          <w:rFonts w:ascii="Arial" w:hAnsi="Arial" w:cs="Arial"/>
          <w:color w:val="333333"/>
        </w:rPr>
        <w:t xml:space="preserve"> </w:t>
      </w:r>
      <w:proofErr w:type="spellStart"/>
      <w:r w:rsidRPr="00ED1CB4">
        <w:rPr>
          <w:rFonts w:ascii="Arial" w:hAnsi="Arial" w:cs="Arial"/>
          <w:color w:val="333333"/>
        </w:rPr>
        <w:t>захиргааны</w:t>
      </w:r>
      <w:proofErr w:type="spellEnd"/>
      <w:r w:rsidRPr="00ED1CB4">
        <w:rPr>
          <w:rFonts w:ascii="Arial" w:hAnsi="Arial" w:cs="Arial"/>
          <w:color w:val="333333"/>
        </w:rPr>
        <w:t xml:space="preserve"> </w:t>
      </w:r>
      <w:proofErr w:type="spellStart"/>
      <w:r w:rsidRPr="00ED1CB4">
        <w:rPr>
          <w:rFonts w:ascii="Arial" w:hAnsi="Arial" w:cs="Arial"/>
          <w:color w:val="333333"/>
        </w:rPr>
        <w:t>байгууллага</w:t>
      </w:r>
      <w:proofErr w:type="spellEnd"/>
      <w:r w:rsidRPr="00ED1CB4">
        <w:rPr>
          <w:rFonts w:ascii="Arial" w:hAnsi="Arial" w:cs="Arial"/>
          <w:color w:val="333333"/>
        </w:rPr>
        <w:t xml:space="preserve"> </w:t>
      </w:r>
      <w:proofErr w:type="spellStart"/>
      <w:r w:rsidRPr="00ED1CB4">
        <w:rPr>
          <w:rFonts w:ascii="Arial" w:hAnsi="Arial" w:cs="Arial"/>
          <w:color w:val="333333"/>
        </w:rPr>
        <w:t>гаргана</w:t>
      </w:r>
      <w:proofErr w:type="spellEnd"/>
      <w:r w:rsidRPr="00ED1CB4">
        <w:rPr>
          <w:rFonts w:ascii="Arial" w:hAnsi="Arial" w:cs="Arial"/>
          <w:color w:val="333333"/>
          <w:lang w:val="mn-MN"/>
        </w:rPr>
        <w:t xml:space="preserve"> гэж тус тус заасан.</w:t>
      </w:r>
    </w:p>
    <w:p w14:paraId="3C57E2E6" w14:textId="77777777" w:rsidR="00566A54" w:rsidRPr="00ED1CB4" w:rsidRDefault="00566A54" w:rsidP="00566A54">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 </w:t>
      </w:r>
    </w:p>
    <w:p w14:paraId="2FED1D98" w14:textId="77777777" w:rsidR="00566A54" w:rsidRPr="00ED1CB4" w:rsidRDefault="00566A54" w:rsidP="00566A54">
      <w:pPr>
        <w:pStyle w:val="NormalWeb"/>
        <w:spacing w:after="0"/>
        <w:ind w:firstLine="630"/>
        <w:jc w:val="both"/>
        <w:rPr>
          <w:rFonts w:ascii="Arial" w:hAnsi="Arial" w:cs="Arial"/>
          <w:color w:val="333333"/>
        </w:rPr>
      </w:pPr>
      <w:r w:rsidRPr="00ED1CB4">
        <w:rPr>
          <w:rFonts w:ascii="Arial" w:hAnsi="Arial" w:cs="Arial"/>
          <w:color w:val="000000" w:themeColor="text1"/>
          <w:lang w:val="mn-MN"/>
        </w:rPr>
        <w:tab/>
      </w:r>
      <w:r w:rsidRPr="00ED1CB4">
        <w:rPr>
          <w:rFonts w:ascii="Arial" w:hAnsi="Arial" w:cs="Arial"/>
          <w:color w:val="333333"/>
          <w:lang w:val="mn-MN"/>
        </w:rPr>
        <w:t xml:space="preserve">Иймд дээрх хуульд заасны дагуу </w:t>
      </w:r>
      <w:r w:rsidRPr="00ED1CB4">
        <w:rPr>
          <w:rFonts w:ascii="Arial" w:hAnsi="Arial" w:cs="Arial"/>
          <w:color w:val="333333"/>
        </w:rPr>
        <w:t>“</w:t>
      </w:r>
      <w:r w:rsidRPr="00ED1CB4">
        <w:rPr>
          <w:rFonts w:ascii="Arial" w:hAnsi="Arial" w:cs="Arial"/>
          <w:lang w:val="mn-MN"/>
        </w:rPr>
        <w:t xml:space="preserve">Хөтөлийн цемент шохой” ТӨХК-ийн хувьчлалын талаар авах арга хэмжээний тухай” Засгийн газрын 2022 оны 3 дугаар сарын 23-ны өдрийн 124 дүгээр тогтоолоор </w:t>
      </w:r>
      <w:r w:rsidRPr="00ED1CB4">
        <w:rPr>
          <w:rFonts w:ascii="Arial" w:hAnsi="Arial" w:cs="Arial"/>
          <w:color w:val="333333"/>
          <w:shd w:val="clear" w:color="auto" w:fill="FFFFFF"/>
        </w:rPr>
        <w:t xml:space="preserve"> "2015-2016 </w:t>
      </w:r>
      <w:proofErr w:type="spellStart"/>
      <w:r w:rsidRPr="00ED1CB4">
        <w:rPr>
          <w:rFonts w:ascii="Arial" w:hAnsi="Arial" w:cs="Arial"/>
          <w:color w:val="333333"/>
          <w:shd w:val="clear" w:color="auto" w:fill="FFFFFF"/>
        </w:rPr>
        <w:t>онд</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хувьчлах</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өөрчлөн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байгуулах</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төрийн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өмчит</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болон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төрийн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өмчийн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оролцоотой</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хуулийн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этгээдийн</w:t>
      </w:r>
      <w:proofErr w:type="spellEnd"/>
      <w:r w:rsidRPr="00ED1CB4">
        <w:rPr>
          <w:rFonts w:ascii="Arial" w:hAnsi="Arial" w:cs="Arial"/>
          <w:color w:val="333333"/>
          <w:shd w:val="clear" w:color="auto" w:fill="FFFFFF"/>
        </w:rPr>
        <w:t xml:space="preserve"> </w:t>
      </w:r>
      <w:proofErr w:type="spellStart"/>
      <w:r w:rsidRPr="00ED1CB4">
        <w:rPr>
          <w:rFonts w:ascii="Arial" w:hAnsi="Arial" w:cs="Arial"/>
          <w:color w:val="333333"/>
          <w:shd w:val="clear" w:color="auto" w:fill="FFFFFF"/>
        </w:rPr>
        <w:t>жагсаалт</w:t>
      </w:r>
      <w:proofErr w:type="spellEnd"/>
      <w:r w:rsidRPr="00ED1CB4">
        <w:rPr>
          <w:rFonts w:ascii="Arial" w:hAnsi="Arial" w:cs="Arial"/>
          <w:color w:val="333333"/>
          <w:shd w:val="clear" w:color="auto" w:fill="FFFFFF"/>
        </w:rPr>
        <w:t>"-</w:t>
      </w:r>
      <w:r w:rsidRPr="00ED1CB4">
        <w:rPr>
          <w:rFonts w:ascii="Arial" w:hAnsi="Arial" w:cs="Arial"/>
          <w:color w:val="333333"/>
          <w:shd w:val="clear" w:color="auto" w:fill="FFFFFF"/>
          <w:lang w:val="mn-MN"/>
        </w:rPr>
        <w:t>аас</w:t>
      </w:r>
      <w:r w:rsidRPr="00ED1CB4">
        <w:rPr>
          <w:rFonts w:ascii="Arial" w:hAnsi="Arial" w:cs="Arial"/>
          <w:lang w:val="mn-MN"/>
        </w:rPr>
        <w:t xml:space="preserve"> </w:t>
      </w:r>
      <w:r w:rsidRPr="00ED1CB4">
        <w:rPr>
          <w:rFonts w:ascii="Arial" w:hAnsi="Arial" w:cs="Arial"/>
          <w:color w:val="333333"/>
        </w:rPr>
        <w:t>“</w:t>
      </w:r>
      <w:r w:rsidRPr="00ED1CB4">
        <w:rPr>
          <w:rFonts w:ascii="Arial" w:hAnsi="Arial" w:cs="Arial"/>
          <w:lang w:val="mn-MN"/>
        </w:rPr>
        <w:t xml:space="preserve">Хөтөлийн цемент шохой” ТӨХК-ийг хувьчлах заалтыг хасч, Төрийн өмчийн бодлого, зохицуулалтын газрын 2022 оны 03 дугаар сарын 24-ний өдрийн 108 дугаар тогтоолоор уг хувьчлалыг  тодорхой үндэслэлээр хууль зөрчсөн гэж үзээд хүчингүйд тооцож зохих арга хэмжээг авч хэрэгжүүлээд байна. </w:t>
      </w:r>
    </w:p>
    <w:p w14:paraId="6A85F573" w14:textId="77777777" w:rsidR="00566A54" w:rsidRPr="00ED1CB4" w:rsidRDefault="00566A54" w:rsidP="00566A54">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 </w:t>
      </w:r>
    </w:p>
    <w:p w14:paraId="1F4852DD" w14:textId="75F38233" w:rsidR="004437E7" w:rsidRPr="00ED1CB4" w:rsidRDefault="00566A54" w:rsidP="00566A54">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 xml:space="preserve">Тухайлбал, </w:t>
      </w:r>
      <w:r w:rsidR="006F670A" w:rsidRPr="00ED1CB4">
        <w:rPr>
          <w:rFonts w:ascii="Arial" w:hAnsi="Arial" w:cs="Arial"/>
          <w:color w:val="000000" w:themeColor="text1"/>
          <w:sz w:val="24"/>
          <w:szCs w:val="24"/>
          <w:lang w:val="mn-MN"/>
        </w:rPr>
        <w:t xml:space="preserve">““Хөтөлийн цемент шохой” ТӨХК-ийн хувьчлалын талаар авах арга хэмжээний тухай” </w:t>
      </w:r>
      <w:r w:rsidR="004437E7" w:rsidRPr="00ED1CB4">
        <w:rPr>
          <w:rFonts w:ascii="Arial" w:hAnsi="Arial" w:cs="Arial"/>
          <w:color w:val="000000" w:themeColor="text1"/>
          <w:sz w:val="24"/>
          <w:szCs w:val="24"/>
          <w:lang w:val="mn-MN"/>
        </w:rPr>
        <w:t xml:space="preserve">Монгол Улсын Засгийн газрын 2022 оны 3 дугаар сарын 23-ны өдрийн  124 дүгээр тогтоолоор Засгийн газрын 2015 оны 330 дугаар тогтоолын хавсралтаар баталсан “2015-2016 онд хувьчлах, өөрчлөн байгуулах төрийн өмчит хуулийн этгээдийн жагсаалт”-ын “Хөтөлийн цемент шохой” ТӨХК-тай холбогдох 15 дахь хэсгийг хасч шийдвэрлэсэн.  </w:t>
      </w:r>
    </w:p>
    <w:p w14:paraId="349FAD12" w14:textId="5F3BDCD3" w:rsidR="004437E7" w:rsidRPr="00ED1CB4" w:rsidRDefault="004437E7" w:rsidP="00BE220F">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 xml:space="preserve">Төрийн өмчийн бодлого, зохицуулалтын газрын 2022 оны 03 дугаар сарын 24-ний өдрийн 108 дугаар тогтоолоор “Хөтөлийн цемент шохой” ТӨХК-ийн төрийн эзэмшлийн хувьцааг өр төлбөрийг төлөх нөхцөлтэйгөөр хөрөнгө оруулагч талд санал болгон хувьчилсан Төрийн өмчийн хорооны 2015 оны 608, 617 дугаар тогтоолыг </w:t>
      </w:r>
      <w:r w:rsidR="00ED1CB4" w:rsidRPr="00ED1CB4">
        <w:rPr>
          <w:rFonts w:ascii="Arial" w:hAnsi="Arial" w:cs="Arial"/>
          <w:color w:val="000000" w:themeColor="text1"/>
          <w:sz w:val="24"/>
          <w:szCs w:val="24"/>
          <w:lang w:val="mn-MN"/>
        </w:rPr>
        <w:t xml:space="preserve">тус тус </w:t>
      </w:r>
      <w:r w:rsidRPr="00ED1CB4">
        <w:rPr>
          <w:rFonts w:ascii="Arial" w:hAnsi="Arial" w:cs="Arial"/>
          <w:color w:val="000000" w:themeColor="text1"/>
          <w:sz w:val="24"/>
          <w:szCs w:val="24"/>
          <w:lang w:val="mn-MN"/>
        </w:rPr>
        <w:t xml:space="preserve">хүчингүй болгож, компанийн эрх, эд хөрөнгийг төрийн өмчид хүлээн авах ажлыг зохион байгуулан ажиллаж байна. </w:t>
      </w:r>
      <w:r w:rsidRPr="00ED1CB4">
        <w:rPr>
          <w:rFonts w:ascii="Arial" w:hAnsi="Arial" w:cs="Arial"/>
          <w:color w:val="000000" w:themeColor="text1"/>
          <w:sz w:val="24"/>
          <w:szCs w:val="24"/>
          <w:lang w:val="mn-MN"/>
        </w:rPr>
        <w:tab/>
      </w:r>
    </w:p>
    <w:p w14:paraId="4DCDFE05" w14:textId="3EB73646" w:rsidR="000B3CEF" w:rsidRPr="00ED1CB4" w:rsidRDefault="004437E7" w:rsidP="00BE220F">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Мөн Төрийн өмчийн бодлого, зохицуулалтын газрын 2022 оны 03 дугаар сарын 29-ний өдрийн 110 дугаар тогтоолоор “Цемент шохой” хувьцаат компанийн Хувьцаа эзэмшигчдийн болон Төлөөлөн удирдах зөвлөлийн холбогдох шийдвэрийг хүчингүй болгож, “Цемент шохой” төрийн өмчит хувьцаат компанийн дүрмийг баталж, 119,452,690 ширхэг энгийн хувьцааг төрийн өмчид бүртгүүлэх шийдвэрийг гаргаад байна.</w:t>
      </w:r>
      <w:r w:rsidR="000B3CEF" w:rsidRPr="00ED1CB4">
        <w:rPr>
          <w:rFonts w:ascii="Arial" w:hAnsi="Arial" w:cs="Arial"/>
          <w:color w:val="000000" w:themeColor="text1"/>
          <w:sz w:val="24"/>
          <w:szCs w:val="24"/>
          <w:lang w:val="mn-MN"/>
        </w:rPr>
        <w:tab/>
      </w:r>
    </w:p>
    <w:p w14:paraId="26D75D42" w14:textId="021DFAA9" w:rsidR="009D78D4" w:rsidRPr="00ED1CB4" w:rsidRDefault="00070BF1" w:rsidP="00BE220F">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r>
      <w:r w:rsidR="009D78D4" w:rsidRPr="00ED1CB4">
        <w:rPr>
          <w:rFonts w:ascii="Arial" w:hAnsi="Arial" w:cs="Arial"/>
          <w:color w:val="000000" w:themeColor="text1"/>
          <w:sz w:val="24"/>
          <w:szCs w:val="24"/>
          <w:lang w:val="mn-MN"/>
        </w:rPr>
        <w:t>Монгол Улсын Хөгжлийн банкнаас мэдээлснээр “Бейзмент” ХХК-нд 2010 онд олгосон 61.3 сая ам.долларын зээл, зээлийн хүүг хугацаандаа төлөөгүй, зээлийн гэрээний хугацаа дууссан боловч өр нь нийт 295 тэрбум төгрөг</w:t>
      </w:r>
      <w:r w:rsidR="00714416" w:rsidRPr="00ED1CB4">
        <w:rPr>
          <w:rFonts w:ascii="Arial" w:hAnsi="Arial" w:cs="Arial"/>
          <w:color w:val="000000" w:themeColor="text1"/>
          <w:sz w:val="24"/>
          <w:szCs w:val="24"/>
          <w:lang w:val="mn-MN"/>
        </w:rPr>
        <w:t>т хүрсэн</w:t>
      </w:r>
      <w:r w:rsidR="009D78D4" w:rsidRPr="00ED1CB4">
        <w:rPr>
          <w:rFonts w:ascii="Arial" w:hAnsi="Arial" w:cs="Arial"/>
          <w:color w:val="000000" w:themeColor="text1"/>
          <w:sz w:val="24"/>
          <w:szCs w:val="24"/>
          <w:lang w:val="mn-MN"/>
        </w:rPr>
        <w:t xml:space="preserve"> байна. </w:t>
      </w:r>
    </w:p>
    <w:p w14:paraId="342EE688" w14:textId="0C60DEA6" w:rsidR="000B3CEF" w:rsidRPr="00ED1CB4" w:rsidRDefault="009D78D4" w:rsidP="00BE220F">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“Бейзмент” ХХК нь өмч хувьчлалд оролцохоос өмнө Худалдаа хөгжлийн банкнаас авсан 34 сая, хятадын CHIMEG компаниас авсан 21.5 сая ам.долларын зэрэг нийт 61.0 сая ам.долларын зээлийг Хөгжлийн банкнаас авсан зээлийн эх үүсвэрээр барагдуулсан болох нь баримтаар нотлогдсон байна.</w:t>
      </w:r>
    </w:p>
    <w:p w14:paraId="7B4A2F5D" w14:textId="2554DA8F" w:rsidR="009D78D4" w:rsidRPr="00ED1CB4" w:rsidRDefault="009D78D4" w:rsidP="00BE220F">
      <w:pPr>
        <w:tabs>
          <w:tab w:val="left" w:pos="709"/>
        </w:tabs>
        <w:spacing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r>
      <w:r w:rsidRPr="00ED1CB4">
        <w:rPr>
          <w:rFonts w:ascii="Arial" w:hAnsi="Arial" w:cs="Arial"/>
          <w:color w:val="000000" w:themeColor="text1"/>
          <w:sz w:val="24"/>
          <w:szCs w:val="24"/>
          <w:lang w:val="mn-MN"/>
        </w:rPr>
        <w:tab/>
        <w:t xml:space="preserve">Иймд </w:t>
      </w:r>
      <w:r w:rsidR="00963EB0" w:rsidRPr="00ED1CB4">
        <w:rPr>
          <w:rFonts w:ascii="Arial" w:hAnsi="Arial" w:cs="Arial"/>
          <w:color w:val="000000" w:themeColor="text1"/>
          <w:sz w:val="24"/>
          <w:szCs w:val="24"/>
          <w:lang w:val="mn-MN"/>
        </w:rPr>
        <w:t>Улсын Их Хурлын 2015 оны 70 дугаар тогтоол</w:t>
      </w:r>
      <w:r w:rsidR="00070BF1" w:rsidRPr="00ED1CB4">
        <w:rPr>
          <w:rFonts w:ascii="Arial" w:hAnsi="Arial" w:cs="Arial"/>
          <w:color w:val="000000" w:themeColor="text1"/>
          <w:sz w:val="24"/>
          <w:szCs w:val="24"/>
          <w:lang w:val="mn-MN"/>
        </w:rPr>
        <w:t xml:space="preserve">оор </w:t>
      </w:r>
      <w:r w:rsidR="00963EB0" w:rsidRPr="00ED1CB4">
        <w:rPr>
          <w:rFonts w:ascii="Arial" w:hAnsi="Arial" w:cs="Arial"/>
          <w:color w:val="000000" w:themeColor="text1"/>
          <w:sz w:val="24"/>
          <w:szCs w:val="24"/>
          <w:lang w:val="mn-MN"/>
        </w:rPr>
        <w:t xml:space="preserve">““Хөтөлийн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хувьчлах”-аар </w:t>
      </w:r>
      <w:r w:rsidR="00384316">
        <w:rPr>
          <w:rFonts w:ascii="Arial" w:hAnsi="Arial" w:cs="Arial"/>
          <w:color w:val="000000" w:themeColor="text1"/>
          <w:sz w:val="24"/>
          <w:szCs w:val="24"/>
          <w:lang w:val="mn-MN"/>
        </w:rPr>
        <w:t xml:space="preserve">тусгасан </w:t>
      </w:r>
      <w:r w:rsidR="00384316">
        <w:rPr>
          <w:rFonts w:ascii="Arial" w:hAnsi="Arial" w:cs="Arial"/>
          <w:color w:val="000000" w:themeColor="text1"/>
          <w:sz w:val="24"/>
          <w:szCs w:val="24"/>
        </w:rPr>
        <w:t xml:space="preserve"> </w:t>
      </w:r>
      <w:r w:rsidR="00ED1CB4" w:rsidRPr="00ED1CB4">
        <w:rPr>
          <w:rFonts w:ascii="Arial" w:hAnsi="Arial" w:cs="Arial"/>
          <w:color w:val="000000" w:themeColor="text1"/>
          <w:sz w:val="24"/>
          <w:szCs w:val="24"/>
          <w:lang w:val="mn-MN"/>
        </w:rPr>
        <w:t>заалтын</w:t>
      </w:r>
      <w:r w:rsidR="00070BF1" w:rsidRPr="00ED1CB4">
        <w:rPr>
          <w:rFonts w:ascii="Arial" w:hAnsi="Arial" w:cs="Arial"/>
          <w:color w:val="000000" w:themeColor="text1"/>
          <w:sz w:val="24"/>
          <w:szCs w:val="24"/>
          <w:lang w:val="mn-MN"/>
        </w:rPr>
        <w:t xml:space="preserve"> хэрэгжилтэд үнэлгээ хийх нь зүйтэй гэж үз</w:t>
      </w:r>
      <w:r w:rsidR="00ED1CB4" w:rsidRPr="00ED1CB4">
        <w:rPr>
          <w:rFonts w:ascii="Arial" w:hAnsi="Arial" w:cs="Arial"/>
          <w:color w:val="000000" w:themeColor="text1"/>
          <w:sz w:val="24"/>
          <w:szCs w:val="24"/>
          <w:lang w:val="mn-MN"/>
        </w:rPr>
        <w:t>сэн</w:t>
      </w:r>
      <w:r w:rsidR="00070BF1" w:rsidRPr="00ED1CB4">
        <w:rPr>
          <w:rFonts w:ascii="Arial" w:hAnsi="Arial" w:cs="Arial"/>
          <w:color w:val="000000" w:themeColor="text1"/>
          <w:sz w:val="24"/>
          <w:szCs w:val="24"/>
          <w:lang w:val="mn-MN"/>
        </w:rPr>
        <w:t>.</w:t>
      </w:r>
    </w:p>
    <w:p w14:paraId="70BD367F" w14:textId="71EA79C2" w:rsidR="00566A54" w:rsidRPr="00ED1CB4" w:rsidRDefault="00ED1CB4" w:rsidP="00566A54">
      <w:pPr>
        <w:pStyle w:val="NormalWeb"/>
        <w:shd w:val="clear" w:color="auto" w:fill="FFFFFF"/>
        <w:spacing w:after="0"/>
        <w:ind w:firstLine="720"/>
        <w:jc w:val="both"/>
        <w:rPr>
          <w:rFonts w:ascii="Arial" w:hAnsi="Arial" w:cs="Arial"/>
        </w:rPr>
      </w:pPr>
      <w:r w:rsidRPr="00ED1CB4">
        <w:rPr>
          <w:rFonts w:ascii="Arial" w:hAnsi="Arial" w:cs="Arial"/>
          <w:lang w:val="mn-MN"/>
        </w:rPr>
        <w:lastRenderedPageBreak/>
        <w:t>Түүнчлэн, ө</w:t>
      </w:r>
      <w:proofErr w:type="spellStart"/>
      <w:r w:rsidR="00566A54" w:rsidRPr="00ED1CB4">
        <w:rPr>
          <w:rFonts w:ascii="Arial" w:hAnsi="Arial" w:cs="Arial"/>
        </w:rPr>
        <w:t>нөөгийн</w:t>
      </w:r>
      <w:proofErr w:type="spellEnd"/>
      <w:r w:rsidR="00566A54" w:rsidRPr="00ED1CB4">
        <w:rPr>
          <w:rFonts w:ascii="Arial" w:hAnsi="Arial" w:cs="Arial"/>
        </w:rPr>
        <w:t xml:space="preserve"> </w:t>
      </w:r>
      <w:proofErr w:type="spellStart"/>
      <w:r w:rsidR="00566A54" w:rsidRPr="00ED1CB4">
        <w:rPr>
          <w:rFonts w:ascii="Arial" w:hAnsi="Arial" w:cs="Arial"/>
        </w:rPr>
        <w:t>дэлхий</w:t>
      </w:r>
      <w:proofErr w:type="spellEnd"/>
      <w:r w:rsidR="00566A54" w:rsidRPr="00ED1CB4">
        <w:rPr>
          <w:rFonts w:ascii="Arial" w:hAnsi="Arial" w:cs="Arial"/>
        </w:rPr>
        <w:t xml:space="preserve"> </w:t>
      </w:r>
      <w:proofErr w:type="spellStart"/>
      <w:r w:rsidR="00566A54" w:rsidRPr="00ED1CB4">
        <w:rPr>
          <w:rFonts w:ascii="Arial" w:hAnsi="Arial" w:cs="Arial"/>
        </w:rPr>
        <w:t>дахинд</w:t>
      </w:r>
      <w:proofErr w:type="spellEnd"/>
      <w:r w:rsidR="00566A54" w:rsidRPr="00ED1CB4">
        <w:rPr>
          <w:rFonts w:ascii="Arial" w:hAnsi="Arial" w:cs="Arial"/>
        </w:rPr>
        <w:t xml:space="preserve"> </w:t>
      </w:r>
      <w:proofErr w:type="spellStart"/>
      <w:r w:rsidR="00566A54" w:rsidRPr="00ED1CB4">
        <w:rPr>
          <w:rFonts w:ascii="Arial" w:hAnsi="Arial" w:cs="Arial"/>
        </w:rPr>
        <w:t>үүсээд</w:t>
      </w:r>
      <w:proofErr w:type="spellEnd"/>
      <w:r w:rsidR="00566A54" w:rsidRPr="00ED1CB4">
        <w:rPr>
          <w:rFonts w:ascii="Arial" w:hAnsi="Arial" w:cs="Arial"/>
        </w:rPr>
        <w:t xml:space="preserve"> </w:t>
      </w:r>
      <w:proofErr w:type="spellStart"/>
      <w:r w:rsidR="00566A54" w:rsidRPr="00ED1CB4">
        <w:rPr>
          <w:rFonts w:ascii="Arial" w:hAnsi="Arial" w:cs="Arial"/>
        </w:rPr>
        <w:t>байгаа</w:t>
      </w:r>
      <w:proofErr w:type="spellEnd"/>
      <w:r w:rsidR="00566A54" w:rsidRPr="00ED1CB4">
        <w:rPr>
          <w:rFonts w:ascii="Arial" w:hAnsi="Arial" w:cs="Arial"/>
        </w:rPr>
        <w:t xml:space="preserve"> </w:t>
      </w:r>
      <w:proofErr w:type="spellStart"/>
      <w:r w:rsidR="00566A54" w:rsidRPr="00ED1CB4">
        <w:rPr>
          <w:rFonts w:ascii="Arial" w:hAnsi="Arial" w:cs="Arial"/>
        </w:rPr>
        <w:t>олон</w:t>
      </w:r>
      <w:proofErr w:type="spellEnd"/>
      <w:r w:rsidR="00566A54" w:rsidRPr="00ED1CB4">
        <w:rPr>
          <w:rFonts w:ascii="Arial" w:hAnsi="Arial" w:cs="Arial"/>
        </w:rPr>
        <w:t xml:space="preserve"> </w:t>
      </w:r>
      <w:proofErr w:type="spellStart"/>
      <w:r w:rsidR="00566A54" w:rsidRPr="00ED1CB4">
        <w:rPr>
          <w:rFonts w:ascii="Arial" w:hAnsi="Arial" w:cs="Arial"/>
        </w:rPr>
        <w:t>нийтийг</w:t>
      </w:r>
      <w:proofErr w:type="spellEnd"/>
      <w:r w:rsidR="00566A54" w:rsidRPr="00ED1CB4">
        <w:rPr>
          <w:rFonts w:ascii="Arial" w:hAnsi="Arial" w:cs="Arial"/>
        </w:rPr>
        <w:t xml:space="preserve"> </w:t>
      </w:r>
      <w:proofErr w:type="spellStart"/>
      <w:r w:rsidR="00566A54" w:rsidRPr="00ED1CB4">
        <w:rPr>
          <w:rFonts w:ascii="Arial" w:hAnsi="Arial" w:cs="Arial"/>
        </w:rPr>
        <w:t>хамарсан</w:t>
      </w:r>
      <w:proofErr w:type="spellEnd"/>
      <w:r w:rsidR="00566A54" w:rsidRPr="00ED1CB4">
        <w:rPr>
          <w:rFonts w:ascii="Arial" w:hAnsi="Arial" w:cs="Arial"/>
        </w:rPr>
        <w:t xml:space="preserve"> </w:t>
      </w:r>
      <w:proofErr w:type="spellStart"/>
      <w:r w:rsidR="00566A54" w:rsidRPr="00ED1CB4">
        <w:rPr>
          <w:rFonts w:ascii="Arial" w:hAnsi="Arial" w:cs="Arial"/>
        </w:rPr>
        <w:t>цар</w:t>
      </w:r>
      <w:proofErr w:type="spellEnd"/>
      <w:r w:rsidR="00566A54" w:rsidRPr="00ED1CB4">
        <w:rPr>
          <w:rFonts w:ascii="Arial" w:hAnsi="Arial" w:cs="Arial"/>
        </w:rPr>
        <w:t xml:space="preserve"> </w:t>
      </w:r>
      <w:proofErr w:type="spellStart"/>
      <w:r w:rsidR="00566A54" w:rsidRPr="00ED1CB4">
        <w:rPr>
          <w:rFonts w:ascii="Arial" w:hAnsi="Arial" w:cs="Arial"/>
        </w:rPr>
        <w:t>тахлын</w:t>
      </w:r>
      <w:proofErr w:type="spellEnd"/>
      <w:r w:rsidR="00566A54" w:rsidRPr="00ED1CB4">
        <w:rPr>
          <w:rFonts w:ascii="Arial" w:hAnsi="Arial" w:cs="Arial"/>
        </w:rPr>
        <w:t xml:space="preserve"> </w:t>
      </w:r>
      <w:proofErr w:type="spellStart"/>
      <w:r w:rsidR="00566A54" w:rsidRPr="00ED1CB4">
        <w:rPr>
          <w:rFonts w:ascii="Arial" w:hAnsi="Arial" w:cs="Arial"/>
        </w:rPr>
        <w:t>нөхцөл</w:t>
      </w:r>
      <w:proofErr w:type="spellEnd"/>
      <w:r w:rsidR="00566A54" w:rsidRPr="00ED1CB4">
        <w:rPr>
          <w:rFonts w:ascii="Arial" w:hAnsi="Arial" w:cs="Arial"/>
        </w:rPr>
        <w:t xml:space="preserve"> </w:t>
      </w:r>
      <w:proofErr w:type="spellStart"/>
      <w:r w:rsidR="00566A54" w:rsidRPr="00ED1CB4">
        <w:rPr>
          <w:rFonts w:ascii="Arial" w:hAnsi="Arial" w:cs="Arial"/>
        </w:rPr>
        <w:t>байдал</w:t>
      </w:r>
      <w:proofErr w:type="spellEnd"/>
      <w:r w:rsidR="00566A54" w:rsidRPr="00ED1CB4">
        <w:rPr>
          <w:rFonts w:ascii="Arial" w:hAnsi="Arial" w:cs="Arial"/>
        </w:rPr>
        <w:t xml:space="preserve">, </w:t>
      </w:r>
      <w:proofErr w:type="spellStart"/>
      <w:r w:rsidR="00566A54" w:rsidRPr="00ED1CB4">
        <w:rPr>
          <w:rFonts w:ascii="Arial" w:hAnsi="Arial" w:cs="Arial"/>
        </w:rPr>
        <w:t>хөрш</w:t>
      </w:r>
      <w:proofErr w:type="spellEnd"/>
      <w:r w:rsidR="00566A54" w:rsidRPr="00ED1CB4">
        <w:rPr>
          <w:rFonts w:ascii="Arial" w:hAnsi="Arial" w:cs="Arial"/>
        </w:rPr>
        <w:t xml:space="preserve">, </w:t>
      </w:r>
      <w:proofErr w:type="spellStart"/>
      <w:r w:rsidR="00566A54" w:rsidRPr="00ED1CB4">
        <w:rPr>
          <w:rFonts w:ascii="Arial" w:hAnsi="Arial" w:cs="Arial"/>
        </w:rPr>
        <w:t>зэргэлдээ</w:t>
      </w:r>
      <w:proofErr w:type="spellEnd"/>
      <w:r w:rsidR="00566A54" w:rsidRPr="00ED1CB4">
        <w:rPr>
          <w:rFonts w:ascii="Arial" w:hAnsi="Arial" w:cs="Arial"/>
        </w:rPr>
        <w:t xml:space="preserve"> </w:t>
      </w:r>
      <w:proofErr w:type="spellStart"/>
      <w:r w:rsidR="00566A54" w:rsidRPr="00ED1CB4">
        <w:rPr>
          <w:rFonts w:ascii="Arial" w:hAnsi="Arial" w:cs="Arial"/>
        </w:rPr>
        <w:t>оронд</w:t>
      </w:r>
      <w:proofErr w:type="spellEnd"/>
      <w:r w:rsidR="00566A54" w:rsidRPr="00ED1CB4">
        <w:rPr>
          <w:rFonts w:ascii="Arial" w:hAnsi="Arial" w:cs="Arial"/>
        </w:rPr>
        <w:t xml:space="preserve"> </w:t>
      </w:r>
      <w:proofErr w:type="spellStart"/>
      <w:r w:rsidR="00566A54" w:rsidRPr="00ED1CB4">
        <w:rPr>
          <w:rFonts w:ascii="Arial" w:hAnsi="Arial" w:cs="Arial"/>
        </w:rPr>
        <w:t>бий</w:t>
      </w:r>
      <w:proofErr w:type="spellEnd"/>
      <w:r w:rsidR="00566A54" w:rsidRPr="00ED1CB4">
        <w:rPr>
          <w:rFonts w:ascii="Arial" w:hAnsi="Arial" w:cs="Arial"/>
        </w:rPr>
        <w:t xml:space="preserve"> </w:t>
      </w:r>
      <w:proofErr w:type="spellStart"/>
      <w:r w:rsidR="00566A54" w:rsidRPr="00ED1CB4">
        <w:rPr>
          <w:rFonts w:ascii="Arial" w:hAnsi="Arial" w:cs="Arial"/>
        </w:rPr>
        <w:t>болсон</w:t>
      </w:r>
      <w:proofErr w:type="spellEnd"/>
      <w:r w:rsidR="00566A54" w:rsidRPr="00ED1CB4">
        <w:rPr>
          <w:rFonts w:ascii="Arial" w:hAnsi="Arial" w:cs="Arial"/>
        </w:rPr>
        <w:t xml:space="preserve"> </w:t>
      </w:r>
      <w:proofErr w:type="spellStart"/>
      <w:r w:rsidR="00566A54" w:rsidRPr="00ED1CB4">
        <w:rPr>
          <w:rFonts w:ascii="Arial" w:hAnsi="Arial" w:cs="Arial"/>
        </w:rPr>
        <w:t>олон</w:t>
      </w:r>
      <w:proofErr w:type="spellEnd"/>
      <w:r w:rsidR="00566A54" w:rsidRPr="00ED1CB4">
        <w:rPr>
          <w:rFonts w:ascii="Arial" w:hAnsi="Arial" w:cs="Arial"/>
        </w:rPr>
        <w:t xml:space="preserve"> </w:t>
      </w:r>
      <w:proofErr w:type="spellStart"/>
      <w:r w:rsidR="00566A54" w:rsidRPr="00ED1CB4">
        <w:rPr>
          <w:rFonts w:ascii="Arial" w:hAnsi="Arial" w:cs="Arial"/>
        </w:rPr>
        <w:t>улсын</w:t>
      </w:r>
      <w:proofErr w:type="spellEnd"/>
      <w:r w:rsidR="00566A54" w:rsidRPr="00ED1CB4">
        <w:rPr>
          <w:rFonts w:ascii="Arial" w:hAnsi="Arial" w:cs="Arial"/>
        </w:rPr>
        <w:t xml:space="preserve"> </w:t>
      </w:r>
      <w:proofErr w:type="spellStart"/>
      <w:r w:rsidR="00566A54" w:rsidRPr="00ED1CB4">
        <w:rPr>
          <w:rFonts w:ascii="Arial" w:hAnsi="Arial" w:cs="Arial"/>
        </w:rPr>
        <w:t>хямралт</w:t>
      </w:r>
      <w:proofErr w:type="spellEnd"/>
      <w:r w:rsidR="00566A54" w:rsidRPr="00ED1CB4">
        <w:rPr>
          <w:rFonts w:ascii="Arial" w:hAnsi="Arial" w:cs="Arial"/>
        </w:rPr>
        <w:t xml:space="preserve"> </w:t>
      </w:r>
      <w:proofErr w:type="spellStart"/>
      <w:r w:rsidR="00566A54" w:rsidRPr="00ED1CB4">
        <w:rPr>
          <w:rFonts w:ascii="Arial" w:hAnsi="Arial" w:cs="Arial"/>
        </w:rPr>
        <w:t>нөхцөл</w:t>
      </w:r>
      <w:proofErr w:type="spellEnd"/>
      <w:r w:rsidR="00566A54" w:rsidRPr="00ED1CB4">
        <w:rPr>
          <w:rFonts w:ascii="Arial" w:hAnsi="Arial" w:cs="Arial"/>
        </w:rPr>
        <w:t xml:space="preserve"> </w:t>
      </w:r>
      <w:proofErr w:type="spellStart"/>
      <w:r w:rsidR="00566A54" w:rsidRPr="00ED1CB4">
        <w:rPr>
          <w:rFonts w:ascii="Arial" w:hAnsi="Arial" w:cs="Arial"/>
        </w:rPr>
        <w:t>байдлаас</w:t>
      </w:r>
      <w:proofErr w:type="spellEnd"/>
      <w:r w:rsidR="00566A54" w:rsidRPr="00ED1CB4">
        <w:rPr>
          <w:rFonts w:ascii="Arial" w:hAnsi="Arial" w:cs="Arial"/>
        </w:rPr>
        <w:t xml:space="preserve"> </w:t>
      </w:r>
      <w:proofErr w:type="spellStart"/>
      <w:r w:rsidR="00566A54" w:rsidRPr="00ED1CB4">
        <w:rPr>
          <w:rFonts w:ascii="Arial" w:hAnsi="Arial" w:cs="Arial"/>
        </w:rPr>
        <w:t>үзэхэд</w:t>
      </w:r>
      <w:proofErr w:type="spellEnd"/>
      <w:r w:rsidR="00566A54" w:rsidRPr="00ED1CB4">
        <w:rPr>
          <w:rFonts w:ascii="Arial" w:hAnsi="Arial" w:cs="Arial"/>
        </w:rPr>
        <w:t xml:space="preserve"> </w:t>
      </w:r>
      <w:proofErr w:type="spellStart"/>
      <w:r w:rsidR="00566A54" w:rsidRPr="00ED1CB4">
        <w:rPr>
          <w:rFonts w:ascii="Arial" w:hAnsi="Arial" w:cs="Arial"/>
        </w:rPr>
        <w:t>хилээр</w:t>
      </w:r>
      <w:proofErr w:type="spellEnd"/>
      <w:r w:rsidR="00566A54" w:rsidRPr="00ED1CB4">
        <w:rPr>
          <w:rFonts w:ascii="Arial" w:hAnsi="Arial" w:cs="Arial"/>
        </w:rPr>
        <w:t xml:space="preserve"> </w:t>
      </w:r>
      <w:proofErr w:type="spellStart"/>
      <w:r w:rsidR="00566A54" w:rsidRPr="00ED1CB4">
        <w:rPr>
          <w:rFonts w:ascii="Arial" w:hAnsi="Arial" w:cs="Arial"/>
        </w:rPr>
        <w:t>бараа</w:t>
      </w:r>
      <w:proofErr w:type="spellEnd"/>
      <w:r w:rsidR="00566A54" w:rsidRPr="00ED1CB4">
        <w:rPr>
          <w:rFonts w:ascii="Arial" w:hAnsi="Arial" w:cs="Arial"/>
        </w:rPr>
        <w:t xml:space="preserve">, </w:t>
      </w:r>
      <w:proofErr w:type="spellStart"/>
      <w:r w:rsidR="00566A54" w:rsidRPr="00ED1CB4">
        <w:rPr>
          <w:rFonts w:ascii="Arial" w:hAnsi="Arial" w:cs="Arial"/>
        </w:rPr>
        <w:t>бүтээгдэхүүн</w:t>
      </w:r>
      <w:proofErr w:type="spellEnd"/>
      <w:r w:rsidR="00566A54" w:rsidRPr="00ED1CB4">
        <w:rPr>
          <w:rFonts w:ascii="Arial" w:hAnsi="Arial" w:cs="Arial"/>
        </w:rPr>
        <w:t xml:space="preserve"> </w:t>
      </w:r>
      <w:proofErr w:type="spellStart"/>
      <w:r w:rsidR="00566A54" w:rsidRPr="00ED1CB4">
        <w:rPr>
          <w:rFonts w:ascii="Arial" w:hAnsi="Arial" w:cs="Arial"/>
        </w:rPr>
        <w:t>тээвэрлэх</w:t>
      </w:r>
      <w:proofErr w:type="spellEnd"/>
      <w:r w:rsidR="00566A54" w:rsidRPr="00ED1CB4">
        <w:rPr>
          <w:rFonts w:ascii="Arial" w:hAnsi="Arial" w:cs="Arial"/>
        </w:rPr>
        <w:t xml:space="preserve">, </w:t>
      </w:r>
      <w:proofErr w:type="spellStart"/>
      <w:r w:rsidR="00566A54" w:rsidRPr="00ED1CB4">
        <w:rPr>
          <w:rFonts w:ascii="Arial" w:hAnsi="Arial" w:cs="Arial"/>
        </w:rPr>
        <w:t>нэвтрүүлэх</w:t>
      </w:r>
      <w:proofErr w:type="spellEnd"/>
      <w:r w:rsidR="00566A54" w:rsidRPr="00ED1CB4">
        <w:rPr>
          <w:rFonts w:ascii="Arial" w:hAnsi="Arial" w:cs="Arial"/>
        </w:rPr>
        <w:t xml:space="preserve"> </w:t>
      </w:r>
      <w:proofErr w:type="spellStart"/>
      <w:r w:rsidR="00566A54" w:rsidRPr="00ED1CB4">
        <w:rPr>
          <w:rFonts w:ascii="Arial" w:hAnsi="Arial" w:cs="Arial"/>
        </w:rPr>
        <w:t>боломж</w:t>
      </w:r>
      <w:proofErr w:type="spellEnd"/>
      <w:r w:rsidR="00566A54" w:rsidRPr="00ED1CB4">
        <w:rPr>
          <w:rFonts w:ascii="Arial" w:hAnsi="Arial" w:cs="Arial"/>
        </w:rPr>
        <w:t xml:space="preserve"> </w:t>
      </w:r>
      <w:proofErr w:type="spellStart"/>
      <w:r w:rsidR="00566A54" w:rsidRPr="00ED1CB4">
        <w:rPr>
          <w:rFonts w:ascii="Arial" w:hAnsi="Arial" w:cs="Arial"/>
        </w:rPr>
        <w:t>бололцоогүй</w:t>
      </w:r>
      <w:proofErr w:type="spellEnd"/>
      <w:r w:rsidR="00566A54" w:rsidRPr="00ED1CB4">
        <w:rPr>
          <w:rFonts w:ascii="Arial" w:hAnsi="Arial" w:cs="Arial"/>
        </w:rPr>
        <w:t xml:space="preserve"> </w:t>
      </w:r>
      <w:proofErr w:type="spellStart"/>
      <w:r w:rsidR="00566A54" w:rsidRPr="00ED1CB4">
        <w:rPr>
          <w:rFonts w:ascii="Arial" w:hAnsi="Arial" w:cs="Arial"/>
        </w:rPr>
        <w:t>болох</w:t>
      </w:r>
      <w:proofErr w:type="spellEnd"/>
      <w:r w:rsidR="00566A54" w:rsidRPr="00ED1CB4">
        <w:rPr>
          <w:rFonts w:ascii="Arial" w:hAnsi="Arial" w:cs="Arial"/>
        </w:rPr>
        <w:t xml:space="preserve">, </w:t>
      </w:r>
      <w:proofErr w:type="spellStart"/>
      <w:r w:rsidR="00566A54" w:rsidRPr="00ED1CB4">
        <w:rPr>
          <w:rFonts w:ascii="Arial" w:hAnsi="Arial" w:cs="Arial"/>
        </w:rPr>
        <w:t>дотоодод</w:t>
      </w:r>
      <w:proofErr w:type="spellEnd"/>
      <w:r w:rsidR="00566A54" w:rsidRPr="00ED1CB4">
        <w:rPr>
          <w:rFonts w:ascii="Arial" w:hAnsi="Arial" w:cs="Arial"/>
        </w:rPr>
        <w:t xml:space="preserve"> </w:t>
      </w:r>
      <w:proofErr w:type="spellStart"/>
      <w:r w:rsidR="00566A54" w:rsidRPr="00ED1CB4">
        <w:rPr>
          <w:rFonts w:ascii="Arial" w:hAnsi="Arial" w:cs="Arial"/>
        </w:rPr>
        <w:t>бараа</w:t>
      </w:r>
      <w:proofErr w:type="spellEnd"/>
      <w:r w:rsidR="00566A54" w:rsidRPr="00ED1CB4">
        <w:rPr>
          <w:rFonts w:ascii="Arial" w:hAnsi="Arial" w:cs="Arial"/>
        </w:rPr>
        <w:t xml:space="preserve"> </w:t>
      </w:r>
      <w:proofErr w:type="spellStart"/>
      <w:r w:rsidR="00566A54" w:rsidRPr="00ED1CB4">
        <w:rPr>
          <w:rFonts w:ascii="Arial" w:hAnsi="Arial" w:cs="Arial"/>
        </w:rPr>
        <w:t>бүтээгдэхүүний</w:t>
      </w:r>
      <w:proofErr w:type="spellEnd"/>
      <w:r w:rsidR="00566A54" w:rsidRPr="00ED1CB4">
        <w:rPr>
          <w:rFonts w:ascii="Arial" w:hAnsi="Arial" w:cs="Arial"/>
        </w:rPr>
        <w:t xml:space="preserve"> </w:t>
      </w:r>
      <w:proofErr w:type="spellStart"/>
      <w:r w:rsidR="00566A54" w:rsidRPr="00ED1CB4">
        <w:rPr>
          <w:rFonts w:ascii="Arial" w:hAnsi="Arial" w:cs="Arial"/>
        </w:rPr>
        <w:t>эрэлт</w:t>
      </w:r>
      <w:proofErr w:type="spellEnd"/>
      <w:r w:rsidR="00566A54" w:rsidRPr="00ED1CB4">
        <w:rPr>
          <w:rFonts w:ascii="Arial" w:hAnsi="Arial" w:cs="Arial"/>
        </w:rPr>
        <w:t xml:space="preserve"> </w:t>
      </w:r>
      <w:proofErr w:type="spellStart"/>
      <w:r w:rsidR="00566A54" w:rsidRPr="00ED1CB4">
        <w:rPr>
          <w:rFonts w:ascii="Arial" w:hAnsi="Arial" w:cs="Arial"/>
        </w:rPr>
        <w:t>нэмэгдэх</w:t>
      </w:r>
      <w:proofErr w:type="spellEnd"/>
      <w:r w:rsidR="00566A54" w:rsidRPr="00ED1CB4">
        <w:rPr>
          <w:rFonts w:ascii="Arial" w:hAnsi="Arial" w:cs="Arial"/>
        </w:rPr>
        <w:t xml:space="preserve">, </w:t>
      </w:r>
      <w:proofErr w:type="spellStart"/>
      <w:r w:rsidR="00566A54" w:rsidRPr="00ED1CB4">
        <w:rPr>
          <w:rFonts w:ascii="Arial" w:hAnsi="Arial" w:cs="Arial"/>
        </w:rPr>
        <w:t>хомсдол</w:t>
      </w:r>
      <w:proofErr w:type="spellEnd"/>
      <w:r w:rsidR="00566A54" w:rsidRPr="00ED1CB4">
        <w:rPr>
          <w:rFonts w:ascii="Arial" w:hAnsi="Arial" w:cs="Arial"/>
        </w:rPr>
        <w:t xml:space="preserve"> </w:t>
      </w:r>
      <w:proofErr w:type="spellStart"/>
      <w:r w:rsidR="00566A54" w:rsidRPr="00ED1CB4">
        <w:rPr>
          <w:rFonts w:ascii="Arial" w:hAnsi="Arial" w:cs="Arial"/>
        </w:rPr>
        <w:t>үүсэх</w:t>
      </w:r>
      <w:proofErr w:type="spellEnd"/>
      <w:r w:rsidR="00566A54" w:rsidRPr="00ED1CB4">
        <w:rPr>
          <w:rFonts w:ascii="Arial" w:hAnsi="Arial" w:cs="Arial"/>
        </w:rPr>
        <w:t xml:space="preserve"> </w:t>
      </w:r>
      <w:proofErr w:type="spellStart"/>
      <w:r w:rsidR="00566A54" w:rsidRPr="00ED1CB4">
        <w:rPr>
          <w:rFonts w:ascii="Arial" w:hAnsi="Arial" w:cs="Arial"/>
        </w:rPr>
        <w:t>зэрэг</w:t>
      </w:r>
      <w:proofErr w:type="spellEnd"/>
      <w:r w:rsidR="00566A54" w:rsidRPr="00ED1CB4">
        <w:rPr>
          <w:rFonts w:ascii="Arial" w:hAnsi="Arial" w:cs="Arial"/>
        </w:rPr>
        <w:t xml:space="preserve"> </w:t>
      </w:r>
      <w:proofErr w:type="spellStart"/>
      <w:r w:rsidR="00566A54" w:rsidRPr="00ED1CB4">
        <w:rPr>
          <w:rFonts w:ascii="Arial" w:hAnsi="Arial" w:cs="Arial"/>
        </w:rPr>
        <w:t>сөрөг</w:t>
      </w:r>
      <w:proofErr w:type="spellEnd"/>
      <w:r w:rsidR="00566A54" w:rsidRPr="00ED1CB4">
        <w:rPr>
          <w:rFonts w:ascii="Arial" w:hAnsi="Arial" w:cs="Arial"/>
        </w:rPr>
        <w:t xml:space="preserve"> </w:t>
      </w:r>
      <w:proofErr w:type="spellStart"/>
      <w:r w:rsidR="00566A54" w:rsidRPr="00ED1CB4">
        <w:rPr>
          <w:rFonts w:ascii="Arial" w:hAnsi="Arial" w:cs="Arial"/>
        </w:rPr>
        <w:t>үр</w:t>
      </w:r>
      <w:proofErr w:type="spellEnd"/>
      <w:r w:rsidR="00566A54" w:rsidRPr="00ED1CB4">
        <w:rPr>
          <w:rFonts w:ascii="Arial" w:hAnsi="Arial" w:cs="Arial"/>
        </w:rPr>
        <w:t xml:space="preserve"> </w:t>
      </w:r>
      <w:proofErr w:type="spellStart"/>
      <w:r w:rsidR="00566A54" w:rsidRPr="00ED1CB4">
        <w:rPr>
          <w:rFonts w:ascii="Arial" w:hAnsi="Arial" w:cs="Arial"/>
        </w:rPr>
        <w:t>дагаврууд</w:t>
      </w:r>
      <w:proofErr w:type="spellEnd"/>
      <w:r w:rsidR="00566A54" w:rsidRPr="00ED1CB4">
        <w:rPr>
          <w:rFonts w:ascii="Arial" w:hAnsi="Arial" w:cs="Arial"/>
        </w:rPr>
        <w:t xml:space="preserve"> </w:t>
      </w:r>
      <w:proofErr w:type="spellStart"/>
      <w:r w:rsidR="00566A54" w:rsidRPr="00ED1CB4">
        <w:rPr>
          <w:rFonts w:ascii="Arial" w:hAnsi="Arial" w:cs="Arial"/>
        </w:rPr>
        <w:t>бий</w:t>
      </w:r>
      <w:proofErr w:type="spellEnd"/>
      <w:r w:rsidR="00566A54" w:rsidRPr="00ED1CB4">
        <w:rPr>
          <w:rFonts w:ascii="Arial" w:hAnsi="Arial" w:cs="Arial"/>
        </w:rPr>
        <w:t xml:space="preserve"> </w:t>
      </w:r>
      <w:proofErr w:type="spellStart"/>
      <w:r w:rsidR="00566A54" w:rsidRPr="00ED1CB4">
        <w:rPr>
          <w:rFonts w:ascii="Arial" w:hAnsi="Arial" w:cs="Arial"/>
        </w:rPr>
        <w:t>болдог</w:t>
      </w:r>
      <w:proofErr w:type="spellEnd"/>
      <w:r w:rsidR="00566A54" w:rsidRPr="00ED1CB4">
        <w:rPr>
          <w:rFonts w:ascii="Arial" w:hAnsi="Arial" w:cs="Arial"/>
        </w:rPr>
        <w:t xml:space="preserve"> </w:t>
      </w:r>
      <w:proofErr w:type="spellStart"/>
      <w:r w:rsidR="00566A54" w:rsidRPr="00ED1CB4">
        <w:rPr>
          <w:rFonts w:ascii="Arial" w:hAnsi="Arial" w:cs="Arial"/>
        </w:rPr>
        <w:t>байх</w:t>
      </w:r>
      <w:proofErr w:type="spellEnd"/>
      <w:r w:rsidR="00566A54" w:rsidRPr="00ED1CB4">
        <w:rPr>
          <w:rFonts w:ascii="Arial" w:hAnsi="Arial" w:cs="Arial"/>
        </w:rPr>
        <w:t xml:space="preserve"> </w:t>
      </w:r>
      <w:proofErr w:type="spellStart"/>
      <w:r w:rsidR="00566A54" w:rsidRPr="00ED1CB4">
        <w:rPr>
          <w:rFonts w:ascii="Arial" w:hAnsi="Arial" w:cs="Arial"/>
        </w:rPr>
        <w:t>тул</w:t>
      </w:r>
      <w:proofErr w:type="spellEnd"/>
      <w:r w:rsidR="00566A54" w:rsidRPr="00ED1CB4">
        <w:rPr>
          <w:rFonts w:ascii="Arial" w:hAnsi="Arial" w:cs="Arial"/>
        </w:rPr>
        <w:t xml:space="preserve"> </w:t>
      </w:r>
      <w:proofErr w:type="spellStart"/>
      <w:r w:rsidR="00566A54" w:rsidRPr="00ED1CB4">
        <w:rPr>
          <w:rFonts w:ascii="Arial" w:hAnsi="Arial" w:cs="Arial"/>
        </w:rPr>
        <w:t>барилга</w:t>
      </w:r>
      <w:proofErr w:type="spellEnd"/>
      <w:r w:rsidR="00566A54" w:rsidRPr="00ED1CB4">
        <w:rPr>
          <w:rFonts w:ascii="Arial" w:hAnsi="Arial" w:cs="Arial"/>
        </w:rPr>
        <w:t xml:space="preserve">, </w:t>
      </w:r>
      <w:proofErr w:type="spellStart"/>
      <w:r w:rsidR="00566A54" w:rsidRPr="00ED1CB4">
        <w:rPr>
          <w:rFonts w:ascii="Arial" w:hAnsi="Arial" w:cs="Arial"/>
        </w:rPr>
        <w:t>зам</w:t>
      </w:r>
      <w:proofErr w:type="spellEnd"/>
      <w:r w:rsidR="00566A54" w:rsidRPr="00ED1CB4">
        <w:rPr>
          <w:rFonts w:ascii="Arial" w:hAnsi="Arial" w:cs="Arial"/>
        </w:rPr>
        <w:t xml:space="preserve">, </w:t>
      </w:r>
      <w:proofErr w:type="spellStart"/>
      <w:r w:rsidR="00566A54" w:rsidRPr="00ED1CB4">
        <w:rPr>
          <w:rFonts w:ascii="Arial" w:hAnsi="Arial" w:cs="Arial"/>
        </w:rPr>
        <w:t>эрчим</w:t>
      </w:r>
      <w:proofErr w:type="spellEnd"/>
      <w:r w:rsidR="00566A54" w:rsidRPr="00ED1CB4">
        <w:rPr>
          <w:rFonts w:ascii="Arial" w:hAnsi="Arial" w:cs="Arial"/>
        </w:rPr>
        <w:t xml:space="preserve"> </w:t>
      </w:r>
      <w:proofErr w:type="spellStart"/>
      <w:r w:rsidR="00566A54" w:rsidRPr="00ED1CB4">
        <w:rPr>
          <w:rFonts w:ascii="Arial" w:hAnsi="Arial" w:cs="Arial"/>
        </w:rPr>
        <w:t>хүч</w:t>
      </w:r>
      <w:proofErr w:type="spellEnd"/>
      <w:r w:rsidR="00566A54" w:rsidRPr="00ED1CB4">
        <w:rPr>
          <w:rFonts w:ascii="Arial" w:hAnsi="Arial" w:cs="Arial"/>
        </w:rPr>
        <w:t xml:space="preserve"> </w:t>
      </w:r>
      <w:proofErr w:type="spellStart"/>
      <w:r w:rsidR="00566A54" w:rsidRPr="00ED1CB4">
        <w:rPr>
          <w:rFonts w:ascii="Arial" w:hAnsi="Arial" w:cs="Arial"/>
        </w:rPr>
        <w:t>зэрэг</w:t>
      </w:r>
      <w:proofErr w:type="spellEnd"/>
      <w:r w:rsidR="00566A54" w:rsidRPr="00ED1CB4">
        <w:rPr>
          <w:rFonts w:ascii="Arial" w:hAnsi="Arial" w:cs="Arial"/>
        </w:rPr>
        <w:t xml:space="preserve"> </w:t>
      </w:r>
      <w:proofErr w:type="spellStart"/>
      <w:r w:rsidR="00566A54" w:rsidRPr="00ED1CB4">
        <w:rPr>
          <w:rFonts w:ascii="Arial" w:hAnsi="Arial" w:cs="Arial"/>
        </w:rPr>
        <w:t>дэд</w:t>
      </w:r>
      <w:proofErr w:type="spellEnd"/>
      <w:r w:rsidR="00566A54" w:rsidRPr="00ED1CB4">
        <w:rPr>
          <w:rFonts w:ascii="Arial" w:hAnsi="Arial" w:cs="Arial"/>
        </w:rPr>
        <w:t xml:space="preserve"> </w:t>
      </w:r>
      <w:proofErr w:type="spellStart"/>
      <w:r w:rsidR="00566A54" w:rsidRPr="00ED1CB4">
        <w:rPr>
          <w:rFonts w:ascii="Arial" w:hAnsi="Arial" w:cs="Arial"/>
        </w:rPr>
        <w:t>бүтцийн</w:t>
      </w:r>
      <w:proofErr w:type="spellEnd"/>
      <w:r w:rsidR="00566A54" w:rsidRPr="00ED1CB4">
        <w:rPr>
          <w:rFonts w:ascii="Arial" w:hAnsi="Arial" w:cs="Arial"/>
        </w:rPr>
        <w:t xml:space="preserve"> </w:t>
      </w:r>
      <w:proofErr w:type="spellStart"/>
      <w:r w:rsidR="00566A54" w:rsidRPr="00ED1CB4">
        <w:rPr>
          <w:rFonts w:ascii="Arial" w:hAnsi="Arial" w:cs="Arial"/>
        </w:rPr>
        <w:t>салбарт</w:t>
      </w:r>
      <w:proofErr w:type="spellEnd"/>
      <w:r w:rsidR="00566A54" w:rsidRPr="00ED1CB4">
        <w:rPr>
          <w:rFonts w:ascii="Arial" w:hAnsi="Arial" w:cs="Arial"/>
        </w:rPr>
        <w:t xml:space="preserve"> </w:t>
      </w:r>
      <w:proofErr w:type="spellStart"/>
      <w:r w:rsidR="00566A54" w:rsidRPr="00ED1CB4">
        <w:rPr>
          <w:rFonts w:ascii="Arial" w:hAnsi="Arial" w:cs="Arial"/>
        </w:rPr>
        <w:t>өргөнөөр</w:t>
      </w:r>
      <w:proofErr w:type="spellEnd"/>
      <w:r w:rsidR="00566A54" w:rsidRPr="00ED1CB4">
        <w:rPr>
          <w:rFonts w:ascii="Arial" w:hAnsi="Arial" w:cs="Arial"/>
        </w:rPr>
        <w:t xml:space="preserve"> </w:t>
      </w:r>
      <w:proofErr w:type="spellStart"/>
      <w:r w:rsidR="00566A54" w:rsidRPr="00ED1CB4">
        <w:rPr>
          <w:rFonts w:ascii="Arial" w:hAnsi="Arial" w:cs="Arial"/>
        </w:rPr>
        <w:t>хэрэглэгддэг</w:t>
      </w:r>
      <w:proofErr w:type="spellEnd"/>
      <w:r w:rsidR="00566A54" w:rsidRPr="00ED1CB4">
        <w:rPr>
          <w:rFonts w:ascii="Arial" w:hAnsi="Arial" w:cs="Arial"/>
        </w:rPr>
        <w:t xml:space="preserve">, </w:t>
      </w:r>
      <w:proofErr w:type="spellStart"/>
      <w:r w:rsidR="00566A54" w:rsidRPr="00ED1CB4">
        <w:rPr>
          <w:rFonts w:ascii="Arial" w:hAnsi="Arial" w:cs="Arial"/>
        </w:rPr>
        <w:t>гол</w:t>
      </w:r>
      <w:proofErr w:type="spellEnd"/>
      <w:r w:rsidR="00566A54" w:rsidRPr="00ED1CB4">
        <w:rPr>
          <w:rFonts w:ascii="Arial" w:hAnsi="Arial" w:cs="Arial"/>
        </w:rPr>
        <w:t xml:space="preserve"> </w:t>
      </w:r>
      <w:proofErr w:type="spellStart"/>
      <w:r w:rsidR="00566A54" w:rsidRPr="00ED1CB4">
        <w:rPr>
          <w:rFonts w:ascii="Arial" w:hAnsi="Arial" w:cs="Arial"/>
        </w:rPr>
        <w:t>нэр</w:t>
      </w:r>
      <w:proofErr w:type="spellEnd"/>
      <w:r w:rsidR="00566A54" w:rsidRPr="00ED1CB4">
        <w:rPr>
          <w:rFonts w:ascii="Arial" w:hAnsi="Arial" w:cs="Arial"/>
        </w:rPr>
        <w:t xml:space="preserve"> </w:t>
      </w:r>
      <w:proofErr w:type="spellStart"/>
      <w:r w:rsidR="00566A54" w:rsidRPr="00ED1CB4">
        <w:rPr>
          <w:rFonts w:ascii="Arial" w:hAnsi="Arial" w:cs="Arial"/>
        </w:rPr>
        <w:t>төрлийн</w:t>
      </w:r>
      <w:proofErr w:type="spellEnd"/>
      <w:r w:rsidR="00566A54" w:rsidRPr="00ED1CB4">
        <w:rPr>
          <w:rFonts w:ascii="Arial" w:hAnsi="Arial" w:cs="Arial"/>
        </w:rPr>
        <w:t xml:space="preserve"> </w:t>
      </w:r>
      <w:proofErr w:type="spellStart"/>
      <w:r w:rsidR="00566A54" w:rsidRPr="00ED1CB4">
        <w:rPr>
          <w:rFonts w:ascii="Arial" w:hAnsi="Arial" w:cs="Arial"/>
        </w:rPr>
        <w:t>материал</w:t>
      </w:r>
      <w:proofErr w:type="spellEnd"/>
      <w:r w:rsidR="00566A54" w:rsidRPr="00ED1CB4">
        <w:rPr>
          <w:rFonts w:ascii="Arial" w:hAnsi="Arial" w:cs="Arial"/>
        </w:rPr>
        <w:t xml:space="preserve"> </w:t>
      </w:r>
      <w:proofErr w:type="spellStart"/>
      <w:r w:rsidR="00566A54" w:rsidRPr="00ED1CB4">
        <w:rPr>
          <w:rFonts w:ascii="Arial" w:hAnsi="Arial" w:cs="Arial"/>
        </w:rPr>
        <w:t>болох</w:t>
      </w:r>
      <w:proofErr w:type="spellEnd"/>
      <w:r w:rsidR="00566A54" w:rsidRPr="00ED1CB4">
        <w:rPr>
          <w:rFonts w:ascii="Arial" w:hAnsi="Arial" w:cs="Arial"/>
        </w:rPr>
        <w:t xml:space="preserve"> </w:t>
      </w:r>
      <w:proofErr w:type="spellStart"/>
      <w:r w:rsidR="00566A54" w:rsidRPr="00ED1CB4">
        <w:rPr>
          <w:rFonts w:ascii="Arial" w:hAnsi="Arial" w:cs="Arial"/>
        </w:rPr>
        <w:t>цементийн</w:t>
      </w:r>
      <w:proofErr w:type="spellEnd"/>
      <w:r w:rsidR="00566A54" w:rsidRPr="00ED1CB4">
        <w:rPr>
          <w:rFonts w:ascii="Arial" w:hAnsi="Arial" w:cs="Arial"/>
        </w:rPr>
        <w:t xml:space="preserve"> </w:t>
      </w:r>
      <w:proofErr w:type="spellStart"/>
      <w:r w:rsidR="00566A54" w:rsidRPr="00ED1CB4">
        <w:rPr>
          <w:rFonts w:ascii="Arial" w:hAnsi="Arial" w:cs="Arial"/>
        </w:rPr>
        <w:t>үйлдвэрлэлийг</w:t>
      </w:r>
      <w:proofErr w:type="spellEnd"/>
      <w:r w:rsidR="00566A54" w:rsidRPr="00ED1CB4">
        <w:rPr>
          <w:rFonts w:ascii="Arial" w:hAnsi="Arial" w:cs="Arial"/>
        </w:rPr>
        <w:t xml:space="preserve"> </w:t>
      </w:r>
      <w:proofErr w:type="spellStart"/>
      <w:r w:rsidR="00566A54" w:rsidRPr="00ED1CB4">
        <w:rPr>
          <w:rFonts w:ascii="Arial" w:hAnsi="Arial" w:cs="Arial"/>
        </w:rPr>
        <w:t>төрийн</w:t>
      </w:r>
      <w:proofErr w:type="spellEnd"/>
      <w:r w:rsidR="00566A54" w:rsidRPr="00ED1CB4">
        <w:rPr>
          <w:rFonts w:ascii="Arial" w:hAnsi="Arial" w:cs="Arial"/>
        </w:rPr>
        <w:t xml:space="preserve"> </w:t>
      </w:r>
      <w:proofErr w:type="spellStart"/>
      <w:r w:rsidR="00566A54" w:rsidRPr="00ED1CB4">
        <w:rPr>
          <w:rFonts w:ascii="Arial" w:hAnsi="Arial" w:cs="Arial"/>
        </w:rPr>
        <w:t>оролцоо</w:t>
      </w:r>
      <w:proofErr w:type="spellEnd"/>
      <w:r w:rsidR="00566A54" w:rsidRPr="00ED1CB4">
        <w:rPr>
          <w:rFonts w:ascii="Arial" w:hAnsi="Arial" w:cs="Arial"/>
        </w:rPr>
        <w:t xml:space="preserve">, </w:t>
      </w:r>
      <w:proofErr w:type="spellStart"/>
      <w:r w:rsidR="00566A54" w:rsidRPr="00ED1CB4">
        <w:rPr>
          <w:rFonts w:ascii="Arial" w:hAnsi="Arial" w:cs="Arial"/>
        </w:rPr>
        <w:t>дэмжлэгээр</w:t>
      </w:r>
      <w:proofErr w:type="spellEnd"/>
      <w:r w:rsidR="00566A54" w:rsidRPr="00ED1CB4">
        <w:rPr>
          <w:rFonts w:ascii="Arial" w:hAnsi="Arial" w:cs="Arial"/>
        </w:rPr>
        <w:t xml:space="preserve"> </w:t>
      </w:r>
      <w:proofErr w:type="spellStart"/>
      <w:r w:rsidR="00566A54" w:rsidRPr="00ED1CB4">
        <w:rPr>
          <w:rFonts w:ascii="Arial" w:hAnsi="Arial" w:cs="Arial"/>
        </w:rPr>
        <w:t>хангах</w:t>
      </w:r>
      <w:proofErr w:type="spellEnd"/>
      <w:r w:rsidR="00566A54" w:rsidRPr="00ED1CB4">
        <w:rPr>
          <w:rFonts w:ascii="Arial" w:hAnsi="Arial" w:cs="Arial"/>
        </w:rPr>
        <w:t xml:space="preserve"> </w:t>
      </w:r>
      <w:proofErr w:type="spellStart"/>
      <w:r w:rsidR="00566A54" w:rsidRPr="00ED1CB4">
        <w:rPr>
          <w:rFonts w:ascii="Arial" w:hAnsi="Arial" w:cs="Arial"/>
        </w:rPr>
        <w:t>зайлшгүй</w:t>
      </w:r>
      <w:proofErr w:type="spellEnd"/>
      <w:r w:rsidR="00566A54" w:rsidRPr="00ED1CB4">
        <w:rPr>
          <w:rFonts w:ascii="Arial" w:hAnsi="Arial" w:cs="Arial"/>
        </w:rPr>
        <w:t xml:space="preserve"> </w:t>
      </w:r>
      <w:proofErr w:type="spellStart"/>
      <w:r w:rsidR="00566A54" w:rsidRPr="00ED1CB4">
        <w:rPr>
          <w:rFonts w:ascii="Arial" w:hAnsi="Arial" w:cs="Arial"/>
        </w:rPr>
        <w:t>шаардлагатай</w:t>
      </w:r>
      <w:proofErr w:type="spellEnd"/>
      <w:r w:rsidR="00566A54" w:rsidRPr="00ED1CB4">
        <w:rPr>
          <w:rFonts w:ascii="Arial" w:hAnsi="Arial" w:cs="Arial"/>
        </w:rPr>
        <w:t xml:space="preserve"> </w:t>
      </w:r>
      <w:proofErr w:type="spellStart"/>
      <w:r w:rsidR="00566A54" w:rsidRPr="00ED1CB4">
        <w:rPr>
          <w:rFonts w:ascii="Arial" w:hAnsi="Arial" w:cs="Arial"/>
        </w:rPr>
        <w:t>байна</w:t>
      </w:r>
      <w:proofErr w:type="spellEnd"/>
      <w:r w:rsidR="00566A54" w:rsidRPr="00ED1CB4">
        <w:rPr>
          <w:rFonts w:ascii="Arial" w:hAnsi="Arial" w:cs="Arial"/>
        </w:rPr>
        <w:t>.</w:t>
      </w:r>
    </w:p>
    <w:p w14:paraId="25E08B11" w14:textId="77777777" w:rsidR="00566A54" w:rsidRPr="00ED1CB4" w:rsidRDefault="00566A54" w:rsidP="00566A54">
      <w:pPr>
        <w:pStyle w:val="NormalWeb"/>
        <w:shd w:val="clear" w:color="auto" w:fill="FFFFFF"/>
        <w:spacing w:after="0"/>
        <w:ind w:firstLine="720"/>
        <w:jc w:val="both"/>
        <w:rPr>
          <w:rFonts w:ascii="Arial" w:hAnsi="Arial" w:cs="Arial"/>
          <w:color w:val="333333"/>
        </w:rPr>
      </w:pPr>
    </w:p>
    <w:p w14:paraId="3243D86E" w14:textId="77777777" w:rsidR="00566A54" w:rsidRPr="00ED1CB4" w:rsidRDefault="00566A54" w:rsidP="00566A54">
      <w:pPr>
        <w:autoSpaceDE w:val="0"/>
        <w:autoSpaceDN w:val="0"/>
        <w:adjustRightInd w:val="0"/>
        <w:spacing w:line="240" w:lineRule="auto"/>
        <w:ind w:firstLine="720"/>
        <w:jc w:val="both"/>
        <w:rPr>
          <w:rFonts w:ascii="Arial" w:hAnsi="Arial" w:cs="Arial"/>
          <w:sz w:val="24"/>
          <w:szCs w:val="24"/>
          <w:lang w:val="mn-MN"/>
        </w:rPr>
      </w:pPr>
      <w:proofErr w:type="spellStart"/>
      <w:r w:rsidRPr="00ED1CB4">
        <w:rPr>
          <w:rFonts w:ascii="Arial" w:hAnsi="Arial" w:cs="Arial"/>
          <w:sz w:val="24"/>
          <w:szCs w:val="24"/>
        </w:rPr>
        <w:t>У</w:t>
      </w:r>
      <w:r w:rsidRPr="00ED1CB4">
        <w:rPr>
          <w:rFonts w:ascii="Arial" w:hAnsi="Arial" w:cs="Arial"/>
          <w:iCs/>
          <w:sz w:val="24"/>
          <w:szCs w:val="24"/>
        </w:rPr>
        <w:t>с</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дулаан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хангамж</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инженерийн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шугам</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сүлжээтэй</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төвийн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бүсийн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цахилгаан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эрчим</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хүч</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төмөр</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зам</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авто</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замын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нэгдсэн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сүлжээнд</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холбогдсон</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дэд</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бүтэц</w:t>
      </w:r>
      <w:proofErr w:type="spellEnd"/>
      <w:r w:rsidRPr="00ED1CB4">
        <w:rPr>
          <w:rFonts w:ascii="Arial" w:hAnsi="Arial" w:cs="Arial"/>
          <w:iCs/>
          <w:sz w:val="24"/>
          <w:szCs w:val="24"/>
        </w:rPr>
        <w:t xml:space="preserve"> </w:t>
      </w:r>
      <w:proofErr w:type="spellStart"/>
      <w:r w:rsidRPr="00ED1CB4">
        <w:rPr>
          <w:rFonts w:ascii="Arial" w:hAnsi="Arial" w:cs="Arial"/>
          <w:iCs/>
          <w:sz w:val="24"/>
          <w:szCs w:val="24"/>
        </w:rPr>
        <w:t>сайтай</w:t>
      </w:r>
      <w:proofErr w:type="spellEnd"/>
      <w:r w:rsidRPr="00ED1CB4">
        <w:rPr>
          <w:rFonts w:ascii="Arial" w:hAnsi="Arial" w:cs="Arial"/>
          <w:iCs/>
          <w:sz w:val="24"/>
          <w:szCs w:val="24"/>
        </w:rPr>
        <w:t xml:space="preserve">, </w:t>
      </w:r>
      <w:proofErr w:type="spellStart"/>
      <w:r w:rsidRPr="00ED1CB4">
        <w:rPr>
          <w:rFonts w:ascii="Arial" w:hAnsi="Arial" w:cs="Arial"/>
          <w:sz w:val="24"/>
          <w:szCs w:val="24"/>
        </w:rPr>
        <w:t>сүүлийн</w:t>
      </w:r>
      <w:proofErr w:type="spellEnd"/>
      <w:r w:rsidRPr="00ED1CB4">
        <w:rPr>
          <w:rFonts w:ascii="Arial" w:hAnsi="Arial" w:cs="Arial"/>
          <w:sz w:val="24"/>
          <w:szCs w:val="24"/>
        </w:rPr>
        <w:t xml:space="preserve"> </w:t>
      </w:r>
      <w:proofErr w:type="spellStart"/>
      <w:r w:rsidRPr="00ED1CB4">
        <w:rPr>
          <w:rFonts w:ascii="Arial" w:hAnsi="Arial" w:cs="Arial"/>
          <w:sz w:val="24"/>
          <w:szCs w:val="24"/>
        </w:rPr>
        <w:t>үеийн</w:t>
      </w:r>
      <w:proofErr w:type="spellEnd"/>
      <w:r w:rsidRPr="00ED1CB4">
        <w:rPr>
          <w:rFonts w:ascii="Arial" w:hAnsi="Arial" w:cs="Arial"/>
          <w:sz w:val="24"/>
          <w:szCs w:val="24"/>
        </w:rPr>
        <w:t xml:space="preserve"> </w:t>
      </w:r>
      <w:proofErr w:type="spellStart"/>
      <w:r w:rsidRPr="00ED1CB4">
        <w:rPr>
          <w:rFonts w:ascii="Arial" w:hAnsi="Arial" w:cs="Arial"/>
          <w:sz w:val="24"/>
          <w:szCs w:val="24"/>
        </w:rPr>
        <w:t>дэвшилтэд</w:t>
      </w:r>
      <w:proofErr w:type="spellEnd"/>
      <w:r w:rsidRPr="00ED1CB4">
        <w:rPr>
          <w:rFonts w:ascii="Arial" w:hAnsi="Arial" w:cs="Arial"/>
          <w:sz w:val="24"/>
          <w:szCs w:val="24"/>
        </w:rPr>
        <w:t xml:space="preserve"> </w:t>
      </w:r>
      <w:proofErr w:type="spellStart"/>
      <w:r w:rsidRPr="00ED1CB4">
        <w:rPr>
          <w:rFonts w:ascii="Arial" w:hAnsi="Arial" w:cs="Arial"/>
          <w:sz w:val="24"/>
          <w:szCs w:val="24"/>
        </w:rPr>
        <w:t>техник</w:t>
      </w:r>
      <w:proofErr w:type="spellEnd"/>
      <w:r w:rsidRPr="00ED1CB4">
        <w:rPr>
          <w:rFonts w:ascii="Arial" w:hAnsi="Arial" w:cs="Arial"/>
          <w:sz w:val="24"/>
          <w:szCs w:val="24"/>
        </w:rPr>
        <w:t xml:space="preserve"> </w:t>
      </w:r>
      <w:proofErr w:type="spellStart"/>
      <w:r w:rsidRPr="00ED1CB4">
        <w:rPr>
          <w:rFonts w:ascii="Arial" w:hAnsi="Arial" w:cs="Arial"/>
          <w:sz w:val="24"/>
          <w:szCs w:val="24"/>
        </w:rPr>
        <w:t>технологи</w:t>
      </w:r>
      <w:proofErr w:type="spellEnd"/>
      <w:r w:rsidRPr="00ED1CB4">
        <w:rPr>
          <w:rFonts w:ascii="Arial" w:hAnsi="Arial" w:cs="Arial"/>
          <w:sz w:val="24"/>
          <w:szCs w:val="24"/>
        </w:rPr>
        <w:t xml:space="preserve"> </w:t>
      </w:r>
      <w:proofErr w:type="spellStart"/>
      <w:r w:rsidRPr="00ED1CB4">
        <w:rPr>
          <w:rFonts w:ascii="Arial" w:hAnsi="Arial" w:cs="Arial"/>
          <w:sz w:val="24"/>
          <w:szCs w:val="24"/>
        </w:rPr>
        <w:t>бүхий</w:t>
      </w:r>
      <w:proofErr w:type="spellEnd"/>
      <w:r w:rsidRPr="00ED1CB4">
        <w:rPr>
          <w:rFonts w:ascii="Arial" w:hAnsi="Arial" w:cs="Arial"/>
          <w:sz w:val="24"/>
          <w:szCs w:val="24"/>
        </w:rPr>
        <w:t xml:space="preserve"> </w:t>
      </w:r>
      <w:proofErr w:type="spellStart"/>
      <w:r w:rsidRPr="00ED1CB4">
        <w:rPr>
          <w:rFonts w:ascii="Arial" w:hAnsi="Arial" w:cs="Arial"/>
          <w:sz w:val="24"/>
          <w:szCs w:val="24"/>
        </w:rPr>
        <w:t>уг</w:t>
      </w:r>
      <w:proofErr w:type="spellEnd"/>
      <w:r w:rsidRPr="00ED1CB4">
        <w:rPr>
          <w:rFonts w:ascii="Arial" w:hAnsi="Arial" w:cs="Arial"/>
          <w:sz w:val="24"/>
          <w:szCs w:val="24"/>
        </w:rPr>
        <w:t xml:space="preserve"> </w:t>
      </w:r>
      <w:proofErr w:type="spellStart"/>
      <w:r w:rsidRPr="00ED1CB4">
        <w:rPr>
          <w:rFonts w:ascii="Arial" w:hAnsi="Arial" w:cs="Arial"/>
          <w:sz w:val="24"/>
          <w:szCs w:val="24"/>
        </w:rPr>
        <w:t>үйлдвэрээр</w:t>
      </w:r>
      <w:proofErr w:type="spellEnd"/>
      <w:r w:rsidRPr="00ED1CB4">
        <w:rPr>
          <w:rFonts w:ascii="Arial" w:hAnsi="Arial" w:cs="Arial"/>
          <w:sz w:val="24"/>
          <w:szCs w:val="24"/>
        </w:rPr>
        <w:t xml:space="preserve"> </w:t>
      </w:r>
      <w:proofErr w:type="spellStart"/>
      <w:r w:rsidRPr="00ED1CB4">
        <w:rPr>
          <w:rFonts w:ascii="Arial" w:hAnsi="Arial" w:cs="Arial"/>
          <w:sz w:val="24"/>
          <w:szCs w:val="24"/>
        </w:rPr>
        <w:t>дамжуулан</w:t>
      </w:r>
      <w:proofErr w:type="spellEnd"/>
      <w:r w:rsidRPr="00ED1CB4">
        <w:rPr>
          <w:rFonts w:ascii="Arial" w:hAnsi="Arial" w:cs="Arial"/>
          <w:sz w:val="24"/>
          <w:szCs w:val="24"/>
        </w:rPr>
        <w:t xml:space="preserve"> </w:t>
      </w:r>
      <w:r w:rsidRPr="00ED1CB4">
        <w:rPr>
          <w:rFonts w:ascii="Arial" w:hAnsi="Arial" w:cs="Arial"/>
          <w:sz w:val="24"/>
          <w:szCs w:val="24"/>
          <w:lang w:val="mn-MN"/>
        </w:rPr>
        <w:t>бүтээгдэхүүний чанарыг сайжруулах болон цементийн эрэлт, нийлүүлэлтийн тэнцвэрийг хангуулах, үнийн хөөрөгдлийг хязгаарлах, хянах боломж бүрдэж, төвийн болон зүүн бүсийн аймгууд Улаанбаатар хотоос цемент худалдан авч байгаа хөдөлгөөний ачааллыг бууруулах, хөдөө, орон нутгийн хэрэглээг шууд хангах системд шилжих боломжтой болно.</w:t>
      </w:r>
    </w:p>
    <w:p w14:paraId="61EACE15" w14:textId="2464DCF8" w:rsidR="00070BF1" w:rsidRPr="00ED1CB4" w:rsidRDefault="00070BF1" w:rsidP="00BE220F">
      <w:pPr>
        <w:spacing w:line="240" w:lineRule="auto"/>
        <w:ind w:firstLine="567"/>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ab/>
      </w:r>
      <w:r w:rsidR="003C7021" w:rsidRPr="00ED1CB4">
        <w:rPr>
          <w:rFonts w:ascii="Arial" w:hAnsi="Arial" w:cs="Arial"/>
          <w:b/>
          <w:bCs/>
          <w:color w:val="000000" w:themeColor="text1"/>
          <w:sz w:val="24"/>
          <w:szCs w:val="24"/>
          <w:lang w:val="mn-MN"/>
        </w:rPr>
        <w:t>Хоёр</w:t>
      </w:r>
      <w:r w:rsidRPr="00ED1CB4">
        <w:rPr>
          <w:rFonts w:ascii="Arial" w:hAnsi="Arial" w:cs="Arial"/>
          <w:b/>
          <w:bCs/>
          <w:color w:val="000000" w:themeColor="text1"/>
          <w:sz w:val="24"/>
          <w:szCs w:val="24"/>
          <w:lang w:val="mn-MN"/>
        </w:rPr>
        <w:t>.Үнэлгээний хүрээ</w:t>
      </w:r>
    </w:p>
    <w:p w14:paraId="795A05F9" w14:textId="50179DCC" w:rsidR="001735D9" w:rsidRPr="00ED1CB4" w:rsidRDefault="00070BF1"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r>
      <w:r w:rsidR="001735D9" w:rsidRPr="00ED1CB4">
        <w:rPr>
          <w:rFonts w:ascii="Arial" w:hAnsi="Arial" w:cs="Arial"/>
          <w:color w:val="000000" w:themeColor="text1"/>
          <w:sz w:val="24"/>
          <w:szCs w:val="24"/>
          <w:lang w:val="mn-MN"/>
        </w:rPr>
        <w:t>Улсын Их Хурлын 2015 оны 07 дугаар сарын 03-ны өдрийн 70 дугаар тогтоолын хавсралтаар баталсан “Төрийн өмчийг 2015-2016 онд хувьчлах, өөрчлөн байгуулах үндсэн чиглэл”-ийн 4.17-д ““Хөтөлийн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хувьчлах”-аар заасан заалтын хүрээнд үнэлгээ хийгдэнэ.</w:t>
      </w:r>
    </w:p>
    <w:p w14:paraId="7629AAE5" w14:textId="77777777" w:rsidR="003C7021" w:rsidRPr="00ED1CB4" w:rsidRDefault="003C7021" w:rsidP="00BE220F">
      <w:pPr>
        <w:spacing w:line="240" w:lineRule="auto"/>
        <w:ind w:firstLine="567"/>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Гурав. Үнэлгээний шалгуур үзүүлэлт</w:t>
      </w:r>
    </w:p>
    <w:p w14:paraId="378E1B30" w14:textId="7DF17451" w:rsidR="003C7021" w:rsidRPr="00ED1CB4" w:rsidRDefault="003C7021"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Улсын Их Хурлын 2015 оны 70 дугаар тогтоолын хавсралтын 4.17-д хийх үнэлгээг зорилгод хүрсэн түвшин гэсэн шалгуур үзүүлэлтээр хийхээр тогтов. Учир нь Улсын Их Хурлын тогтоол хэрэгжиж эхэлснээс хойш гарсан зардлыг тооцоолох боломжгүй тул зардлын өсөлт, бууралт болон зардал-үр өгөөжийн харьцаа гэсэн шалгуур үзүүлэлтийг хэрэглэх нь үр дүнгүй юм. Түүнчлэн зорилгод хүрсэн түвшин</w:t>
      </w:r>
      <w:r w:rsidR="00234E4C" w:rsidRPr="00ED1CB4">
        <w:rPr>
          <w:rFonts w:ascii="Arial" w:hAnsi="Arial" w:cs="Arial"/>
          <w:color w:val="000000" w:themeColor="text1"/>
          <w:sz w:val="24"/>
          <w:szCs w:val="24"/>
          <w:lang w:val="mn-MN"/>
        </w:rPr>
        <w:t xml:space="preserve"> </w:t>
      </w:r>
      <w:r w:rsidRPr="00ED1CB4">
        <w:rPr>
          <w:rFonts w:ascii="Arial" w:hAnsi="Arial" w:cs="Arial"/>
          <w:color w:val="000000" w:themeColor="text1"/>
          <w:sz w:val="24"/>
          <w:szCs w:val="24"/>
          <w:lang w:val="mn-MN"/>
        </w:rPr>
        <w:t>гэсэн шалгуур үзүүлэлтээр тогтоолыг хэрэгжүүлэхтэй холбогдон үүсэж байгаа асуудал, бэрхшээлийг тодорхойлох боломжтой гэж үзлээ.</w:t>
      </w:r>
    </w:p>
    <w:p w14:paraId="61361831" w14:textId="77777777" w:rsidR="00885E2E" w:rsidRPr="00ED1CB4" w:rsidRDefault="00885E2E" w:rsidP="00BE220F">
      <w:pPr>
        <w:spacing w:line="240" w:lineRule="auto"/>
        <w:ind w:firstLine="567"/>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Дөрөв. Үнэлгээний харьцуулах хэлбэр</w:t>
      </w:r>
    </w:p>
    <w:p w14:paraId="1BF914AE" w14:textId="7093052A" w:rsidR="000A7876" w:rsidRPr="00ED1CB4" w:rsidRDefault="00885E2E"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Үнэлгээ</w:t>
      </w:r>
      <w:r w:rsidR="00097306" w:rsidRPr="00ED1CB4">
        <w:rPr>
          <w:rFonts w:ascii="Arial" w:hAnsi="Arial" w:cs="Arial"/>
          <w:color w:val="000000" w:themeColor="text1"/>
          <w:sz w:val="24"/>
          <w:szCs w:val="24"/>
          <w:lang w:val="mn-MN"/>
        </w:rPr>
        <w:t xml:space="preserve">г </w:t>
      </w:r>
      <w:r w:rsidR="000A7876" w:rsidRPr="00ED1CB4">
        <w:rPr>
          <w:rFonts w:ascii="Arial" w:hAnsi="Arial" w:cs="Arial"/>
          <w:color w:val="000000" w:themeColor="text1"/>
          <w:sz w:val="24"/>
          <w:szCs w:val="24"/>
          <w:lang w:val="mn-MN"/>
        </w:rPr>
        <w:t>хууль тогтоомж батлагдахаас өмнөх болон хууль тогтоомж батлагдсанаас хойш</w:t>
      </w:r>
      <w:r w:rsidR="00097306" w:rsidRPr="00ED1CB4">
        <w:rPr>
          <w:rFonts w:ascii="Arial" w:hAnsi="Arial" w:cs="Arial"/>
          <w:color w:val="000000" w:themeColor="text1"/>
          <w:sz w:val="24"/>
          <w:szCs w:val="24"/>
          <w:lang w:val="mn-MN"/>
        </w:rPr>
        <w:t xml:space="preserve"> </w:t>
      </w:r>
      <w:r w:rsidR="000A7876" w:rsidRPr="00ED1CB4">
        <w:rPr>
          <w:rFonts w:ascii="Arial" w:hAnsi="Arial" w:cs="Arial"/>
          <w:color w:val="000000" w:themeColor="text1"/>
          <w:sz w:val="24"/>
          <w:szCs w:val="24"/>
          <w:lang w:val="mn-MN"/>
        </w:rPr>
        <w:t xml:space="preserve">гарч байгаа үр дагавартай </w:t>
      </w:r>
      <w:r w:rsidR="00097306" w:rsidRPr="00ED1CB4">
        <w:rPr>
          <w:rFonts w:ascii="Arial" w:hAnsi="Arial" w:cs="Arial"/>
          <w:color w:val="000000" w:themeColor="text1"/>
          <w:sz w:val="24"/>
          <w:szCs w:val="24"/>
          <w:lang w:val="mn-MN"/>
        </w:rPr>
        <w:t>харьцуулж үзэхээр тогтов.</w:t>
      </w:r>
    </w:p>
    <w:p w14:paraId="23051301" w14:textId="533A0229" w:rsidR="00885E2E" w:rsidRPr="00ED1CB4" w:rsidRDefault="00885E2E" w:rsidP="00BE220F">
      <w:pPr>
        <w:spacing w:line="240" w:lineRule="auto"/>
        <w:ind w:firstLine="567"/>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Тав. Үнэлгээний дүгнэлт</w:t>
      </w:r>
    </w:p>
    <w:p w14:paraId="2C93D787" w14:textId="74CE8A90" w:rsidR="00097306" w:rsidRPr="00ED1CB4" w:rsidRDefault="00875966" w:rsidP="00BE220F">
      <w:pPr>
        <w:pStyle w:val="NoSpacing"/>
        <w:ind w:firstLine="720"/>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Улсын Их Хурлын 2015 оны 70 дугаар тогтоолын хавсралтын 4.17-д </w:t>
      </w:r>
      <w:r w:rsidR="00097306" w:rsidRPr="00ED1CB4">
        <w:rPr>
          <w:rFonts w:ascii="Arial" w:hAnsi="Arial" w:cs="Arial"/>
          <w:color w:val="000000" w:themeColor="text1"/>
          <w:szCs w:val="24"/>
          <w:lang w:val="mn-MN"/>
        </w:rPr>
        <w:t xml:space="preserve">хийсэн үнэлгээний хүрээ, тогтоосон шалгуур үзүүлэлт, харьцуулах хэлбэр, шалгуур үзүүлэлтийн томьёоллыг </w:t>
      </w:r>
      <w:r w:rsidR="00E142EC" w:rsidRPr="00ED1CB4">
        <w:rPr>
          <w:rFonts w:ascii="Arial" w:hAnsi="Arial" w:cs="Arial"/>
          <w:color w:val="000000" w:themeColor="text1"/>
          <w:szCs w:val="24"/>
          <w:lang w:val="mn-MN"/>
        </w:rPr>
        <w:t xml:space="preserve">нэгдүгээр </w:t>
      </w:r>
      <w:r w:rsidR="00097306" w:rsidRPr="00ED1CB4">
        <w:rPr>
          <w:rFonts w:ascii="Arial" w:hAnsi="Arial" w:cs="Arial"/>
          <w:color w:val="000000" w:themeColor="text1"/>
          <w:szCs w:val="24"/>
          <w:lang w:val="mn-MN"/>
        </w:rPr>
        <w:t>хүснэгт</w:t>
      </w:r>
      <w:r w:rsidR="00E142EC" w:rsidRPr="00ED1CB4">
        <w:rPr>
          <w:rFonts w:ascii="Arial" w:hAnsi="Arial" w:cs="Arial"/>
          <w:color w:val="000000" w:themeColor="text1"/>
          <w:szCs w:val="24"/>
          <w:lang w:val="mn-MN"/>
        </w:rPr>
        <w:t>ээр</w:t>
      </w:r>
      <w:r w:rsidR="00097306" w:rsidRPr="00ED1CB4">
        <w:rPr>
          <w:rFonts w:ascii="Arial" w:hAnsi="Arial" w:cs="Arial"/>
          <w:color w:val="000000" w:themeColor="text1"/>
          <w:szCs w:val="24"/>
          <w:lang w:val="mn-MN"/>
        </w:rPr>
        <w:t xml:space="preserve"> харуулав.</w:t>
      </w:r>
    </w:p>
    <w:p w14:paraId="3EC02AF0" w14:textId="77777777" w:rsidR="00097306" w:rsidRPr="00ED1CB4" w:rsidRDefault="00097306" w:rsidP="00BE220F">
      <w:pPr>
        <w:pStyle w:val="NoSpacing"/>
        <w:ind w:firstLine="720"/>
        <w:jc w:val="both"/>
        <w:rPr>
          <w:rFonts w:ascii="Arial" w:hAnsi="Arial" w:cs="Arial"/>
          <w:color w:val="000000" w:themeColor="text1"/>
          <w:szCs w:val="24"/>
          <w:highlight w:val="yellow"/>
          <w:lang w:val="mn-MN"/>
        </w:rPr>
      </w:pPr>
    </w:p>
    <w:p w14:paraId="6D3C0B4E" w14:textId="6285F4F5" w:rsidR="00097306" w:rsidRPr="00ED1CB4" w:rsidRDefault="0032052B" w:rsidP="00BE220F">
      <w:pPr>
        <w:pStyle w:val="NoSpacing"/>
        <w:ind w:firstLine="720"/>
        <w:jc w:val="right"/>
        <w:rPr>
          <w:rFonts w:ascii="Arial" w:hAnsi="Arial" w:cs="Arial"/>
          <w:color w:val="000000" w:themeColor="text1"/>
          <w:szCs w:val="24"/>
          <w:lang w:val="mn-MN"/>
        </w:rPr>
      </w:pPr>
      <w:r w:rsidRPr="00ED1CB4">
        <w:rPr>
          <w:rFonts w:ascii="Arial" w:hAnsi="Arial" w:cs="Arial"/>
          <w:color w:val="000000" w:themeColor="text1"/>
          <w:szCs w:val="24"/>
          <w:lang w:val="mn-MN"/>
        </w:rPr>
        <w:t>Х</w:t>
      </w:r>
      <w:r w:rsidR="00097306" w:rsidRPr="00ED1CB4">
        <w:rPr>
          <w:rFonts w:ascii="Arial" w:hAnsi="Arial" w:cs="Arial"/>
          <w:color w:val="000000" w:themeColor="text1"/>
          <w:szCs w:val="24"/>
          <w:lang w:val="mn-MN"/>
        </w:rPr>
        <w:t>үснэгт</w:t>
      </w:r>
      <w:r w:rsidR="00E142EC" w:rsidRPr="00ED1CB4">
        <w:rPr>
          <w:rFonts w:ascii="Arial" w:hAnsi="Arial" w:cs="Arial"/>
          <w:color w:val="000000" w:themeColor="text1"/>
          <w:szCs w:val="24"/>
          <w:lang w:val="mn-MN"/>
        </w:rPr>
        <w:t xml:space="preserve"> №1</w:t>
      </w:r>
    </w:p>
    <w:p w14:paraId="338AB289" w14:textId="77777777" w:rsidR="00097306" w:rsidRPr="00ED1CB4" w:rsidRDefault="00097306" w:rsidP="00BE220F">
      <w:pPr>
        <w:pStyle w:val="NoSpacing"/>
        <w:ind w:firstLine="720"/>
        <w:jc w:val="right"/>
        <w:rPr>
          <w:rFonts w:ascii="Arial" w:hAnsi="Arial" w:cs="Arial"/>
          <w:color w:val="000000" w:themeColor="text1"/>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69"/>
        <w:gridCol w:w="2369"/>
        <w:gridCol w:w="2369"/>
      </w:tblGrid>
      <w:tr w:rsidR="006F670A" w:rsidRPr="00ED1CB4" w14:paraId="465C542F" w14:textId="77777777" w:rsidTr="001D156E">
        <w:trPr>
          <w:trHeight w:val="620"/>
          <w:jc w:val="center"/>
        </w:trPr>
        <w:tc>
          <w:tcPr>
            <w:tcW w:w="2368" w:type="dxa"/>
            <w:shd w:val="clear" w:color="auto" w:fill="auto"/>
          </w:tcPr>
          <w:p w14:paraId="6AF00DB4" w14:textId="77777777" w:rsidR="00097306" w:rsidRPr="00ED1CB4" w:rsidRDefault="00097306" w:rsidP="00BE220F">
            <w:pPr>
              <w:pStyle w:val="NoSpacing"/>
              <w:jc w:val="center"/>
              <w:rPr>
                <w:rFonts w:ascii="Arial" w:hAnsi="Arial" w:cs="Arial"/>
                <w:b/>
                <w:color w:val="000000" w:themeColor="text1"/>
                <w:szCs w:val="24"/>
                <w:lang w:val="mn-MN"/>
              </w:rPr>
            </w:pPr>
          </w:p>
          <w:p w14:paraId="164AADBA"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Үнэлгээний хүрээ</w:t>
            </w:r>
          </w:p>
        </w:tc>
        <w:tc>
          <w:tcPr>
            <w:tcW w:w="2369" w:type="dxa"/>
            <w:shd w:val="clear" w:color="auto" w:fill="auto"/>
          </w:tcPr>
          <w:p w14:paraId="49F76B72"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 xml:space="preserve">Тогтоосон </w:t>
            </w:r>
          </w:p>
          <w:p w14:paraId="33E1DB11"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шалгуур</w:t>
            </w:r>
          </w:p>
          <w:p w14:paraId="7A9DEF2B"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үзүүлэлт</w:t>
            </w:r>
          </w:p>
        </w:tc>
        <w:tc>
          <w:tcPr>
            <w:tcW w:w="2369" w:type="dxa"/>
            <w:shd w:val="clear" w:color="auto" w:fill="auto"/>
          </w:tcPr>
          <w:p w14:paraId="17ED3637"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 xml:space="preserve">Харьцуулах хэлбэрийг </w:t>
            </w:r>
          </w:p>
          <w:p w14:paraId="02459D8C"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сонгох</w:t>
            </w:r>
          </w:p>
        </w:tc>
        <w:tc>
          <w:tcPr>
            <w:tcW w:w="2369" w:type="dxa"/>
            <w:shd w:val="clear" w:color="auto" w:fill="auto"/>
          </w:tcPr>
          <w:p w14:paraId="43B9B4DD" w14:textId="77777777" w:rsidR="00097306" w:rsidRPr="00ED1CB4" w:rsidRDefault="00097306" w:rsidP="00BE220F">
            <w:pPr>
              <w:pStyle w:val="NoSpacing"/>
              <w:jc w:val="center"/>
              <w:rPr>
                <w:rFonts w:ascii="Arial" w:hAnsi="Arial" w:cs="Arial"/>
                <w:b/>
                <w:color w:val="000000" w:themeColor="text1"/>
                <w:szCs w:val="24"/>
                <w:lang w:val="mn-MN"/>
              </w:rPr>
            </w:pPr>
            <w:r w:rsidRPr="00ED1CB4">
              <w:rPr>
                <w:rFonts w:ascii="Arial" w:hAnsi="Arial" w:cs="Arial"/>
                <w:b/>
                <w:color w:val="000000" w:themeColor="text1"/>
                <w:szCs w:val="24"/>
                <w:lang w:val="mn-MN"/>
              </w:rPr>
              <w:t>Шалгуур үзүүлэлтийг томьёолох</w:t>
            </w:r>
          </w:p>
        </w:tc>
      </w:tr>
      <w:tr w:rsidR="00BE220F" w:rsidRPr="00ED1CB4" w14:paraId="7D9CD33B" w14:textId="77777777" w:rsidTr="001D156E">
        <w:trPr>
          <w:trHeight w:val="841"/>
          <w:jc w:val="center"/>
        </w:trPr>
        <w:tc>
          <w:tcPr>
            <w:tcW w:w="2368" w:type="dxa"/>
            <w:shd w:val="clear" w:color="auto" w:fill="auto"/>
          </w:tcPr>
          <w:p w14:paraId="7A8721E2" w14:textId="2154BFA5" w:rsidR="00097306" w:rsidRPr="00ED1CB4" w:rsidRDefault="00401412"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УИХ-ын 2015.07.03-ны өдрийн 70 дугаар тогтоолын хавсралтаар баталсан “Төрийн өмчийг 2015-2016 онд хувьчлах, өөрчлөн байгуулах үндсэн чиглэл”-ийн 4.17-д </w:t>
            </w:r>
            <w:r w:rsidRPr="00ED1CB4">
              <w:rPr>
                <w:rFonts w:ascii="Arial" w:hAnsi="Arial" w:cs="Arial"/>
                <w:b/>
                <w:bCs/>
                <w:i/>
                <w:iCs/>
                <w:color w:val="000000" w:themeColor="text1"/>
                <w:szCs w:val="24"/>
                <w:lang w:val="mn-MN"/>
              </w:rPr>
              <w:t>““Хөтөлийн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w:t>
            </w:r>
          </w:p>
        </w:tc>
        <w:tc>
          <w:tcPr>
            <w:tcW w:w="2369" w:type="dxa"/>
            <w:shd w:val="clear" w:color="auto" w:fill="auto"/>
          </w:tcPr>
          <w:p w14:paraId="2D2BCF2B" w14:textId="2EE32FA4" w:rsidR="00097306" w:rsidRPr="00ED1CB4" w:rsidRDefault="00097306"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Зорилгод хүрсэн түвшин</w:t>
            </w:r>
          </w:p>
          <w:p w14:paraId="5CA76A03" w14:textId="77777777" w:rsidR="0069487B" w:rsidRPr="00ED1CB4" w:rsidRDefault="0069487B" w:rsidP="00BE220F">
            <w:pPr>
              <w:pStyle w:val="NoSpacing"/>
              <w:jc w:val="both"/>
              <w:rPr>
                <w:rFonts w:ascii="Arial" w:hAnsi="Arial" w:cs="Arial"/>
                <w:color w:val="000000" w:themeColor="text1"/>
                <w:szCs w:val="24"/>
                <w:lang w:val="mn-MN"/>
              </w:rPr>
            </w:pPr>
          </w:p>
          <w:p w14:paraId="04B7660A" w14:textId="38994AA8" w:rsidR="00097306" w:rsidRPr="00ED1CB4" w:rsidRDefault="00097306"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Үндсэн зорилго: </w:t>
            </w:r>
          </w:p>
          <w:p w14:paraId="6BD1D8C2" w14:textId="5C1EB975" w:rsidR="001B71C2" w:rsidRPr="00ED1CB4" w:rsidRDefault="00C63440"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Цаашид төрөөс дэмжиж явахад </w:t>
            </w:r>
            <w:r w:rsidR="0070495F" w:rsidRPr="00ED1CB4">
              <w:rPr>
                <w:rFonts w:ascii="Arial" w:hAnsi="Arial" w:cs="Arial"/>
                <w:color w:val="000000" w:themeColor="text1"/>
                <w:szCs w:val="24"/>
                <w:lang w:val="mn-MN"/>
              </w:rPr>
              <w:t xml:space="preserve">их хэмжээний зардал шаардагдах, </w:t>
            </w:r>
            <w:r w:rsidRPr="00ED1CB4">
              <w:rPr>
                <w:rFonts w:ascii="Arial" w:hAnsi="Arial" w:cs="Arial"/>
                <w:color w:val="000000" w:themeColor="text1"/>
                <w:szCs w:val="24"/>
                <w:lang w:val="mn-MN"/>
              </w:rPr>
              <w:t xml:space="preserve">санхүүгийн хувьд хүндрэлтэй болсон аж ахуйн нэгжийг хувийн өмчид шилжүүлж, </w:t>
            </w:r>
            <w:r w:rsidR="0070495F" w:rsidRPr="00ED1CB4">
              <w:rPr>
                <w:rFonts w:ascii="Arial" w:hAnsi="Arial" w:cs="Arial"/>
                <w:color w:val="000000" w:themeColor="text1"/>
                <w:szCs w:val="24"/>
                <w:lang w:val="mn-MN"/>
              </w:rPr>
              <w:t>төрд ирэх дарамт ачааллыг бууруулах, үйлдвэрлэлийн хэвийн үйл ажиллагааг хангах</w:t>
            </w:r>
          </w:p>
          <w:p w14:paraId="58A2C1CD" w14:textId="1D9AE137" w:rsidR="00C63440" w:rsidRPr="00ED1CB4" w:rsidRDefault="00C63440" w:rsidP="00BE220F">
            <w:pPr>
              <w:pStyle w:val="NoSpacing"/>
              <w:jc w:val="both"/>
              <w:rPr>
                <w:rFonts w:ascii="Arial" w:hAnsi="Arial" w:cs="Arial"/>
                <w:color w:val="000000" w:themeColor="text1"/>
                <w:szCs w:val="24"/>
                <w:lang w:val="mn-MN"/>
              </w:rPr>
            </w:pPr>
          </w:p>
        </w:tc>
        <w:tc>
          <w:tcPr>
            <w:tcW w:w="2369" w:type="dxa"/>
            <w:shd w:val="clear" w:color="auto" w:fill="auto"/>
          </w:tcPr>
          <w:p w14:paraId="76F1C4BD" w14:textId="439B985D" w:rsidR="00097306" w:rsidRPr="00ED1CB4" w:rsidRDefault="00870B80"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Хууль тогтоомж батлагдахаас өмнөх болон хууль тогтоомж батлагдсанаас хойш гарч байгаа үр дагавартай </w:t>
            </w:r>
            <w:r w:rsidRPr="00ED1CB4">
              <w:rPr>
                <w:rFonts w:ascii="Arial" w:eastAsiaTheme="minorHAnsi" w:hAnsi="Arial" w:cs="Arial"/>
                <w:color w:val="000000" w:themeColor="text1"/>
                <w:szCs w:val="24"/>
                <w:lang w:val="mn-MN"/>
              </w:rPr>
              <w:t>харьцуулна</w:t>
            </w:r>
            <w:r w:rsidR="00097306" w:rsidRPr="00ED1CB4">
              <w:rPr>
                <w:rStyle w:val="FootnoteReference"/>
                <w:rFonts w:ascii="Arial" w:hAnsi="Arial" w:cs="Arial"/>
                <w:color w:val="000000" w:themeColor="text1"/>
                <w:szCs w:val="24"/>
                <w:lang w:val="mn-MN"/>
              </w:rPr>
              <w:footnoteReference w:id="1"/>
            </w:r>
            <w:r w:rsidR="00097306" w:rsidRPr="00ED1CB4">
              <w:rPr>
                <w:rFonts w:ascii="Arial" w:hAnsi="Arial" w:cs="Arial"/>
                <w:color w:val="000000" w:themeColor="text1"/>
                <w:szCs w:val="24"/>
                <w:lang w:val="mn-MN"/>
              </w:rPr>
              <w:t xml:space="preserve"> </w:t>
            </w:r>
          </w:p>
          <w:p w14:paraId="01A8D98A" w14:textId="13733A46" w:rsidR="00097306" w:rsidRPr="00ED1CB4" w:rsidRDefault="00097306" w:rsidP="00BE220F">
            <w:pPr>
              <w:pStyle w:val="NoSpacing"/>
              <w:jc w:val="both"/>
              <w:rPr>
                <w:rFonts w:ascii="Arial" w:hAnsi="Arial" w:cs="Arial"/>
                <w:color w:val="000000" w:themeColor="text1"/>
                <w:szCs w:val="24"/>
                <w:lang w:val="mn-MN"/>
              </w:rPr>
            </w:pPr>
          </w:p>
          <w:p w14:paraId="34157CC0" w14:textId="28D0364A" w:rsidR="00EE0F83" w:rsidRPr="00ED1CB4" w:rsidRDefault="006A65B8"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Санхүүгийн үзүүлэлтийг харьцуулна.</w:t>
            </w:r>
          </w:p>
        </w:tc>
        <w:tc>
          <w:tcPr>
            <w:tcW w:w="2369" w:type="dxa"/>
            <w:shd w:val="clear" w:color="auto" w:fill="auto"/>
          </w:tcPr>
          <w:p w14:paraId="52EBE127" w14:textId="77777777" w:rsidR="00097306" w:rsidRPr="00ED1CB4" w:rsidRDefault="00870B80"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Хуульд заасан арга, хэлбэрээр хувьчлалыг явуулсан уу?</w:t>
            </w:r>
          </w:p>
          <w:p w14:paraId="59ADCDB4" w14:textId="77777777" w:rsidR="00870B80" w:rsidRPr="00ED1CB4" w:rsidRDefault="00870B80" w:rsidP="00BE220F">
            <w:pPr>
              <w:pStyle w:val="NoSpacing"/>
              <w:jc w:val="both"/>
              <w:rPr>
                <w:rFonts w:ascii="Arial" w:hAnsi="Arial" w:cs="Arial"/>
                <w:color w:val="000000" w:themeColor="text1"/>
                <w:szCs w:val="24"/>
                <w:lang w:val="mn-MN"/>
              </w:rPr>
            </w:pPr>
          </w:p>
          <w:p w14:paraId="733E65F6" w14:textId="199546BB" w:rsidR="00870B80" w:rsidRPr="00ED1CB4" w:rsidRDefault="00667B6D" w:rsidP="00BE220F">
            <w:pPr>
              <w:pStyle w:val="NoSpacing"/>
              <w:jc w:val="both"/>
              <w:rPr>
                <w:rFonts w:ascii="Arial" w:hAnsi="Arial" w:cs="Arial"/>
                <w:color w:val="000000" w:themeColor="text1"/>
                <w:szCs w:val="24"/>
                <w:lang w:val="mn-MN"/>
              </w:rPr>
            </w:pPr>
            <w:r w:rsidRPr="00ED1CB4">
              <w:rPr>
                <w:rFonts w:ascii="Arial" w:hAnsi="Arial" w:cs="Arial"/>
                <w:color w:val="000000" w:themeColor="text1"/>
                <w:szCs w:val="24"/>
                <w:lang w:val="mn-MN"/>
              </w:rPr>
              <w:t xml:space="preserve">Хувьчлагдсан аж ахуйн нэгжийн </w:t>
            </w:r>
            <w:r w:rsidR="00D468E5" w:rsidRPr="00ED1CB4">
              <w:rPr>
                <w:rFonts w:ascii="Arial" w:hAnsi="Arial" w:cs="Arial"/>
                <w:color w:val="000000" w:themeColor="text1"/>
                <w:szCs w:val="24"/>
                <w:lang w:val="mn-MN"/>
              </w:rPr>
              <w:t>өр төлбөрийн байдал</w:t>
            </w:r>
            <w:r w:rsidRPr="00ED1CB4">
              <w:rPr>
                <w:rFonts w:ascii="Arial" w:hAnsi="Arial" w:cs="Arial"/>
                <w:color w:val="000000" w:themeColor="text1"/>
                <w:szCs w:val="24"/>
                <w:lang w:val="mn-MN"/>
              </w:rPr>
              <w:t xml:space="preserve"> хувьчлагдахаас өмнөх байдлаас </w:t>
            </w:r>
            <w:r w:rsidR="00D468E5" w:rsidRPr="00ED1CB4">
              <w:rPr>
                <w:rFonts w:ascii="Arial" w:hAnsi="Arial" w:cs="Arial"/>
                <w:color w:val="000000" w:themeColor="text1"/>
                <w:szCs w:val="24"/>
                <w:lang w:val="mn-MN"/>
              </w:rPr>
              <w:t>хэрхэн өөрчлөгдсөн</w:t>
            </w:r>
            <w:r w:rsidRPr="00ED1CB4">
              <w:rPr>
                <w:rFonts w:ascii="Arial" w:hAnsi="Arial" w:cs="Arial"/>
                <w:color w:val="000000" w:themeColor="text1"/>
                <w:szCs w:val="24"/>
                <w:lang w:val="mn-MN"/>
              </w:rPr>
              <w:t>?</w:t>
            </w:r>
          </w:p>
          <w:p w14:paraId="311848FD" w14:textId="0BB4F245" w:rsidR="0069487B" w:rsidRPr="00ED1CB4" w:rsidRDefault="0069487B" w:rsidP="00BE220F">
            <w:pPr>
              <w:pStyle w:val="NoSpacing"/>
              <w:jc w:val="both"/>
              <w:rPr>
                <w:rFonts w:ascii="Arial" w:hAnsi="Arial" w:cs="Arial"/>
                <w:color w:val="000000" w:themeColor="text1"/>
                <w:szCs w:val="24"/>
                <w:lang w:val="mn-MN"/>
              </w:rPr>
            </w:pPr>
          </w:p>
          <w:p w14:paraId="4A9F2895" w14:textId="77777777" w:rsidR="00667B6D" w:rsidRPr="00ED1CB4" w:rsidRDefault="00667B6D" w:rsidP="00BE220F">
            <w:pPr>
              <w:pStyle w:val="NoSpacing"/>
              <w:jc w:val="both"/>
              <w:rPr>
                <w:rFonts w:ascii="Arial" w:hAnsi="Arial" w:cs="Arial"/>
                <w:color w:val="000000" w:themeColor="text1"/>
                <w:szCs w:val="24"/>
                <w:lang w:val="mn-MN"/>
              </w:rPr>
            </w:pPr>
          </w:p>
          <w:p w14:paraId="5278C14F" w14:textId="3BDA8EA5" w:rsidR="00667B6D" w:rsidRPr="00ED1CB4" w:rsidRDefault="00667B6D" w:rsidP="00BE220F">
            <w:pPr>
              <w:pStyle w:val="NoSpacing"/>
              <w:jc w:val="both"/>
              <w:rPr>
                <w:rFonts w:ascii="Arial" w:hAnsi="Arial" w:cs="Arial"/>
                <w:color w:val="000000" w:themeColor="text1"/>
                <w:szCs w:val="24"/>
                <w:lang w:val="mn-MN"/>
              </w:rPr>
            </w:pPr>
          </w:p>
        </w:tc>
      </w:tr>
    </w:tbl>
    <w:p w14:paraId="1434D3B7" w14:textId="79C6E043" w:rsidR="00E1135A" w:rsidRPr="00ED1CB4" w:rsidRDefault="00E1135A" w:rsidP="00BE220F">
      <w:pPr>
        <w:spacing w:line="240" w:lineRule="auto"/>
        <w:ind w:firstLine="567"/>
        <w:jc w:val="both"/>
        <w:rPr>
          <w:rFonts w:ascii="Arial" w:hAnsi="Arial" w:cs="Arial"/>
          <w:b/>
          <w:bCs/>
          <w:color w:val="000000" w:themeColor="text1"/>
          <w:sz w:val="24"/>
          <w:szCs w:val="24"/>
          <w:lang w:val="mn-MN"/>
        </w:rPr>
      </w:pPr>
    </w:p>
    <w:p w14:paraId="1904957C" w14:textId="77777777" w:rsidR="0069487B" w:rsidRPr="00ED1CB4" w:rsidRDefault="0069487B" w:rsidP="00BE220F">
      <w:pPr>
        <w:tabs>
          <w:tab w:val="left" w:pos="540"/>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“Хөтөлийн цемент шохой”-н үйлдвэр нь 1983 онд байгуулагдсан бөгөөд Засгийн газрын 2001 оны 35 дугаар тогтоол, Төрийн өмчийн хорооны 2001 оны 442 дугаар тогтоолоор хувьцаат компанийн хэлбэрт шилжсэн. Тус компани нь шохойн чулууны 2 орд газартай, үйлдвэрлэл тогтворжиж, бүтээгдэхүүний чанар баталгаажсан, дэд бүтэц сайтай, мэргэшсэн боловсон хүчин, туршлагатай ажиллах хүчний нөөцтэй байсан. </w:t>
      </w:r>
    </w:p>
    <w:p w14:paraId="5FE774D6" w14:textId="77777777" w:rsidR="0069487B" w:rsidRPr="00ED1CB4" w:rsidRDefault="0069487B" w:rsidP="00BE220F">
      <w:pPr>
        <w:tabs>
          <w:tab w:val="left" w:pos="540"/>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Улсын Их Хурлын 2010 оны 02 дугаар сарын 04-ний өдрийн 11 дүгээр тогтоол, Засгийн газрын 2010 оны 04 дүгээр сарын 07-ны өдрийн 86 дугаар тогтоолоор үйлдвэрлэлийн техник, технологийг хуурай аргад шилжүүлэх нөхцөлтэйгөөр гадаад, дотоодын хөрөнгө оруулалтыг татах ажлыг зохион байгуулахаар шийдвэрлэсэн.</w:t>
      </w:r>
    </w:p>
    <w:p w14:paraId="4D7A17D3" w14:textId="77777777" w:rsidR="0069487B" w:rsidRPr="00ED1CB4" w:rsidRDefault="0069487B" w:rsidP="00BE220F">
      <w:pPr>
        <w:tabs>
          <w:tab w:val="left" w:pos="540"/>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lastRenderedPageBreak/>
        <w:t>Зам, тээвэр, барилга, хот байгуулалтын сайд, Төрийн өмчийн хорооны даргын хамтарсан 2011 оны 01 дүгээр сарын 12-ны өдрийн тушаалаар хөрөнгө оруулагчдыг сонгон шалгаруулах Ажлын хэсгийг томилж 2011 оны 01 дүгээр сарын 13-ны өдөр “... үндэсний хөрөнгө оруулагч “Бейзмент” ХХК-ийн санал илүү үндэслэлтэй, итгэл үнэмшилтэй бөгөөд захиалагчийн ашиг сонирхолд нийцсэн байна гэж дүгнэсэн...” тул “Цемент шохой” ХК болон “Бейзмент” ХХК-ийн хооронд байгуулсан “Үйлдвэрлэлийн хүчин чадлыг нэмэгдүүлэн, өргөтгөх” хөрөнгө оруулалтын гэрээг (10 жилийн хугацаатай) Төрийн өмчийн хороо 2011 оны 01 дүгээр сарын 17-ны өдөр баталсан байна.</w:t>
      </w:r>
    </w:p>
    <w:p w14:paraId="5FF0CA93" w14:textId="77777777" w:rsidR="0069487B" w:rsidRPr="00ED1CB4" w:rsidRDefault="0069487B" w:rsidP="00BE220F">
      <w:pPr>
        <w:tabs>
          <w:tab w:val="left" w:pos="540"/>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“Бейзмент” ХХК нь үндсэн гүйцэтгэгчээр БНХАУ-ын “China heavy industrial machinery export group pte”-тэй 2011 оны 06 дугаар сарын 26-ны өдөр гэрээ байгуулсан ба өөрийн эх үүсвэр болон Худалдаа хөгжлийн банк, Улаанбаатар хотын банкны 39.5 сая долларын зээлийн санхүүжилтээр “Цемент шохой” ХК-ийн үйлдвэрлэлийн технологийг шинэчлэх ажиллагааг эхлүүлж 2014 онд дуусгасан байна. </w:t>
      </w:r>
    </w:p>
    <w:p w14:paraId="363103F1" w14:textId="77777777" w:rsidR="0069487B" w:rsidRPr="00ED1CB4" w:rsidRDefault="0069487B" w:rsidP="00BE220F">
      <w:pPr>
        <w:tabs>
          <w:tab w:val="left" w:pos="720"/>
        </w:tabs>
        <w:spacing w:after="120" w:line="240" w:lineRule="auto"/>
        <w:ind w:firstLine="630"/>
        <w:jc w:val="both"/>
        <w:rPr>
          <w:rFonts w:ascii="Arial" w:hAnsi="Arial" w:cs="Arial"/>
          <w:color w:val="000000" w:themeColor="text1"/>
          <w:sz w:val="24"/>
          <w:szCs w:val="24"/>
          <w:shd w:val="clear" w:color="auto" w:fill="FFFFFF"/>
          <w:lang w:val="mn-MN"/>
        </w:rPr>
      </w:pPr>
      <w:r w:rsidRPr="00ED1CB4">
        <w:rPr>
          <w:rFonts w:ascii="Arial" w:hAnsi="Arial" w:cs="Arial"/>
          <w:color w:val="000000" w:themeColor="text1"/>
          <w:sz w:val="24"/>
          <w:szCs w:val="24"/>
          <w:lang w:val="mn-MN"/>
        </w:rPr>
        <w:t xml:space="preserve">Монгол Улсын Их Хурлын 2015 оны 07 дугаар сарын 03-ны өдрийн 70, </w:t>
      </w:r>
      <w:bookmarkStart w:id="0" w:name="_Hlk99558046"/>
      <w:r w:rsidRPr="00ED1CB4">
        <w:rPr>
          <w:rFonts w:ascii="Arial" w:hAnsi="Arial" w:cs="Arial"/>
          <w:color w:val="000000" w:themeColor="text1"/>
          <w:sz w:val="24"/>
          <w:szCs w:val="24"/>
          <w:lang w:val="mn-MN"/>
        </w:rPr>
        <w:t xml:space="preserve">Монгол Улсын Засгийн газрын 2015 оны 08 дугаар сарын 17-ны өдрийн 330, Төрийн өмчийн хорооны 2015 оны 10 дугаар сарын 08-ны өдрийн 608 дугаар тогтоолоор </w:t>
      </w:r>
      <w:r w:rsidRPr="00ED1CB4">
        <w:rPr>
          <w:rFonts w:ascii="Arial" w:hAnsi="Arial" w:cs="Arial"/>
          <w:color w:val="000000" w:themeColor="text1"/>
          <w:sz w:val="24"/>
          <w:szCs w:val="24"/>
          <w:shd w:val="clear" w:color="auto" w:fill="FFFFFF"/>
          <w:lang w:val="mn-MN"/>
        </w:rPr>
        <w:t>“Хөтөлийн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хувьчилж, Төрийн өмчийн хорооны 2015 оны 10 дугаар сарын 15-ны өдрийн 617 дугаар тогтоолоор “Бейзмент” ХХК-д хувьцааны өмчлөгчийн эрхийг олгосон байна.</w:t>
      </w:r>
      <w:bookmarkEnd w:id="0"/>
    </w:p>
    <w:p w14:paraId="5D966A8A" w14:textId="48D9EAA9" w:rsidR="00106EE8" w:rsidRPr="00ED1CB4" w:rsidRDefault="00294E99"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b/>
          <w:bCs/>
          <w:color w:val="000000" w:themeColor="text1"/>
          <w:sz w:val="24"/>
          <w:szCs w:val="24"/>
          <w:lang w:val="mn-MN"/>
        </w:rPr>
        <w:t>Хувьчлагдах үед</w:t>
      </w:r>
      <w:r w:rsidR="00123B9F" w:rsidRPr="00ED1CB4">
        <w:rPr>
          <w:rFonts w:ascii="Arial" w:hAnsi="Arial" w:cs="Arial"/>
          <w:b/>
          <w:bCs/>
          <w:color w:val="000000" w:themeColor="text1"/>
          <w:sz w:val="24"/>
          <w:szCs w:val="24"/>
          <w:lang w:val="mn-MN"/>
        </w:rPr>
        <w:t>:</w:t>
      </w:r>
      <w:r w:rsidRPr="00ED1CB4">
        <w:rPr>
          <w:rFonts w:ascii="Arial" w:hAnsi="Arial" w:cs="Arial"/>
          <w:color w:val="000000" w:themeColor="text1"/>
          <w:sz w:val="24"/>
          <w:szCs w:val="24"/>
          <w:lang w:val="mn-MN"/>
        </w:rPr>
        <w:t xml:space="preserve"> “Хөтөлийн цемент шохой” төрийн өмчит хувьцаат компани нь 28,566,747,</w:t>
      </w:r>
      <w:r w:rsidR="00133D1C" w:rsidRPr="00ED1CB4">
        <w:rPr>
          <w:rFonts w:ascii="Arial" w:hAnsi="Arial" w:cs="Arial"/>
          <w:color w:val="000000" w:themeColor="text1"/>
          <w:sz w:val="24"/>
          <w:szCs w:val="24"/>
          <w:lang w:val="mn-MN"/>
        </w:rPr>
        <w:t>863</w:t>
      </w:r>
      <w:r w:rsidRPr="00ED1CB4">
        <w:rPr>
          <w:rFonts w:ascii="Arial" w:hAnsi="Arial" w:cs="Arial"/>
          <w:color w:val="000000" w:themeColor="text1"/>
          <w:sz w:val="24"/>
          <w:szCs w:val="24"/>
          <w:lang w:val="mn-MN"/>
        </w:rPr>
        <w:t xml:space="preserve"> /хорин найман тэрбум таван зуун жаран зургаан сая долоон зуун дөчин долоон мянга </w:t>
      </w:r>
      <w:r w:rsidR="00133D1C" w:rsidRPr="00ED1CB4">
        <w:rPr>
          <w:rFonts w:ascii="Arial" w:hAnsi="Arial" w:cs="Arial"/>
          <w:color w:val="000000" w:themeColor="text1"/>
          <w:sz w:val="24"/>
          <w:szCs w:val="24"/>
          <w:lang w:val="mn-MN"/>
        </w:rPr>
        <w:t>найман зуун жаран гурав</w:t>
      </w:r>
      <w:r w:rsidRPr="00ED1CB4">
        <w:rPr>
          <w:rFonts w:ascii="Arial" w:hAnsi="Arial" w:cs="Arial"/>
          <w:color w:val="000000" w:themeColor="text1"/>
          <w:sz w:val="24"/>
          <w:szCs w:val="24"/>
          <w:lang w:val="mn-MN"/>
        </w:rPr>
        <w:t>/ төгрөгийн богино хугацаат өр төлбөр, барилгын салбарыг дэмжих улмаар орон сууцны үнийг тогтворжуулах дэд хөтөлбөрийн хүрээнд олгосон 10,000,000,000 /арван тэрбум/ төгрөгийн зээл, 1,139,</w:t>
      </w:r>
      <w:r w:rsidR="00DA42C5" w:rsidRPr="00ED1CB4">
        <w:rPr>
          <w:rFonts w:ascii="Arial" w:hAnsi="Arial" w:cs="Arial"/>
          <w:color w:val="000000" w:themeColor="text1"/>
          <w:sz w:val="24"/>
          <w:szCs w:val="24"/>
          <w:lang w:val="mn-MN"/>
        </w:rPr>
        <w:t>546,330 /нэг тэрбум нэг зуун гучин есөн сая таван зуун дөчин зургаан мянга гурван зуун гуч/ төгрөгийн банкны зээл, нийт 39,706,294,230 /гучин есөн тэрбум долоон зуун зургаан сая хоёр зуун ерэн дөрвөн мянга хоёр зуун гуч/ төгрөгийн өр төлбөртэй байсан</w:t>
      </w:r>
      <w:r w:rsidR="009D26A2" w:rsidRPr="00ED1CB4">
        <w:rPr>
          <w:rFonts w:ascii="Arial" w:hAnsi="Arial" w:cs="Arial"/>
          <w:color w:val="000000" w:themeColor="text1"/>
          <w:sz w:val="24"/>
          <w:szCs w:val="24"/>
          <w:lang w:val="mn-MN"/>
        </w:rPr>
        <w:t xml:space="preserve"> байна. Мөн татвар</w:t>
      </w:r>
      <w:r w:rsidR="001F5335" w:rsidRPr="00ED1CB4">
        <w:rPr>
          <w:rFonts w:ascii="Arial" w:hAnsi="Arial" w:cs="Arial"/>
          <w:color w:val="000000" w:themeColor="text1"/>
          <w:sz w:val="24"/>
          <w:szCs w:val="24"/>
          <w:lang w:val="mn-MN"/>
        </w:rPr>
        <w:t>, нийгмийн даатгалд</w:t>
      </w:r>
      <w:r w:rsidR="009D26A2" w:rsidRPr="00ED1CB4">
        <w:rPr>
          <w:rFonts w:ascii="Arial" w:hAnsi="Arial" w:cs="Arial"/>
          <w:color w:val="000000" w:themeColor="text1"/>
          <w:sz w:val="24"/>
          <w:szCs w:val="24"/>
          <w:lang w:val="mn-MN"/>
        </w:rPr>
        <w:t xml:space="preserve"> өртэй, 2012, 2014 оны ногдол аш</w:t>
      </w:r>
      <w:r w:rsidR="001F5335" w:rsidRPr="00ED1CB4">
        <w:rPr>
          <w:rFonts w:ascii="Arial" w:hAnsi="Arial" w:cs="Arial"/>
          <w:color w:val="000000" w:themeColor="text1"/>
          <w:sz w:val="24"/>
          <w:szCs w:val="24"/>
          <w:lang w:val="mn-MN"/>
        </w:rPr>
        <w:t>иг боох 1,045,109,400 /нэг тэрбум дөчин таван сая нэг зуун есөн мянга дөрвөн зуу/ төгрөгийг төрд төвлөрүүлээгүй байсан.</w:t>
      </w:r>
    </w:p>
    <w:p w14:paraId="2A28200E" w14:textId="59766370" w:rsidR="00070BF1" w:rsidRPr="00ED1CB4" w:rsidRDefault="00BF546C" w:rsidP="00BE220F">
      <w:pPr>
        <w:spacing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“Хөтөлийн цемент шохой” төрийн өмчит хувьцаат компанийг “Бэйзмент” ХХК-д хувьчилсан нөхцөл нь:</w:t>
      </w:r>
    </w:p>
    <w:p w14:paraId="2DD1B613" w14:textId="54F43EB5" w:rsidR="00BF546C" w:rsidRPr="00ED1CB4" w:rsidRDefault="00BF546C" w:rsidP="00BE220F">
      <w:pPr>
        <w:pStyle w:val="ListParagraph"/>
        <w:numPr>
          <w:ilvl w:val="0"/>
          <w:numId w:val="1"/>
        </w:numPr>
        <w:spacing w:line="240" w:lineRule="auto"/>
        <w:jc w:val="both"/>
        <w:rPr>
          <w:rFonts w:ascii="Arial" w:hAnsi="Arial" w:cs="Arial"/>
          <w:color w:val="000000" w:themeColor="text1"/>
          <w:sz w:val="24"/>
          <w:szCs w:val="24"/>
          <w:lang w:val="mn-MN"/>
        </w:rPr>
      </w:pPr>
      <w:r w:rsidRPr="00ED1CB4">
        <w:rPr>
          <w:rFonts w:ascii="Arial" w:hAnsi="Arial" w:cs="Arial"/>
          <w:b/>
          <w:bCs/>
          <w:color w:val="000000" w:themeColor="text1"/>
          <w:sz w:val="24"/>
          <w:szCs w:val="24"/>
          <w:lang w:val="mn-MN"/>
        </w:rPr>
        <w:t>Нийт 39,706,294,230</w:t>
      </w:r>
      <w:r w:rsidRPr="00ED1CB4">
        <w:rPr>
          <w:rFonts w:ascii="Arial" w:hAnsi="Arial" w:cs="Arial"/>
          <w:color w:val="000000" w:themeColor="text1"/>
          <w:sz w:val="24"/>
          <w:szCs w:val="24"/>
          <w:lang w:val="mn-MN"/>
        </w:rPr>
        <w:t xml:space="preserve"> /гучин есөн тэрбум долоон зуун зургаан сая хоёр зуун ерэн дөрвөн мянга хоёр зуун гуч/ төгрөгийн өр төлбөрийг төлөх</w:t>
      </w:r>
      <w:r w:rsidR="00F04873" w:rsidRPr="00ED1CB4">
        <w:rPr>
          <w:rFonts w:ascii="Arial" w:hAnsi="Arial" w:cs="Arial"/>
          <w:color w:val="000000" w:themeColor="text1"/>
          <w:sz w:val="24"/>
          <w:szCs w:val="24"/>
          <w:lang w:val="mn-MN"/>
        </w:rPr>
        <w:t>;</w:t>
      </w:r>
    </w:p>
    <w:p w14:paraId="2A82FC9F" w14:textId="4444E535" w:rsidR="009A3EF5" w:rsidRPr="00ED1CB4" w:rsidRDefault="00F04873" w:rsidP="00BE220F">
      <w:pPr>
        <w:pStyle w:val="ListParagraph"/>
        <w:numPr>
          <w:ilvl w:val="0"/>
          <w:numId w:val="1"/>
        </w:numPr>
        <w:spacing w:line="240" w:lineRule="auto"/>
        <w:jc w:val="both"/>
        <w:rPr>
          <w:rFonts w:ascii="Arial" w:hAnsi="Arial" w:cs="Arial"/>
          <w:b/>
          <w:bCs/>
          <w:color w:val="000000" w:themeColor="text1"/>
          <w:sz w:val="24"/>
          <w:szCs w:val="24"/>
          <w:lang w:val="mn-MN"/>
        </w:rPr>
      </w:pPr>
      <w:r w:rsidRPr="00ED1CB4">
        <w:rPr>
          <w:rFonts w:ascii="Arial" w:hAnsi="Arial" w:cs="Arial"/>
          <w:color w:val="000000" w:themeColor="text1"/>
          <w:sz w:val="24"/>
          <w:szCs w:val="24"/>
          <w:lang w:val="mn-MN"/>
        </w:rPr>
        <w:t>Т</w:t>
      </w:r>
      <w:r w:rsidR="009A3EF5" w:rsidRPr="00ED1CB4">
        <w:rPr>
          <w:rFonts w:ascii="Arial" w:hAnsi="Arial" w:cs="Arial"/>
          <w:color w:val="000000" w:themeColor="text1"/>
          <w:sz w:val="24"/>
          <w:szCs w:val="24"/>
          <w:lang w:val="mn-MN"/>
        </w:rPr>
        <w:t>атвар, нийгмийн даатгал, төрд төвлүүлээгүй ноогдол ашгийн өр төлбөр</w:t>
      </w:r>
      <w:r w:rsidRPr="00ED1CB4">
        <w:rPr>
          <w:rFonts w:ascii="Arial" w:hAnsi="Arial" w:cs="Arial"/>
          <w:color w:val="000000" w:themeColor="text1"/>
          <w:sz w:val="24"/>
          <w:szCs w:val="24"/>
          <w:lang w:val="mn-MN"/>
        </w:rPr>
        <w:t xml:space="preserve"> зэрэг бусдад</w:t>
      </w:r>
      <w:r w:rsidR="009A3EF5" w:rsidRPr="00ED1CB4">
        <w:rPr>
          <w:rFonts w:ascii="Arial" w:hAnsi="Arial" w:cs="Arial"/>
          <w:color w:val="000000" w:themeColor="text1"/>
          <w:sz w:val="24"/>
          <w:szCs w:val="24"/>
          <w:lang w:val="mn-MN"/>
        </w:rPr>
        <w:t xml:space="preserve"> төлөх</w:t>
      </w:r>
      <w:r w:rsidRPr="00ED1CB4">
        <w:rPr>
          <w:rFonts w:ascii="Arial" w:hAnsi="Arial" w:cs="Arial"/>
          <w:color w:val="000000" w:themeColor="text1"/>
          <w:sz w:val="24"/>
          <w:szCs w:val="24"/>
          <w:lang w:val="mn-MN"/>
        </w:rPr>
        <w:t xml:space="preserve"> өр төлбөрийг төлж барагдуулах</w:t>
      </w:r>
      <w:r w:rsidR="009A3EF5" w:rsidRPr="00ED1CB4">
        <w:rPr>
          <w:rFonts w:ascii="Arial" w:hAnsi="Arial" w:cs="Arial"/>
          <w:color w:val="000000" w:themeColor="text1"/>
          <w:sz w:val="24"/>
          <w:szCs w:val="24"/>
          <w:lang w:val="mn-MN"/>
        </w:rPr>
        <w:t xml:space="preserve"> нөхцөлтэйгөөр </w:t>
      </w:r>
      <w:r w:rsidR="00387613" w:rsidRPr="00ED1CB4">
        <w:rPr>
          <w:rFonts w:ascii="Arial" w:hAnsi="Arial" w:cs="Arial"/>
          <w:color w:val="000000" w:themeColor="text1"/>
          <w:sz w:val="24"/>
          <w:szCs w:val="24"/>
          <w:lang w:val="mn-MN"/>
        </w:rPr>
        <w:t xml:space="preserve">нийт </w:t>
      </w:r>
      <w:r w:rsidRPr="00ED1CB4">
        <w:rPr>
          <w:rFonts w:ascii="Arial" w:hAnsi="Arial" w:cs="Arial"/>
          <w:color w:val="000000" w:themeColor="text1"/>
          <w:sz w:val="24"/>
          <w:szCs w:val="24"/>
          <w:lang w:val="mn-MN"/>
        </w:rPr>
        <w:t xml:space="preserve">119 452 690 ширхэг хувьцааг худалдах доод үнийг </w:t>
      </w:r>
      <w:r w:rsidRPr="00ED1CB4">
        <w:rPr>
          <w:rFonts w:ascii="Arial" w:hAnsi="Arial" w:cs="Arial"/>
          <w:b/>
          <w:bCs/>
          <w:color w:val="000000" w:themeColor="text1"/>
          <w:sz w:val="24"/>
          <w:szCs w:val="24"/>
          <w:lang w:val="mn-MN"/>
        </w:rPr>
        <w:t>1,386,106,400</w:t>
      </w:r>
      <w:r w:rsidRPr="00ED1CB4">
        <w:rPr>
          <w:rFonts w:ascii="Arial" w:hAnsi="Arial" w:cs="Arial"/>
          <w:color w:val="000000" w:themeColor="text1"/>
          <w:sz w:val="24"/>
          <w:szCs w:val="24"/>
          <w:lang w:val="mn-MN"/>
        </w:rPr>
        <w:t xml:space="preserve"> /нэг тэрбум гурван зуун наян зургаан сая нэг зуун зургаан мянга дөрвөн зуу/ төгрөгөөр тус компанийн 119 452 690 ширхэг хувьцааг хөрөнгө оруулагч “Бэйзмент” ХХК-д санал болгон худалдсан байна.</w:t>
      </w:r>
      <w:r w:rsidR="006A65B8" w:rsidRPr="00ED1CB4">
        <w:rPr>
          <w:rFonts w:ascii="Arial" w:hAnsi="Arial" w:cs="Arial"/>
          <w:color w:val="000000" w:themeColor="text1"/>
          <w:sz w:val="24"/>
          <w:szCs w:val="24"/>
          <w:lang w:val="mn-MN"/>
        </w:rPr>
        <w:t xml:space="preserve"> </w:t>
      </w:r>
      <w:r w:rsidR="006A65B8" w:rsidRPr="00ED1CB4">
        <w:rPr>
          <w:rFonts w:ascii="Arial" w:hAnsi="Arial" w:cs="Arial"/>
          <w:b/>
          <w:bCs/>
          <w:color w:val="000000" w:themeColor="text1"/>
          <w:sz w:val="24"/>
          <w:szCs w:val="24"/>
          <w:lang w:val="mn-MN"/>
        </w:rPr>
        <w:t>Өөрөөр хэлбэл нийт 41,100,000,000 /дөчин нэгэн тэрбум нэг зуун сая/ төгрөгөөр хувьчилсан.</w:t>
      </w:r>
    </w:p>
    <w:p w14:paraId="23549883" w14:textId="04BF4FB0" w:rsidR="00FC5A13" w:rsidRPr="00ED1CB4" w:rsidRDefault="00FC5A13" w:rsidP="00BE220F">
      <w:pPr>
        <w:tabs>
          <w:tab w:val="left" w:pos="990"/>
        </w:tabs>
        <w:spacing w:after="120" w:line="240" w:lineRule="auto"/>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 xml:space="preserve">“Хөтөлийн цемент шохой” </w:t>
      </w:r>
      <w:r w:rsidR="00707F32" w:rsidRPr="00ED1CB4">
        <w:rPr>
          <w:rFonts w:ascii="Arial" w:hAnsi="Arial" w:cs="Arial"/>
          <w:b/>
          <w:bCs/>
          <w:color w:val="000000" w:themeColor="text1"/>
          <w:sz w:val="24"/>
          <w:szCs w:val="24"/>
          <w:lang w:val="mn-MN"/>
        </w:rPr>
        <w:t xml:space="preserve">/хуучин нэрээр/ </w:t>
      </w:r>
      <w:r w:rsidRPr="00ED1CB4">
        <w:rPr>
          <w:rFonts w:ascii="Arial" w:hAnsi="Arial" w:cs="Arial"/>
          <w:b/>
          <w:bCs/>
          <w:color w:val="000000" w:themeColor="text1"/>
          <w:sz w:val="24"/>
          <w:szCs w:val="24"/>
          <w:lang w:val="mn-MN"/>
        </w:rPr>
        <w:t>ХК-ийн өнөөгийн нөхцөл байдал</w:t>
      </w:r>
      <w:r w:rsidR="00707F32" w:rsidRPr="00ED1CB4">
        <w:rPr>
          <w:rFonts w:ascii="Arial" w:hAnsi="Arial" w:cs="Arial"/>
          <w:b/>
          <w:bCs/>
          <w:color w:val="000000" w:themeColor="text1"/>
          <w:sz w:val="24"/>
          <w:szCs w:val="24"/>
          <w:lang w:val="mn-MN"/>
        </w:rPr>
        <w:t xml:space="preserve">: </w:t>
      </w:r>
    </w:p>
    <w:p w14:paraId="7F6BAA10" w14:textId="4C18C814" w:rsidR="00FC5A13" w:rsidRPr="00ED1CB4" w:rsidRDefault="00FC5A13" w:rsidP="00BE220F">
      <w:pPr>
        <w:tabs>
          <w:tab w:val="left" w:pos="0"/>
        </w:tabs>
        <w:spacing w:after="120" w:line="240" w:lineRule="auto"/>
        <w:ind w:firstLine="567"/>
        <w:jc w:val="both"/>
        <w:rPr>
          <w:rFonts w:ascii="Arial" w:hAnsi="Arial" w:cs="Arial"/>
          <w:b/>
          <w:bCs/>
          <w:color w:val="000000" w:themeColor="text1"/>
          <w:sz w:val="24"/>
          <w:szCs w:val="24"/>
          <w:lang w:val="mn-MN"/>
        </w:rPr>
      </w:pPr>
      <w:r w:rsidRPr="00ED1CB4">
        <w:rPr>
          <w:rFonts w:ascii="Arial" w:hAnsi="Arial" w:cs="Arial"/>
          <w:color w:val="000000" w:themeColor="text1"/>
          <w:sz w:val="24"/>
          <w:szCs w:val="24"/>
          <w:lang w:val="mn-MN"/>
        </w:rPr>
        <w:lastRenderedPageBreak/>
        <w:t xml:space="preserve">Төрийн өмчийн хорооны 2011 оны 01 дүгээр сарын 17-ны өдөр баталсан “Цемент шохой” ХК болон “Бейзмент” ХХК-ийн хооронд байгуулсан “Үйлдвэрлэлийн хүчин чадлыг нэмэгдүүлэн, өргөтгөх хөрөнгө оруулалтын гэрээ”-ний дагуу 2 компанийн хооронд үүссэн 269.9 тэрбум төгрөгийн хөрөнгө оруулалтыг 2017 оны 06 дугаар сарын 19-ний өдрийн “Цемент шохой” </w:t>
      </w:r>
      <w:r w:rsidR="00707F32" w:rsidRPr="00ED1CB4">
        <w:rPr>
          <w:rFonts w:ascii="Arial" w:hAnsi="Arial" w:cs="Arial"/>
          <w:color w:val="000000" w:themeColor="text1"/>
          <w:sz w:val="24"/>
          <w:szCs w:val="24"/>
          <w:lang w:val="mn-MN"/>
        </w:rPr>
        <w:t xml:space="preserve">/Хөтөлийн Цемент шохой ХК-ийн нэрийг өөрчилсөн/ </w:t>
      </w:r>
      <w:r w:rsidRPr="00ED1CB4">
        <w:rPr>
          <w:rFonts w:ascii="Arial" w:hAnsi="Arial" w:cs="Arial"/>
          <w:color w:val="000000" w:themeColor="text1"/>
          <w:sz w:val="24"/>
          <w:szCs w:val="24"/>
          <w:lang w:val="mn-MN"/>
        </w:rPr>
        <w:t xml:space="preserve">ХК-ийн Хувьцаа эзэмшигчдийн хурлын шийдвэрээр өрийг хувьцаагаар сольж, компанийн дүрмийг шинэчилсэн байна. </w:t>
      </w:r>
    </w:p>
    <w:p w14:paraId="60681BCD" w14:textId="77777777" w:rsidR="00FC5A13" w:rsidRPr="00ED1CB4" w:rsidRDefault="00FC5A13" w:rsidP="00BE220F">
      <w:pPr>
        <w:tabs>
          <w:tab w:val="left" w:pos="0"/>
        </w:tabs>
        <w:spacing w:after="120"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“Бейзмент” ХХК нь “Хөтөл” ХХК болон нэрээ өөрчилсөн бөгөөд “Цемент шохой” ХК-ийн 2017 оны 06 дугаар сарын 19-ний өдрийн Хувьцаа эзэмшигчдийн хурлын тогтоолоор 2,870,840,893 ширхэг хувьцааг 100% эзэмшиж, холбогдох бүртгэлийг 2017 оны 12 дугаар сарын 15-ны өдрийн Санхүүгийн зохицуулах хорооны 240 дүгээр тогтоолоор Үнэт цаасны төвлөрсөн хадгаламжийн төвд бүртгүүлсэн. “Хөтөл” ХХК нь 2018 оны 9 сард “Цемент шохой” ХК дахь өөрийн эзэмшлийн хувьцаанаас 6,000,000 ширхэг хувьцааг “Гриндинг процесс” ХХК-нд худалдсан. </w:t>
      </w:r>
    </w:p>
    <w:p w14:paraId="14FF6835" w14:textId="77777777" w:rsidR="00FC5A13" w:rsidRPr="00ED1CB4" w:rsidRDefault="00FC5A13" w:rsidP="00BE220F">
      <w:pPr>
        <w:tabs>
          <w:tab w:val="left" w:pos="0"/>
        </w:tabs>
        <w:spacing w:after="120"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“Хөтөл” ХХК-ийн цор ганц хувьцаа эзэмшигч М.Бөх-Очирын 2018 оны 11 дүгээр сарын 06-ны өдрийн 01/2017 дугаартай шийдвэрээр компанийн дэд захирал Г.Ганзоригт итгэмжлэл олгосон боловч Иргэний хуулийн 67 дугаар зүйлийн 67.2.3-т заасны дагуу төлөөлүүлэгч М.Бөх-Очир 2018 оны 11 дүгээр сарын 15-ны өдөр нас барснаар төлөөлөх эрх дуусгавар болсон байна.</w:t>
      </w:r>
    </w:p>
    <w:p w14:paraId="254D7FD7" w14:textId="77777777" w:rsidR="00FC5A13" w:rsidRPr="00ED1CB4" w:rsidRDefault="00FC5A13" w:rsidP="00BE220F">
      <w:pPr>
        <w:tabs>
          <w:tab w:val="left" w:pos="0"/>
        </w:tabs>
        <w:spacing w:after="120" w:line="240" w:lineRule="auto"/>
        <w:ind w:firstLine="567"/>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“Хөтөлийн цемент шохой” ХК-ийн үйл ажиллагаа хэвийн явагдаж байгаа бөгөөд Монгол банкны зээлийн мэдээллийн сангаас авсан лавлагаагаар зээлийн үлдэгдэлгүй байна.</w:t>
      </w:r>
    </w:p>
    <w:p w14:paraId="292E12A1" w14:textId="34C9511E" w:rsidR="00FC5A13" w:rsidRPr="00ED1CB4" w:rsidRDefault="009575BE" w:rsidP="00BE220F">
      <w:pPr>
        <w:tabs>
          <w:tab w:val="left" w:pos="0"/>
        </w:tabs>
        <w:spacing w:after="120" w:line="240" w:lineRule="auto"/>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ab/>
      </w:r>
      <w:r w:rsidR="00FC5A13" w:rsidRPr="00ED1CB4">
        <w:rPr>
          <w:rFonts w:ascii="Arial" w:hAnsi="Arial" w:cs="Arial"/>
          <w:b/>
          <w:bCs/>
          <w:color w:val="000000" w:themeColor="text1"/>
          <w:sz w:val="24"/>
          <w:szCs w:val="24"/>
          <w:lang w:val="mn-MN"/>
        </w:rPr>
        <w:t>“Хөтөл” ХХК (Бейзмент)-ийн Хөгжлийн банкнаас авсан зээлийн тухай</w:t>
      </w:r>
    </w:p>
    <w:p w14:paraId="59999D03" w14:textId="66F43641" w:rsidR="009575BE" w:rsidRPr="00ED1CB4" w:rsidRDefault="009575BE" w:rsidP="00BE220F">
      <w:pPr>
        <w:tabs>
          <w:tab w:val="left" w:pos="0"/>
        </w:tabs>
        <w:spacing w:after="120" w:line="240" w:lineRule="auto"/>
        <w:jc w:val="both"/>
        <w:rPr>
          <w:rFonts w:ascii="Arial" w:hAnsi="Arial" w:cs="Arial"/>
          <w:b/>
          <w:bCs/>
          <w:color w:val="000000" w:themeColor="text1"/>
          <w:sz w:val="24"/>
          <w:szCs w:val="24"/>
          <w:lang w:val="mn-MN"/>
        </w:rPr>
      </w:pPr>
      <w:bookmarkStart w:id="1" w:name="_Hlk99558429"/>
      <w:r w:rsidRPr="00ED1CB4">
        <w:rPr>
          <w:rFonts w:ascii="Arial" w:hAnsi="Arial" w:cs="Arial"/>
          <w:color w:val="000000" w:themeColor="text1"/>
          <w:sz w:val="24"/>
          <w:szCs w:val="24"/>
          <w:lang w:val="mn-MN"/>
        </w:rPr>
        <w:tab/>
      </w:r>
      <w:r w:rsidR="00FC5A13" w:rsidRPr="00ED1CB4">
        <w:rPr>
          <w:rFonts w:ascii="Arial" w:hAnsi="Arial" w:cs="Arial"/>
          <w:color w:val="000000" w:themeColor="text1"/>
          <w:sz w:val="24"/>
          <w:szCs w:val="24"/>
          <w:lang w:val="mn-MN"/>
        </w:rPr>
        <w:t xml:space="preserve">Монгол Улсын Хөгжлийн банкнаас мэдээлснээр “Бейзмент” ХХК-нд 2010 онд олгосон 61.3 сая ам.долларын зээл, зээлийн хүүг хугацаандаа төлөөгүй, зээлийн гэрээний хугацаа дууссан боловч өр нь нийт </w:t>
      </w:r>
      <w:r w:rsidR="00FC5A13" w:rsidRPr="00ED1CB4">
        <w:rPr>
          <w:rFonts w:ascii="Arial" w:hAnsi="Arial" w:cs="Arial"/>
          <w:b/>
          <w:bCs/>
          <w:color w:val="000000" w:themeColor="text1"/>
          <w:sz w:val="24"/>
          <w:szCs w:val="24"/>
          <w:lang w:val="mn-MN"/>
        </w:rPr>
        <w:t>295 тэрбум</w:t>
      </w:r>
      <w:r w:rsidR="00FC5A13" w:rsidRPr="00ED1CB4">
        <w:rPr>
          <w:rFonts w:ascii="Arial" w:hAnsi="Arial" w:cs="Arial"/>
          <w:color w:val="000000" w:themeColor="text1"/>
          <w:sz w:val="24"/>
          <w:szCs w:val="24"/>
          <w:lang w:val="mn-MN"/>
        </w:rPr>
        <w:t xml:space="preserve"> төгрөг</w:t>
      </w:r>
      <w:r w:rsidRPr="00ED1CB4">
        <w:rPr>
          <w:rFonts w:ascii="Arial" w:hAnsi="Arial" w:cs="Arial"/>
          <w:color w:val="000000" w:themeColor="text1"/>
          <w:sz w:val="24"/>
          <w:szCs w:val="24"/>
          <w:lang w:val="mn-MN"/>
        </w:rPr>
        <w:t>т хүрсэн бөгөөд цаашид ч нэмэгдэхээр</w:t>
      </w:r>
      <w:r w:rsidR="00FC5A13" w:rsidRPr="00ED1CB4">
        <w:rPr>
          <w:rFonts w:ascii="Arial" w:hAnsi="Arial" w:cs="Arial"/>
          <w:color w:val="000000" w:themeColor="text1"/>
          <w:sz w:val="24"/>
          <w:szCs w:val="24"/>
          <w:lang w:val="mn-MN"/>
        </w:rPr>
        <w:t xml:space="preserve"> байна. </w:t>
      </w:r>
    </w:p>
    <w:p w14:paraId="78D70A63" w14:textId="77777777" w:rsidR="009575BE" w:rsidRPr="00ED1CB4" w:rsidRDefault="009575BE" w:rsidP="00BE220F">
      <w:pPr>
        <w:tabs>
          <w:tab w:val="left" w:pos="0"/>
        </w:tabs>
        <w:spacing w:after="120" w:line="240" w:lineRule="auto"/>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ab/>
      </w:r>
      <w:r w:rsidR="00FC5A13" w:rsidRPr="00ED1CB4">
        <w:rPr>
          <w:rFonts w:ascii="Arial" w:hAnsi="Arial" w:cs="Arial"/>
          <w:color w:val="000000" w:themeColor="text1"/>
          <w:sz w:val="24"/>
          <w:szCs w:val="24"/>
          <w:lang w:val="mn-MN"/>
        </w:rPr>
        <w:t>“Бейзмент” ХХК нь өмч хувьчлалд оролцохоос өмнө Худалдаа хөгжлийн банкнаас авсан 34 сая, хятадын CHIMEG компаниас авсан 21.5 сая ам.долларын зэрэг нийт 61.0 сая ам.долларын зээлийг Хөгжлийн банкнаас авсан зээлийн эх үүсвэрээр барагдуулсан байна.</w:t>
      </w:r>
      <w:bookmarkEnd w:id="1"/>
    </w:p>
    <w:p w14:paraId="2B643241" w14:textId="4DE01127" w:rsidR="006A199B" w:rsidRPr="00ED1CB4" w:rsidRDefault="009575BE" w:rsidP="00BE220F">
      <w:pPr>
        <w:tabs>
          <w:tab w:val="left" w:pos="720"/>
        </w:tabs>
        <w:spacing w:after="120" w:line="240" w:lineRule="auto"/>
        <w:ind w:firstLine="630"/>
        <w:jc w:val="both"/>
        <w:rPr>
          <w:rFonts w:ascii="Arial" w:hAnsi="Arial" w:cs="Arial"/>
          <w:b/>
          <w:bCs/>
          <w:color w:val="000000" w:themeColor="text1"/>
          <w:sz w:val="24"/>
          <w:szCs w:val="24"/>
          <w:lang w:val="mn-MN"/>
        </w:rPr>
      </w:pPr>
      <w:r w:rsidRPr="00ED1CB4">
        <w:rPr>
          <w:rFonts w:ascii="Arial" w:hAnsi="Arial" w:cs="Arial"/>
          <w:b/>
          <w:bCs/>
          <w:color w:val="000000" w:themeColor="text1"/>
          <w:sz w:val="24"/>
          <w:szCs w:val="24"/>
          <w:lang w:val="mn-MN"/>
        </w:rPr>
        <w:tab/>
      </w:r>
      <w:r w:rsidR="006A199B" w:rsidRPr="00ED1CB4">
        <w:rPr>
          <w:rFonts w:ascii="Arial" w:hAnsi="Arial" w:cs="Arial"/>
          <w:b/>
          <w:bCs/>
          <w:color w:val="000000" w:themeColor="text1"/>
          <w:sz w:val="24"/>
          <w:szCs w:val="24"/>
          <w:lang w:val="mn-MN"/>
        </w:rPr>
        <w:t>Х</w:t>
      </w:r>
      <w:r w:rsidR="006A199B" w:rsidRPr="00ED1CB4">
        <w:rPr>
          <w:rFonts w:ascii="Arial" w:hAnsi="Arial" w:cs="Arial"/>
          <w:b/>
          <w:bCs/>
          <w:color w:val="000000" w:themeColor="text1"/>
          <w:sz w:val="24"/>
          <w:szCs w:val="24"/>
          <w:shd w:val="clear" w:color="auto" w:fill="FFFFFF"/>
          <w:lang w:val="mn-MN"/>
        </w:rPr>
        <w:t>увьчлалыг дараах үндэслэлээр хууль зөрчсөн гэж үзэхээр байна. Үүнд.</w:t>
      </w:r>
    </w:p>
    <w:p w14:paraId="221C35CD" w14:textId="27FEF051" w:rsidR="006A199B" w:rsidRPr="00ED1CB4" w:rsidRDefault="006A199B" w:rsidP="00BE220F">
      <w:pPr>
        <w:tabs>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 xml:space="preserve">1. Улсын Их Хурал, Засгийн газар, Төрийн өмчийн хорооны шийдвэрүүд нь </w:t>
      </w:r>
      <w:bookmarkStart w:id="2" w:name="_Hlk98599328"/>
      <w:r w:rsidRPr="00ED1CB4">
        <w:rPr>
          <w:rFonts w:ascii="Arial" w:hAnsi="Arial" w:cs="Arial"/>
          <w:color w:val="000000" w:themeColor="text1"/>
          <w:sz w:val="24"/>
          <w:szCs w:val="24"/>
          <w:lang w:val="mn-MN"/>
        </w:rPr>
        <w:t xml:space="preserve">Төрийн болон орон нутгийн өмчийн тухай </w:t>
      </w:r>
      <w:bookmarkEnd w:id="2"/>
      <w:r w:rsidRPr="00ED1CB4">
        <w:rPr>
          <w:rFonts w:ascii="Arial" w:hAnsi="Arial" w:cs="Arial"/>
          <w:color w:val="000000" w:themeColor="text1"/>
          <w:sz w:val="24"/>
          <w:szCs w:val="24"/>
          <w:lang w:val="mn-MN"/>
        </w:rPr>
        <w:t xml:space="preserve">хуулийн 34 дүгээр зүйлийн 1 дэх хэсэгт заасан хувьчлалын аргыг дангаар буюу хослуулан хэрэглэхийг зөрчиж “Бейзмент” ХХК-д давуу байдал бий болгосон байна. Мөн хуулийн 56 дугаар зүйлийн 1 дэх хэсэгт төрд ногдох хувьцаа, ногдол хувийг чөлөөтэй, эсхүл багцалсан хэлбэрт оруулан биржээр, биржийн гадуур арилжиж худалдана </w:t>
      </w:r>
    </w:p>
    <w:p w14:paraId="2F48C839" w14:textId="559DAC30" w:rsidR="006A199B" w:rsidRPr="00ED1CB4" w:rsidRDefault="006A199B" w:rsidP="00BE220F">
      <w:pPr>
        <w:tabs>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2. Хувьчлал явуулахдаа Төрийн болон орон нутгийн өмчийн тухай хуулийн 36 дугаар зүйлийн 1 дэх хэсэгт хувьчлах хөрөнгийн талаар мэдээлэл хүргүүлэхээр заасныг хэрэгжүүлээгүй. Ялангуяа хувьцаатай холбоотой мэдээллийг хувьчлах үйл ажиллагаа эхлэхээс 30-аас доошгүй хоногийн өмнө төр, засгийн газрын албан ёсны хэвлэл, мэдээллийн хэрэгслээр нийтэд сонордуулах заалт хэрэгжээгүй.</w:t>
      </w:r>
    </w:p>
    <w:p w14:paraId="163608E1" w14:textId="5F848391" w:rsidR="006A199B" w:rsidRPr="00ED1CB4" w:rsidRDefault="006A199B" w:rsidP="00BE220F">
      <w:pPr>
        <w:tabs>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lastRenderedPageBreak/>
        <w:t xml:space="preserve">3. Төрийн болон орон нутгийн өмчийн тухай хуулийн 62 дугаар зүйлийн 1 дэх хэсгийн 6-д зааснаар хувьчлан авагчид хуульд зааснаас илүү хөнгөлөлт, давуу эрх олгосон гэж үзэх үндэслэл байна. Учир нь ганцхан хөрөнгө оруулагчид шууд худалдах биш сонгон шалгаруулалт явуулж, ялсан этгээд нь хөрөнгө оруулагчид төлбөрийг буцаан төлөх боломж байсан. Хөрөнгө оруулагчийн оруулсан хөрөнгө, өр төлбөр нь “Бейзмент” ХХК-д давуу тал болоод зогсохгүй төрийн өмчит компанийн үнэ цэнийг бууруулах үзүүлэлт болсон байна. </w:t>
      </w:r>
    </w:p>
    <w:p w14:paraId="31FF4EDF" w14:textId="2CABD31F" w:rsidR="006A199B" w:rsidRPr="00ED1CB4" w:rsidRDefault="006A199B" w:rsidP="00BE220F">
      <w:pPr>
        <w:tabs>
          <w:tab w:val="left" w:pos="720"/>
        </w:tabs>
        <w:spacing w:after="120" w:line="240" w:lineRule="auto"/>
        <w:ind w:firstLine="63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4. Төрийн болон орон нутгийн өмчийн тухай 62 дугаар зүйлийн 1 дэх хэсгийн 4 дэх заалт, Төрийн өмчийн хорооны 608 дугаар тогтоолд заасны дагуу төлбөрийг хуваарийн дагуу хийгээгүй (гэрээнд өр төлбөрийг гэрээ байгуулснаас хойш 30 хоногийн дотор төлөх, төлөөгүй тохиолдолд цуцлах заалтыг зөрчин өмчлөгчийн эрхийн гэрчилгээ олгосон, “Хөтөлийн цемент шохой” ХК-ийн өөрийнх нь үйл ажиллагааны борлуулалтаар нийт өр төлбөрийн 90%-ийг 2017 оны 03 дугаар сарын 24-нийг хүртэл хэсэгчлэн төлсөн)</w:t>
      </w:r>
    </w:p>
    <w:p w14:paraId="2A817E28" w14:textId="77777777" w:rsidR="006A199B" w:rsidRPr="00ED1CB4" w:rsidRDefault="006A199B" w:rsidP="00BE220F">
      <w:pPr>
        <w:pStyle w:val="ListParagraph"/>
        <w:tabs>
          <w:tab w:val="left" w:pos="990"/>
        </w:tabs>
        <w:spacing w:after="120" w:line="240" w:lineRule="auto"/>
        <w:contextualSpacing w:val="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-2012, 2014 оны ногдол ашгийн өр болох 1.04 тэрбум төгрөгийг 2015 оны 10 дугаар сарын 30-ны өдөр дотор төлөх ёстой байсан боловч 500 сая төгрөгийг 2015.11.02-ны өдөр, 168.1 сая төгрөгийг 2015.12.07-ны өдөр, 365 сая төгрөгийг 2015.12.24-ний өдөр тус тус төлсөн;</w:t>
      </w:r>
    </w:p>
    <w:p w14:paraId="44D18066" w14:textId="77777777" w:rsidR="006A199B" w:rsidRPr="00ED1CB4" w:rsidRDefault="006A199B" w:rsidP="00BE220F">
      <w:pPr>
        <w:pStyle w:val="ListParagraph"/>
        <w:tabs>
          <w:tab w:val="left" w:pos="990"/>
        </w:tabs>
        <w:spacing w:after="120" w:line="240" w:lineRule="auto"/>
        <w:contextualSpacing w:val="0"/>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-Татварын өрөнд 2016 онд 1.5 тэрбум төгрөгийг хугацаа хэтрүүлэн төлсөн бөгөөд 2016 оны жилийн эцсийн байдлаар 336 сая төгрөгийн үлдэгдэлтэй байсан. Богино хугацаат өр төлбөр 2016.12.31-ний өдрийн байдлаар 2.8 тэрбум төгрөгийн үлдэгдэлтэй байсан.</w:t>
      </w:r>
    </w:p>
    <w:p w14:paraId="3437A7EA" w14:textId="5CC714DF" w:rsidR="006A199B" w:rsidRPr="00ED1CB4" w:rsidRDefault="006A199B" w:rsidP="00BE220F">
      <w:pPr>
        <w:tabs>
          <w:tab w:val="left" w:pos="630"/>
          <w:tab w:val="left" w:pos="990"/>
        </w:tabs>
        <w:spacing w:after="120"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 xml:space="preserve">5.Худалдах, худалдан авах гэрээнд Хөтөлийн Дулааны станцын бүрэн бүтэн байдал, хэвийн ажиллагаа болон Хөтөл тосгоныг дулаанаар найдвартай хангах үүргийг хүлээж, Барилга, хот байгуулалтын яамтай гэрээ байгуулан ажиллах үүргийг хөрөнгө оруулагч талд үүрэг болгосон боловч ямар нэгэн гэрээ байгуулаагүй байна. </w:t>
      </w:r>
    </w:p>
    <w:p w14:paraId="5C789AFB" w14:textId="716FC61E" w:rsidR="00495CB9" w:rsidRPr="00ED1CB4" w:rsidRDefault="00495CB9" w:rsidP="00BE220F">
      <w:pPr>
        <w:tabs>
          <w:tab w:val="left" w:pos="630"/>
          <w:tab w:val="left" w:pos="990"/>
        </w:tabs>
        <w:spacing w:after="120"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r>
      <w:r w:rsidR="008C1450" w:rsidRPr="00ED1CB4">
        <w:rPr>
          <w:rFonts w:ascii="Arial" w:hAnsi="Arial" w:cs="Arial"/>
          <w:color w:val="000000" w:themeColor="text1"/>
          <w:sz w:val="24"/>
          <w:szCs w:val="24"/>
          <w:lang w:val="mn-MN"/>
        </w:rPr>
        <w:t>Иймд т</w:t>
      </w:r>
      <w:r w:rsidRPr="00ED1CB4">
        <w:rPr>
          <w:rFonts w:ascii="Arial" w:hAnsi="Arial" w:cs="Arial"/>
          <w:color w:val="000000" w:themeColor="text1"/>
          <w:sz w:val="24"/>
          <w:szCs w:val="24"/>
          <w:lang w:val="mn-MN"/>
        </w:rPr>
        <w:t>өрөөс дэмжиж явахад их хэмжээний зардал шаардагдах, санхүүгийн хувьд хүндрэлтэй болсон аж ахуйн нэгжийг хувийн өмчид шилжүүлж, төрд ирэх дарамт ачааллыг бууруулах, үйлдвэрлэлийн хэвийн үйл ажиллагааг хангах зорилгоор хувьчлалыг явуулсан боловч 41,1 тэрбум төгрөгийн өртэй байсан аж ахуйн нэгжийг 295 тэрбум</w:t>
      </w:r>
      <w:r w:rsidR="008C1450" w:rsidRPr="00ED1CB4">
        <w:rPr>
          <w:rStyle w:val="FootnoteReference"/>
          <w:rFonts w:ascii="Arial" w:hAnsi="Arial" w:cs="Arial"/>
          <w:color w:val="000000" w:themeColor="text1"/>
          <w:sz w:val="24"/>
          <w:szCs w:val="24"/>
          <w:lang w:val="mn-MN"/>
        </w:rPr>
        <w:footnoteReference w:id="2"/>
      </w:r>
      <w:r w:rsidRPr="00ED1CB4">
        <w:rPr>
          <w:rFonts w:ascii="Arial" w:hAnsi="Arial" w:cs="Arial"/>
          <w:color w:val="000000" w:themeColor="text1"/>
          <w:sz w:val="24"/>
          <w:szCs w:val="24"/>
          <w:lang w:val="mn-MN"/>
        </w:rPr>
        <w:t xml:space="preserve"> төгрөгийн өртэйгөөр</w:t>
      </w:r>
      <w:r w:rsidR="008C1450" w:rsidRPr="00ED1CB4">
        <w:rPr>
          <w:rFonts w:ascii="Arial" w:hAnsi="Arial" w:cs="Arial"/>
          <w:color w:val="000000" w:themeColor="text1"/>
          <w:sz w:val="24"/>
          <w:szCs w:val="24"/>
          <w:lang w:val="mn-MN"/>
        </w:rPr>
        <w:t xml:space="preserve"> төрд хүлээн авч төлөвлөсөн зорилгоосоо ухарсан байна.</w:t>
      </w:r>
    </w:p>
    <w:p w14:paraId="6860F913" w14:textId="77777777" w:rsidR="006A199B" w:rsidRPr="00ED1CB4" w:rsidRDefault="006A199B" w:rsidP="00BE220F">
      <w:pPr>
        <w:pStyle w:val="NoSpacing"/>
        <w:ind w:firstLine="720"/>
        <w:jc w:val="both"/>
        <w:rPr>
          <w:rFonts w:ascii="Arial" w:hAnsi="Arial" w:cs="Arial"/>
          <w:b/>
          <w:color w:val="000000" w:themeColor="text1"/>
          <w:szCs w:val="24"/>
          <w:lang w:val="mn-MN"/>
        </w:rPr>
      </w:pPr>
    </w:p>
    <w:p w14:paraId="10ACE080" w14:textId="2DE5EA79" w:rsidR="00470E1A" w:rsidRPr="00ED1CB4" w:rsidRDefault="00470E1A" w:rsidP="00BE220F">
      <w:pPr>
        <w:pStyle w:val="NoSpacing"/>
        <w:ind w:firstLine="720"/>
        <w:jc w:val="both"/>
        <w:rPr>
          <w:rFonts w:ascii="Arial" w:hAnsi="Arial" w:cs="Arial"/>
          <w:b/>
          <w:color w:val="000000" w:themeColor="text1"/>
          <w:szCs w:val="24"/>
          <w:lang w:val="mn-MN"/>
        </w:rPr>
      </w:pPr>
      <w:r w:rsidRPr="00ED1CB4">
        <w:rPr>
          <w:rFonts w:ascii="Arial" w:hAnsi="Arial" w:cs="Arial"/>
          <w:b/>
          <w:color w:val="000000" w:themeColor="text1"/>
          <w:szCs w:val="24"/>
          <w:lang w:val="mn-MN"/>
        </w:rPr>
        <w:t xml:space="preserve">Зургаа. Үнэлгээний зөвлөмж </w:t>
      </w:r>
    </w:p>
    <w:p w14:paraId="7B0143A3" w14:textId="77777777" w:rsidR="00BE220F" w:rsidRPr="00ED1CB4" w:rsidRDefault="006A199B" w:rsidP="00BE220F">
      <w:pPr>
        <w:tabs>
          <w:tab w:val="left" w:pos="567"/>
        </w:tabs>
        <w:spacing w:after="120" w:line="240" w:lineRule="auto"/>
        <w:jc w:val="both"/>
        <w:rPr>
          <w:rFonts w:ascii="Arial" w:hAnsi="Arial" w:cs="Arial"/>
          <w:color w:val="000000" w:themeColor="text1"/>
          <w:sz w:val="24"/>
          <w:szCs w:val="24"/>
          <w:lang w:val="mn-MN"/>
        </w:rPr>
      </w:pPr>
      <w:bookmarkStart w:id="3" w:name="_Hlk99476398"/>
      <w:bookmarkStart w:id="4" w:name="_Hlk99443395"/>
      <w:r w:rsidRPr="00ED1CB4">
        <w:rPr>
          <w:rFonts w:ascii="Arial" w:hAnsi="Arial" w:cs="Arial"/>
          <w:color w:val="000000" w:themeColor="text1"/>
          <w:sz w:val="24"/>
          <w:szCs w:val="24"/>
          <w:lang w:val="mn-MN"/>
        </w:rPr>
        <w:tab/>
      </w:r>
    </w:p>
    <w:p w14:paraId="15B5D3F7" w14:textId="35CD8EBF" w:rsidR="006A199B" w:rsidRPr="00ED1CB4" w:rsidRDefault="00BE220F" w:rsidP="00BE220F">
      <w:pPr>
        <w:tabs>
          <w:tab w:val="left" w:pos="567"/>
        </w:tabs>
        <w:spacing w:after="120" w:line="240" w:lineRule="auto"/>
        <w:jc w:val="both"/>
        <w:rPr>
          <w:rFonts w:ascii="Arial" w:hAnsi="Arial" w:cs="Arial"/>
          <w:color w:val="000000" w:themeColor="text1"/>
          <w:sz w:val="24"/>
          <w:szCs w:val="24"/>
          <w:lang w:val="mn-MN"/>
        </w:rPr>
      </w:pPr>
      <w:r w:rsidRPr="00ED1CB4">
        <w:rPr>
          <w:rFonts w:ascii="Arial" w:hAnsi="Arial" w:cs="Arial"/>
          <w:color w:val="000000" w:themeColor="text1"/>
          <w:sz w:val="24"/>
          <w:szCs w:val="24"/>
          <w:lang w:val="mn-MN"/>
        </w:rPr>
        <w:tab/>
        <w:t>“</w:t>
      </w:r>
      <w:r w:rsidR="006A199B" w:rsidRPr="00ED1CB4">
        <w:rPr>
          <w:rFonts w:ascii="Arial" w:hAnsi="Arial" w:cs="Arial"/>
          <w:color w:val="000000" w:themeColor="text1"/>
          <w:sz w:val="24"/>
          <w:szCs w:val="24"/>
          <w:lang w:val="mn-MN"/>
        </w:rPr>
        <w:t>Төрийн өмчийг 2015-2016 онд хувьчлах, өөрчлөн байгуулах үндсэн чиглэл батлах тухай</w:t>
      </w:r>
      <w:r w:rsidRPr="00ED1CB4">
        <w:rPr>
          <w:rFonts w:ascii="Arial" w:hAnsi="Arial" w:cs="Arial"/>
          <w:color w:val="000000" w:themeColor="text1"/>
          <w:sz w:val="24"/>
          <w:szCs w:val="24"/>
          <w:lang w:val="mn-MN"/>
        </w:rPr>
        <w:t>”</w:t>
      </w:r>
      <w:r w:rsidR="006A199B" w:rsidRPr="00ED1CB4">
        <w:rPr>
          <w:rFonts w:ascii="Arial" w:hAnsi="Arial" w:cs="Arial"/>
          <w:color w:val="000000" w:themeColor="text1"/>
          <w:sz w:val="24"/>
          <w:szCs w:val="24"/>
          <w:lang w:val="mn-MN"/>
        </w:rPr>
        <w:t xml:space="preserve"> </w:t>
      </w:r>
      <w:r w:rsidRPr="00ED1CB4">
        <w:rPr>
          <w:rFonts w:ascii="Arial" w:hAnsi="Arial" w:cs="Arial"/>
          <w:color w:val="000000" w:themeColor="text1"/>
          <w:sz w:val="24"/>
          <w:szCs w:val="24"/>
          <w:lang w:val="mn-MN"/>
        </w:rPr>
        <w:t>Улсын Их Хурлын</w:t>
      </w:r>
      <w:r w:rsidR="006A199B" w:rsidRPr="00ED1CB4">
        <w:rPr>
          <w:rFonts w:ascii="Arial" w:hAnsi="Arial" w:cs="Arial"/>
          <w:color w:val="000000" w:themeColor="text1"/>
          <w:sz w:val="24"/>
          <w:szCs w:val="24"/>
          <w:lang w:val="mn-MN"/>
        </w:rPr>
        <w:t xml:space="preserve"> 2015 оны 07 дугаар сарын 03-ны өдрийн 70 дугаар тогтоолын хавсралтын 4.17-д заасан “Хөтөлийн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 гэсэн </w:t>
      </w:r>
      <w:r w:rsidRPr="00ED1CB4">
        <w:rPr>
          <w:rFonts w:ascii="Arial" w:hAnsi="Arial" w:cs="Arial"/>
          <w:color w:val="000000" w:themeColor="text1"/>
          <w:sz w:val="24"/>
          <w:szCs w:val="24"/>
          <w:lang w:val="mn-MN"/>
        </w:rPr>
        <w:t>заалтыг</w:t>
      </w:r>
      <w:r w:rsidR="006A199B" w:rsidRPr="00ED1CB4">
        <w:rPr>
          <w:rFonts w:ascii="Arial" w:hAnsi="Arial" w:cs="Arial"/>
          <w:color w:val="000000" w:themeColor="text1"/>
          <w:sz w:val="24"/>
          <w:szCs w:val="24"/>
          <w:lang w:val="mn-MN"/>
        </w:rPr>
        <w:t xml:space="preserve"> </w:t>
      </w:r>
      <w:r w:rsidR="006F670A" w:rsidRPr="00ED1CB4">
        <w:rPr>
          <w:rFonts w:ascii="Arial" w:hAnsi="Arial" w:cs="Arial"/>
          <w:color w:val="000000" w:themeColor="text1"/>
          <w:sz w:val="24"/>
          <w:szCs w:val="24"/>
          <w:lang w:val="mn-MN"/>
        </w:rPr>
        <w:t>өнөөгийн нөхцөл байдал</w:t>
      </w:r>
      <w:r w:rsidRPr="00ED1CB4">
        <w:rPr>
          <w:rFonts w:ascii="Arial" w:hAnsi="Arial" w:cs="Arial"/>
          <w:color w:val="000000" w:themeColor="text1"/>
          <w:sz w:val="24"/>
          <w:szCs w:val="24"/>
          <w:lang w:val="mn-MN"/>
        </w:rPr>
        <w:t>, шаардлага</w:t>
      </w:r>
      <w:r w:rsidR="006F670A" w:rsidRPr="00ED1CB4">
        <w:rPr>
          <w:rFonts w:ascii="Arial" w:hAnsi="Arial" w:cs="Arial"/>
          <w:color w:val="000000" w:themeColor="text1"/>
          <w:sz w:val="24"/>
          <w:szCs w:val="24"/>
          <w:lang w:val="mn-MN"/>
        </w:rPr>
        <w:t xml:space="preserve">д нийцүүлэх болон </w:t>
      </w:r>
      <w:r w:rsidR="006A199B" w:rsidRPr="00ED1CB4">
        <w:rPr>
          <w:rFonts w:ascii="Arial" w:hAnsi="Arial" w:cs="Arial"/>
          <w:color w:val="000000" w:themeColor="text1"/>
          <w:sz w:val="24"/>
          <w:szCs w:val="24"/>
          <w:lang w:val="mn-MN"/>
        </w:rPr>
        <w:t>төрийн өмчийн эд хөрөнгийг хувьчлахтай холбогдох хуульд заасан арга хэлбэрийг зөрчиж, бусдад давуу эрх олгох байдлаар хувьчлах арга хэлбэрийг зааж өгсөн</w:t>
      </w:r>
      <w:r w:rsidR="00C357D2" w:rsidRPr="00ED1CB4">
        <w:rPr>
          <w:rFonts w:ascii="Arial" w:hAnsi="Arial" w:cs="Arial"/>
          <w:color w:val="000000" w:themeColor="text1"/>
          <w:sz w:val="24"/>
          <w:szCs w:val="24"/>
          <w:lang w:val="mn-MN"/>
        </w:rPr>
        <w:t>, улмаар хувьчлахаас өмнөх өр төлбөр хувьчилсны дараа төрд төлөх өр төлбөр нь 7 дахин нэмэгдсэн</w:t>
      </w:r>
      <w:r w:rsidR="006A199B" w:rsidRPr="00ED1CB4">
        <w:rPr>
          <w:rFonts w:ascii="Arial" w:hAnsi="Arial" w:cs="Arial"/>
          <w:color w:val="000000" w:themeColor="text1"/>
          <w:sz w:val="24"/>
          <w:szCs w:val="24"/>
          <w:lang w:val="mn-MN"/>
        </w:rPr>
        <w:t xml:space="preserve"> </w:t>
      </w:r>
      <w:r w:rsidRPr="00ED1CB4">
        <w:rPr>
          <w:rFonts w:ascii="Arial" w:hAnsi="Arial" w:cs="Arial"/>
          <w:color w:val="000000" w:themeColor="text1"/>
          <w:sz w:val="24"/>
          <w:szCs w:val="24"/>
          <w:lang w:val="mn-MN"/>
        </w:rPr>
        <w:t xml:space="preserve">зөрчилтэй хувьчлал явагдсан үндэслэлээр хүчингүй болгосон </w:t>
      </w:r>
      <w:r w:rsidR="006A199B" w:rsidRPr="00ED1CB4">
        <w:rPr>
          <w:rFonts w:ascii="Arial" w:hAnsi="Arial" w:cs="Arial"/>
          <w:color w:val="000000" w:themeColor="text1"/>
          <w:sz w:val="24"/>
          <w:szCs w:val="24"/>
          <w:lang w:val="mn-MN"/>
        </w:rPr>
        <w:t xml:space="preserve">тул </w:t>
      </w:r>
      <w:bookmarkEnd w:id="3"/>
      <w:bookmarkEnd w:id="4"/>
      <w:r w:rsidRPr="00ED1CB4">
        <w:rPr>
          <w:rFonts w:ascii="Arial" w:hAnsi="Arial" w:cs="Arial"/>
          <w:color w:val="000000" w:themeColor="text1"/>
          <w:sz w:val="24"/>
          <w:szCs w:val="24"/>
          <w:lang w:val="mn-MN"/>
        </w:rPr>
        <w:lastRenderedPageBreak/>
        <w:t xml:space="preserve">“Төрийн өмчийг 2015-2016 онд хувьчлах, өөрчлөн байгуулах үндсэн чиглэл”-ээс </w:t>
      </w:r>
      <w:r w:rsidR="00C357D2" w:rsidRPr="00ED1CB4">
        <w:rPr>
          <w:rFonts w:ascii="Arial" w:hAnsi="Arial" w:cs="Arial"/>
          <w:color w:val="000000" w:themeColor="text1"/>
          <w:sz w:val="24"/>
          <w:szCs w:val="24"/>
          <w:lang w:val="mn-MN"/>
        </w:rPr>
        <w:t>хасах нь зүйтэй байна.</w:t>
      </w:r>
    </w:p>
    <w:p w14:paraId="00A21207" w14:textId="4B4DFCD0" w:rsidR="0019279C" w:rsidRPr="00ED1CB4" w:rsidRDefault="0019279C" w:rsidP="00BE220F">
      <w:pPr>
        <w:tabs>
          <w:tab w:val="left" w:pos="990"/>
        </w:tabs>
        <w:spacing w:after="120" w:line="240" w:lineRule="auto"/>
        <w:ind w:firstLine="630"/>
        <w:jc w:val="both"/>
        <w:rPr>
          <w:rFonts w:ascii="Arial" w:hAnsi="Arial" w:cs="Arial"/>
          <w:color w:val="000000" w:themeColor="text1"/>
          <w:sz w:val="24"/>
          <w:szCs w:val="24"/>
          <w:lang w:val="mn-MN"/>
        </w:rPr>
      </w:pPr>
    </w:p>
    <w:p w14:paraId="09E8A2CA" w14:textId="3CB9D016" w:rsidR="00ED1CB4" w:rsidRPr="00ED1CB4" w:rsidRDefault="00ED1CB4" w:rsidP="00BE220F">
      <w:pPr>
        <w:tabs>
          <w:tab w:val="left" w:pos="990"/>
        </w:tabs>
        <w:spacing w:after="120" w:line="240" w:lineRule="auto"/>
        <w:ind w:firstLine="630"/>
        <w:jc w:val="both"/>
        <w:rPr>
          <w:rFonts w:ascii="Arial" w:hAnsi="Arial" w:cs="Arial"/>
          <w:color w:val="000000" w:themeColor="text1"/>
          <w:sz w:val="24"/>
          <w:szCs w:val="24"/>
          <w:lang w:val="mn-MN"/>
        </w:rPr>
      </w:pPr>
    </w:p>
    <w:p w14:paraId="3F70B861" w14:textId="71BC989A" w:rsidR="00ED1CB4" w:rsidRPr="00ED1CB4" w:rsidRDefault="00ED1CB4" w:rsidP="00ED1CB4">
      <w:pPr>
        <w:tabs>
          <w:tab w:val="left" w:pos="990"/>
        </w:tabs>
        <w:spacing w:after="120" w:line="240" w:lineRule="auto"/>
        <w:ind w:firstLine="630"/>
        <w:jc w:val="center"/>
        <w:rPr>
          <w:rFonts w:ascii="Arial" w:hAnsi="Arial" w:cs="Arial"/>
          <w:color w:val="000000" w:themeColor="text1"/>
          <w:sz w:val="24"/>
          <w:szCs w:val="24"/>
        </w:rPr>
      </w:pPr>
      <w:r w:rsidRPr="00ED1CB4">
        <w:rPr>
          <w:rFonts w:ascii="Arial" w:hAnsi="Arial" w:cs="Arial"/>
          <w:color w:val="000000" w:themeColor="text1"/>
          <w:sz w:val="24"/>
          <w:szCs w:val="24"/>
        </w:rPr>
        <w:t>-----o0o-----</w:t>
      </w:r>
    </w:p>
    <w:p w14:paraId="53D6A265" w14:textId="6C20D7A7" w:rsidR="00ED1CB4" w:rsidRPr="00ED1CB4" w:rsidRDefault="00ED1CB4" w:rsidP="00BE220F">
      <w:pPr>
        <w:tabs>
          <w:tab w:val="left" w:pos="990"/>
        </w:tabs>
        <w:spacing w:after="120" w:line="240" w:lineRule="auto"/>
        <w:ind w:firstLine="630"/>
        <w:jc w:val="both"/>
        <w:rPr>
          <w:rFonts w:ascii="Arial" w:hAnsi="Arial" w:cs="Arial"/>
          <w:color w:val="000000" w:themeColor="text1"/>
          <w:sz w:val="24"/>
          <w:szCs w:val="24"/>
          <w:lang w:val="mn-MN"/>
        </w:rPr>
      </w:pPr>
    </w:p>
    <w:p w14:paraId="42FE0F23" w14:textId="77777777" w:rsidR="00ED1CB4" w:rsidRPr="00ED1CB4" w:rsidRDefault="00ED1CB4" w:rsidP="00BE220F">
      <w:pPr>
        <w:tabs>
          <w:tab w:val="left" w:pos="990"/>
        </w:tabs>
        <w:spacing w:after="120" w:line="240" w:lineRule="auto"/>
        <w:ind w:firstLine="630"/>
        <w:jc w:val="both"/>
        <w:rPr>
          <w:rFonts w:ascii="Arial" w:hAnsi="Arial" w:cs="Arial"/>
          <w:color w:val="000000" w:themeColor="text1"/>
          <w:sz w:val="24"/>
          <w:szCs w:val="24"/>
          <w:lang w:val="mn-MN"/>
        </w:rPr>
      </w:pPr>
    </w:p>
    <w:sectPr w:rsidR="00ED1CB4" w:rsidRPr="00ED1CB4" w:rsidSect="000A4BAC">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F19D" w14:textId="77777777" w:rsidR="00BA1E7C" w:rsidRDefault="00BA1E7C" w:rsidP="00097306">
      <w:pPr>
        <w:spacing w:after="0" w:line="240" w:lineRule="auto"/>
      </w:pPr>
      <w:r>
        <w:separator/>
      </w:r>
    </w:p>
  </w:endnote>
  <w:endnote w:type="continuationSeparator" w:id="0">
    <w:p w14:paraId="5AF257B9" w14:textId="77777777" w:rsidR="00BA1E7C" w:rsidRDefault="00BA1E7C" w:rsidP="0009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FBCF" w14:textId="77777777" w:rsidR="00BA1E7C" w:rsidRDefault="00BA1E7C" w:rsidP="00097306">
      <w:pPr>
        <w:spacing w:after="0" w:line="240" w:lineRule="auto"/>
      </w:pPr>
      <w:r>
        <w:separator/>
      </w:r>
    </w:p>
  </w:footnote>
  <w:footnote w:type="continuationSeparator" w:id="0">
    <w:p w14:paraId="012125F6" w14:textId="77777777" w:rsidR="00BA1E7C" w:rsidRDefault="00BA1E7C" w:rsidP="00097306">
      <w:pPr>
        <w:spacing w:after="0" w:line="240" w:lineRule="auto"/>
      </w:pPr>
      <w:r>
        <w:continuationSeparator/>
      </w:r>
    </w:p>
  </w:footnote>
  <w:footnote w:id="1">
    <w:p w14:paraId="7212C271" w14:textId="4FF20729" w:rsidR="00870B80" w:rsidRPr="005C404A" w:rsidRDefault="00097306" w:rsidP="00870B80">
      <w:pPr>
        <w:pStyle w:val="NormalWeb"/>
        <w:spacing w:line="180" w:lineRule="atLeast"/>
        <w:jc w:val="both"/>
        <w:rPr>
          <w:color w:val="000000"/>
          <w:sz w:val="18"/>
          <w:szCs w:val="18"/>
          <w:lang w:val="mn-MN"/>
        </w:rPr>
      </w:pPr>
      <w:r>
        <w:rPr>
          <w:rStyle w:val="FootnoteReference"/>
        </w:rPr>
        <w:footnoteRef/>
      </w:r>
      <w:r w:rsidRPr="008A29F8">
        <w:rPr>
          <w:lang w:val="mn-MN"/>
        </w:rPr>
        <w:t xml:space="preserve"> </w:t>
      </w:r>
      <w:r w:rsidRPr="0069487B">
        <w:rPr>
          <w:sz w:val="18"/>
          <w:szCs w:val="18"/>
          <w:lang w:val="mn-MN"/>
        </w:rPr>
        <w:t>-</w:t>
      </w:r>
      <w:r w:rsidR="00631CDB" w:rsidRPr="0069487B">
        <w:rPr>
          <w:sz w:val="18"/>
          <w:szCs w:val="18"/>
          <w:lang w:val="mn-MN"/>
        </w:rPr>
        <w:t>ЗГ-ын 2016 оны 5</w:t>
      </w:r>
      <w:r w:rsidR="0069487B" w:rsidRPr="0069487B">
        <w:rPr>
          <w:sz w:val="18"/>
          <w:szCs w:val="18"/>
          <w:lang w:val="mn-MN"/>
        </w:rPr>
        <w:t>9</w:t>
      </w:r>
      <w:r w:rsidR="00631CDB" w:rsidRPr="0069487B">
        <w:rPr>
          <w:sz w:val="18"/>
          <w:szCs w:val="18"/>
          <w:lang w:val="mn-MN"/>
        </w:rPr>
        <w:t xml:space="preserve"> д</w:t>
      </w:r>
      <w:r w:rsidR="0069487B" w:rsidRPr="0069487B">
        <w:rPr>
          <w:sz w:val="18"/>
          <w:szCs w:val="18"/>
          <w:lang w:val="mn-MN"/>
        </w:rPr>
        <w:t>үгээ</w:t>
      </w:r>
      <w:r w:rsidR="00631CDB" w:rsidRPr="0069487B">
        <w:rPr>
          <w:sz w:val="18"/>
          <w:szCs w:val="18"/>
          <w:lang w:val="mn-MN"/>
        </w:rPr>
        <w:t>р тогтоол</w:t>
      </w:r>
      <w:r w:rsidR="0069487B" w:rsidRPr="0069487B">
        <w:rPr>
          <w:sz w:val="18"/>
          <w:szCs w:val="18"/>
          <w:lang w:val="mn-MN"/>
        </w:rPr>
        <w:t>:</w:t>
      </w:r>
      <w:r w:rsidR="00631CDB">
        <w:rPr>
          <w:lang w:val="mn-MN"/>
        </w:rPr>
        <w:t xml:space="preserve"> </w:t>
      </w:r>
      <w:r w:rsidR="00870B80" w:rsidRPr="005C404A">
        <w:rPr>
          <w:color w:val="000000"/>
          <w:sz w:val="18"/>
          <w:szCs w:val="18"/>
          <w:lang w:val="mn-MN"/>
        </w:rPr>
        <w:t>3.5.3.2.хууль тогтоомж батлагдахаас өмнөх болон хууль тогтоомж батлагдсанаас хойш-хууль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 хийхийг хэлнэ.</w:t>
      </w:r>
    </w:p>
    <w:p w14:paraId="04606EFB" w14:textId="54BA4E47" w:rsidR="00097306" w:rsidRPr="00104B9C" w:rsidRDefault="00870B80" w:rsidP="00870B80">
      <w:pPr>
        <w:pStyle w:val="NoSpacing"/>
        <w:jc w:val="both"/>
        <w:rPr>
          <w:lang w:val="mn-MN"/>
        </w:rPr>
      </w:pPr>
      <w:r w:rsidRPr="005C404A">
        <w:rPr>
          <w:color w:val="000000"/>
          <w:sz w:val="18"/>
          <w:szCs w:val="18"/>
          <w:lang w:val="mn-MN"/>
        </w:rPr>
        <w:t>Байвал зохих үзүүлэлтийг хууль тогтоомжид тодорхой заагаагүй бол хууль тогтоомж батлагдахаас өмнөх үеийн нөхцөл байдал, тоо баримтыг хууль тогтоомж хүчин төгөлдөр үйлчилж эхэлснээс хойш бий болсон үеийн нөхцөл байдал, тоо баримттай харьцуулж болно</w:t>
      </w:r>
    </w:p>
  </w:footnote>
  <w:footnote w:id="2">
    <w:p w14:paraId="7AB86BA3" w14:textId="51AC4E97" w:rsidR="008C1450" w:rsidRPr="008C1450" w:rsidRDefault="008C1450">
      <w:pPr>
        <w:pStyle w:val="FootnoteText"/>
        <w:rPr>
          <w:lang w:val="mn-MN"/>
        </w:rPr>
      </w:pPr>
      <w:r>
        <w:rPr>
          <w:rStyle w:val="FootnoteReference"/>
        </w:rPr>
        <w:footnoteRef/>
      </w:r>
      <w:r>
        <w:t xml:space="preserve"> </w:t>
      </w:r>
      <w:r>
        <w:rPr>
          <w:lang w:val="mn-MN"/>
        </w:rPr>
        <w:t xml:space="preserve">Хөгжлийн </w:t>
      </w:r>
      <w:r>
        <w:rPr>
          <w:lang w:val="mn-MN"/>
        </w:rPr>
        <w:t>банкны 2022.03.18-ны өдрийн 3/447 тоот албан бичиг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532"/>
    <w:multiLevelType w:val="hybridMultilevel"/>
    <w:tmpl w:val="73B4659C"/>
    <w:lvl w:ilvl="0" w:tplc="E09085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720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53"/>
    <w:rsid w:val="00022D76"/>
    <w:rsid w:val="00044C4D"/>
    <w:rsid w:val="00070BF1"/>
    <w:rsid w:val="00097306"/>
    <w:rsid w:val="000A4BAC"/>
    <w:rsid w:val="000A7876"/>
    <w:rsid w:val="000B275D"/>
    <w:rsid w:val="000B3CEF"/>
    <w:rsid w:val="000B6A49"/>
    <w:rsid w:val="000E7324"/>
    <w:rsid w:val="000F103C"/>
    <w:rsid w:val="00102BB2"/>
    <w:rsid w:val="00103AB3"/>
    <w:rsid w:val="00106EE8"/>
    <w:rsid w:val="00117D08"/>
    <w:rsid w:val="00123B9F"/>
    <w:rsid w:val="00133D1C"/>
    <w:rsid w:val="001735D9"/>
    <w:rsid w:val="0019279C"/>
    <w:rsid w:val="001B71C2"/>
    <w:rsid w:val="001D7FE5"/>
    <w:rsid w:val="001F5335"/>
    <w:rsid w:val="00234493"/>
    <w:rsid w:val="00234E4C"/>
    <w:rsid w:val="00294E99"/>
    <w:rsid w:val="002B27A7"/>
    <w:rsid w:val="003018A6"/>
    <w:rsid w:val="0032052B"/>
    <w:rsid w:val="00361C72"/>
    <w:rsid w:val="00370173"/>
    <w:rsid w:val="00384316"/>
    <w:rsid w:val="00387613"/>
    <w:rsid w:val="003C7021"/>
    <w:rsid w:val="003E1E53"/>
    <w:rsid w:val="003F5E45"/>
    <w:rsid w:val="00401412"/>
    <w:rsid w:val="00415A9F"/>
    <w:rsid w:val="0042394E"/>
    <w:rsid w:val="004354DB"/>
    <w:rsid w:val="004437E7"/>
    <w:rsid w:val="00470E1A"/>
    <w:rsid w:val="004950CF"/>
    <w:rsid w:val="00495CB9"/>
    <w:rsid w:val="004B715F"/>
    <w:rsid w:val="004B78E3"/>
    <w:rsid w:val="00503046"/>
    <w:rsid w:val="00523FD0"/>
    <w:rsid w:val="00524540"/>
    <w:rsid w:val="00533FFC"/>
    <w:rsid w:val="00540128"/>
    <w:rsid w:val="00566A54"/>
    <w:rsid w:val="005762DF"/>
    <w:rsid w:val="005E75E5"/>
    <w:rsid w:val="00620AA8"/>
    <w:rsid w:val="00631CDB"/>
    <w:rsid w:val="00667B6D"/>
    <w:rsid w:val="0069487B"/>
    <w:rsid w:val="006960B2"/>
    <w:rsid w:val="006A199B"/>
    <w:rsid w:val="006A65B8"/>
    <w:rsid w:val="006B6D4B"/>
    <w:rsid w:val="006D7E40"/>
    <w:rsid w:val="006F670A"/>
    <w:rsid w:val="00700582"/>
    <w:rsid w:val="0070495F"/>
    <w:rsid w:val="00707F32"/>
    <w:rsid w:val="00714416"/>
    <w:rsid w:val="007716DC"/>
    <w:rsid w:val="0077536A"/>
    <w:rsid w:val="007830B7"/>
    <w:rsid w:val="007967FE"/>
    <w:rsid w:val="007C0CEB"/>
    <w:rsid w:val="00823F61"/>
    <w:rsid w:val="008322AC"/>
    <w:rsid w:val="00870B80"/>
    <w:rsid w:val="00875966"/>
    <w:rsid w:val="008771B7"/>
    <w:rsid w:val="00880CE6"/>
    <w:rsid w:val="00885E2E"/>
    <w:rsid w:val="008A1E7D"/>
    <w:rsid w:val="008A595B"/>
    <w:rsid w:val="008C1450"/>
    <w:rsid w:val="008D73C4"/>
    <w:rsid w:val="00946995"/>
    <w:rsid w:val="009575BE"/>
    <w:rsid w:val="00963EB0"/>
    <w:rsid w:val="0097252F"/>
    <w:rsid w:val="00992DE3"/>
    <w:rsid w:val="009A3EF5"/>
    <w:rsid w:val="009D26A2"/>
    <w:rsid w:val="009D78D4"/>
    <w:rsid w:val="00AE0D65"/>
    <w:rsid w:val="00AE1F79"/>
    <w:rsid w:val="00B22130"/>
    <w:rsid w:val="00B27BCE"/>
    <w:rsid w:val="00B34957"/>
    <w:rsid w:val="00B34EC0"/>
    <w:rsid w:val="00B61E92"/>
    <w:rsid w:val="00BA1E7C"/>
    <w:rsid w:val="00BE1912"/>
    <w:rsid w:val="00BE220F"/>
    <w:rsid w:val="00BF0907"/>
    <w:rsid w:val="00BF442B"/>
    <w:rsid w:val="00BF546C"/>
    <w:rsid w:val="00C2285F"/>
    <w:rsid w:val="00C357D2"/>
    <w:rsid w:val="00C63440"/>
    <w:rsid w:val="00D03B98"/>
    <w:rsid w:val="00D468E5"/>
    <w:rsid w:val="00D84E84"/>
    <w:rsid w:val="00DA42C5"/>
    <w:rsid w:val="00E1135A"/>
    <w:rsid w:val="00E12DDD"/>
    <w:rsid w:val="00E142EC"/>
    <w:rsid w:val="00E21D77"/>
    <w:rsid w:val="00E23826"/>
    <w:rsid w:val="00E50B5C"/>
    <w:rsid w:val="00E730F2"/>
    <w:rsid w:val="00EB05DD"/>
    <w:rsid w:val="00ED1CB4"/>
    <w:rsid w:val="00EE0F83"/>
    <w:rsid w:val="00F03C7C"/>
    <w:rsid w:val="00F04873"/>
    <w:rsid w:val="00F2233D"/>
    <w:rsid w:val="00F63202"/>
    <w:rsid w:val="00F71550"/>
    <w:rsid w:val="00F77E62"/>
    <w:rsid w:val="00FC5A13"/>
    <w:rsid w:val="00FC6A7D"/>
    <w:rsid w:val="00FE75DD"/>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5769"/>
  <w15:chartTrackingRefBased/>
  <w15:docId w15:val="{484B80E3-A473-40B1-9DDF-AA0E9028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0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0A7876"/>
    <w:rPr>
      <w:strike w:val="0"/>
      <w:dstrike w:val="0"/>
      <w:color w:val="000000"/>
      <w:u w:val="none"/>
      <w:effect w:val="none"/>
    </w:rPr>
  </w:style>
  <w:style w:type="paragraph" w:styleId="NormalWeb">
    <w:name w:val="Normal (Web)"/>
    <w:basedOn w:val="Normal"/>
    <w:uiPriority w:val="99"/>
    <w:unhideWhenUsed/>
    <w:rsid w:val="000A7876"/>
    <w:pPr>
      <w:spacing w:after="150" w:line="240" w:lineRule="auto"/>
    </w:pPr>
    <w:rPr>
      <w:rFonts w:ascii="Times New Roman" w:eastAsiaTheme="minorEastAsia" w:hAnsi="Times New Roman" w:cs="Times New Roman"/>
      <w:sz w:val="24"/>
      <w:szCs w:val="24"/>
    </w:rPr>
  </w:style>
  <w:style w:type="character" w:styleId="FootnoteReference">
    <w:name w:val="footnote reference"/>
    <w:uiPriority w:val="99"/>
    <w:semiHidden/>
    <w:unhideWhenUsed/>
    <w:rsid w:val="00097306"/>
    <w:rPr>
      <w:vertAlign w:val="superscript"/>
    </w:rPr>
  </w:style>
  <w:style w:type="paragraph" w:styleId="ListParagraph">
    <w:name w:val="List Paragraph"/>
    <w:aliases w:val="List Paragraph1,List Paragraph Num,Дэд гарчиг"/>
    <w:basedOn w:val="Normal"/>
    <w:link w:val="ListParagraphChar"/>
    <w:uiPriority w:val="34"/>
    <w:qFormat/>
    <w:rsid w:val="009A3EF5"/>
    <w:pPr>
      <w:ind w:left="720"/>
      <w:contextualSpacing/>
    </w:pPr>
  </w:style>
  <w:style w:type="table" w:styleId="TableGrid">
    <w:name w:val="Table Grid"/>
    <w:basedOn w:val="TableNormal"/>
    <w:uiPriority w:val="39"/>
    <w:rsid w:val="006A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4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540"/>
    <w:rPr>
      <w:sz w:val="20"/>
      <w:szCs w:val="20"/>
    </w:rPr>
  </w:style>
  <w:style w:type="character" w:customStyle="1" w:styleId="ListParagraphChar">
    <w:name w:val="List Paragraph Char"/>
    <w:aliases w:val="List Paragraph1 Char,List Paragraph Num Char,Дэд гарчиг Char"/>
    <w:basedOn w:val="DefaultParagraphFont"/>
    <w:link w:val="ListParagraph"/>
    <w:uiPriority w:val="34"/>
    <w:locked/>
    <w:rsid w:val="00FC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084">
      <w:bodyDiv w:val="1"/>
      <w:marLeft w:val="0"/>
      <w:marRight w:val="0"/>
      <w:marTop w:val="0"/>
      <w:marBottom w:val="0"/>
      <w:divBdr>
        <w:top w:val="none" w:sz="0" w:space="0" w:color="auto"/>
        <w:left w:val="none" w:sz="0" w:space="0" w:color="auto"/>
        <w:bottom w:val="none" w:sz="0" w:space="0" w:color="auto"/>
        <w:right w:val="none" w:sz="0" w:space="0" w:color="auto"/>
      </w:divBdr>
    </w:div>
    <w:div w:id="114444252">
      <w:bodyDiv w:val="1"/>
      <w:marLeft w:val="0"/>
      <w:marRight w:val="0"/>
      <w:marTop w:val="0"/>
      <w:marBottom w:val="0"/>
      <w:divBdr>
        <w:top w:val="none" w:sz="0" w:space="0" w:color="auto"/>
        <w:left w:val="none" w:sz="0" w:space="0" w:color="auto"/>
        <w:bottom w:val="none" w:sz="0" w:space="0" w:color="auto"/>
        <w:right w:val="none" w:sz="0" w:space="0" w:color="auto"/>
      </w:divBdr>
    </w:div>
    <w:div w:id="88896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Цем</b:Tag>
    <b:SourceType>Report</b:SourceType>
    <b:Guid>{4F702DF5-AC40-4C74-A5FF-6F1219A1BCC6}</b:Guid>
    <b:Author>
      <b:Author>
        <b:NameList>
          <b:Person>
            <b:Last>/2015.01.01-2015.06.30/</b:Last>
            <b:First>"Цемент</b:First>
            <b:Middle>шохой" ХК-ийн Санхүүгийн байдлын тайлан</b:Middle>
          </b:Person>
        </b:NameList>
      </b:Author>
    </b:Author>
    <b:RefOrder>1</b:RefOrder>
  </b:Source>
</b:Sources>
</file>

<file path=customXml/itemProps1.xml><?xml version="1.0" encoding="utf-8"?>
<ds:datastoreItem xmlns:ds="http://schemas.openxmlformats.org/officeDocument/2006/customXml" ds:itemID="{9DE18A16-BEC9-2F41-A45A-95ED1A42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Elbegzaya Jargalsaikhan</cp:lastModifiedBy>
  <cp:revision>2</cp:revision>
  <cp:lastPrinted>2022-04-15T02:23:00Z</cp:lastPrinted>
  <dcterms:created xsi:type="dcterms:W3CDTF">2022-05-06T02:55:00Z</dcterms:created>
  <dcterms:modified xsi:type="dcterms:W3CDTF">2022-05-06T02:55:00Z</dcterms:modified>
</cp:coreProperties>
</file>