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97AB" w14:textId="27A8CD34" w:rsidR="00C352B9" w:rsidRPr="007D6134" w:rsidRDefault="00010E32" w:rsidP="00CD689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CD6891" w:rsidRPr="007D6134">
        <w:rPr>
          <w:rFonts w:ascii="Arial" w:hAnsi="Arial" w:cs="Arial"/>
          <w:color w:val="000000" w:themeColor="text1"/>
          <w:sz w:val="24"/>
          <w:szCs w:val="24"/>
        </w:rPr>
        <w:tab/>
      </w:r>
      <w:r w:rsidRPr="007D61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52B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БАТЛАВ.</w:t>
      </w:r>
    </w:p>
    <w:p w14:paraId="4834B83C" w14:textId="7047E947" w:rsidR="00C352B9" w:rsidRPr="007D6134" w:rsidRDefault="00010E32" w:rsidP="00CD689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CD6891" w:rsidRPr="007D6134">
        <w:rPr>
          <w:rFonts w:ascii="Arial" w:hAnsi="Arial" w:cs="Arial"/>
          <w:color w:val="000000" w:themeColor="text1"/>
          <w:sz w:val="24"/>
          <w:szCs w:val="24"/>
        </w:rPr>
        <w:tab/>
        <w:t xml:space="preserve"> УЛСЫН ИХ ХУРЛ</w:t>
      </w:r>
      <w:r w:rsidR="00C352B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ЫН ГИШҮҮН</w:t>
      </w:r>
      <w:r w:rsidR="00C352B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C352B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C352B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C352B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C352B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Ж.ЧИНБҮРЭН</w:t>
      </w:r>
    </w:p>
    <w:p w14:paraId="14BC5794" w14:textId="6D7834F3" w:rsidR="00C352B9" w:rsidRPr="007D6134" w:rsidRDefault="00C352B9" w:rsidP="00CD6891">
      <w:pPr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592F1023" w14:textId="77777777" w:rsidR="00CD6891" w:rsidRPr="007D6134" w:rsidRDefault="0047167D" w:rsidP="00CD6891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ДОНОРЫН ТУХАЙ ХУУЛЬД</w:t>
      </w:r>
      <w:r w:rsidR="00CD6891"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НЭМЭЛТ, ӨӨРЧЛӨЛТ ОРУУЛАХ </w:t>
      </w:r>
    </w:p>
    <w:p w14:paraId="29CA45BC" w14:textId="11CD4CBF" w:rsidR="0012410E" w:rsidRPr="007D6134" w:rsidRDefault="0047167D" w:rsidP="00CD6891">
      <w:pPr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ТУХАЙ</w:t>
      </w:r>
      <w:r w:rsidR="00CD6891"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="004716F6"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ХУУЛИЙН ТӨСЛИЙН ҮЗЭЛ БАРИМТЛАЛ</w:t>
      </w:r>
    </w:p>
    <w:p w14:paraId="2DFABE45" w14:textId="77777777" w:rsidR="0012410E" w:rsidRPr="007D6134" w:rsidRDefault="0012410E" w:rsidP="00CD689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CD04742" w14:textId="48F36D3C" w:rsidR="004716F6" w:rsidRPr="007D6134" w:rsidRDefault="004716F6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Нэг.Хуулийн төсөл боловсруулах болсон үндэслэл, шаардлага</w:t>
      </w:r>
    </w:p>
    <w:p w14:paraId="237F5338" w14:textId="77777777" w:rsidR="00010E32" w:rsidRPr="007D6134" w:rsidRDefault="00010E32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2D4A5843" w14:textId="0E74F12E" w:rsidR="004716F6" w:rsidRPr="007D6134" w:rsidRDefault="0047167D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color w:val="000000"/>
          <w:sz w:val="24"/>
          <w:szCs w:val="24"/>
          <w:lang w:val="mn-MN"/>
        </w:rPr>
        <w:t>Донорын тухай (шинэчилсэн найруулга) хуульд нэмэлт, өөрчлөлт оруулах</w:t>
      </w:r>
      <w:r w:rsidR="004716F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тухай хуулийн төслийг боловсруулах дараах хууль зүйн болон практик шаардлага байна. Үүнд:</w:t>
      </w:r>
    </w:p>
    <w:p w14:paraId="625EAEDA" w14:textId="77777777" w:rsidR="00010E32" w:rsidRPr="007D6134" w:rsidRDefault="00010E32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828DF67" w14:textId="2E26DFF8" w:rsidR="004716F6" w:rsidRPr="007D6134" w:rsidRDefault="00010E32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proofErr w:type="gramStart"/>
      <w:r w:rsidRPr="007D6134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 w:rsidR="004716F6"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Хууль</w:t>
      </w:r>
      <w:proofErr w:type="gramEnd"/>
      <w:r w:rsidR="004716F6"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="00E86CDE"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зүйн үндэслэл</w:t>
      </w:r>
    </w:p>
    <w:p w14:paraId="33F0B99C" w14:textId="77777777" w:rsidR="00010E32" w:rsidRPr="007D6134" w:rsidRDefault="00010E32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730F3CD2" w14:textId="59EBAE7E" w:rsidR="004716F6" w:rsidRPr="007D6134" w:rsidRDefault="004716F6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Улсын Үндсэн Хуулийн </w:t>
      </w:r>
      <w:r w:rsidR="00402B9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Арван </w:t>
      </w:r>
      <w:r w:rsidR="00B968D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з</w:t>
      </w:r>
      <w:r w:rsidR="00402B9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ургадугаар зүйл</w:t>
      </w:r>
      <w:r w:rsidR="0047167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 </w:t>
      </w:r>
      <w:r w:rsidR="00A55E2A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Улсын иргэн </w:t>
      </w:r>
      <w:r w:rsidR="00402B9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“</w:t>
      </w:r>
      <w:proofErr w:type="spellStart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амьд</w:t>
      </w:r>
      <w:proofErr w:type="spellEnd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явах</w:t>
      </w:r>
      <w:proofErr w:type="spellEnd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эрүүл</w:t>
      </w:r>
      <w:proofErr w:type="spellEnd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мэндээ</w:t>
      </w:r>
      <w:proofErr w:type="spellEnd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хамгаалуулах</w:t>
      </w:r>
      <w:proofErr w:type="spellEnd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эмнэлгийн</w:t>
      </w:r>
      <w:proofErr w:type="spellEnd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тусламж</w:t>
      </w:r>
      <w:proofErr w:type="spellEnd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7167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авах</w:t>
      </w:r>
      <w:proofErr w:type="spellEnd"/>
      <w:r w:rsidR="00402B9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” </w:t>
      </w:r>
      <w:r w:rsidR="00A55E2A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үндсэн </w:t>
      </w:r>
      <w:r w:rsidR="00402B9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эрхийг эдлэхээр </w:t>
      </w:r>
      <w:r w:rsidR="00A55E2A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тунхагласан</w:t>
      </w:r>
      <w:r w:rsidR="00402B9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3EEBF0FF" w14:textId="77777777" w:rsidR="00010E32" w:rsidRPr="007D6134" w:rsidRDefault="00010E32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66CA8B9" w14:textId="5D888922" w:rsidR="001E18AD" w:rsidRPr="007D6134" w:rsidRDefault="002F74FF" w:rsidP="001E18AD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Монгол Улсын Их Хурлаас Донорын тухай </w:t>
      </w:r>
      <w:r w:rsidR="00CD6891" w:rsidRPr="007D6134">
        <w:rPr>
          <w:rFonts w:ascii="Arial" w:hAnsi="Arial" w:cs="Arial"/>
          <w:color w:val="000000"/>
          <w:sz w:val="24"/>
          <w:szCs w:val="24"/>
          <w:lang w:val="mn-MN"/>
        </w:rPr>
        <w:t>/Ш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инэчилсэн найруулг</w:t>
      </w:r>
      <w:r w:rsidR="00CD6891" w:rsidRPr="007D6134">
        <w:rPr>
          <w:rFonts w:ascii="Arial" w:hAnsi="Arial" w:cs="Arial"/>
          <w:color w:val="000000"/>
          <w:sz w:val="24"/>
          <w:szCs w:val="24"/>
          <w:lang w:val="mn-MN"/>
        </w:rPr>
        <w:t>а/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CD6891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хуулийг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2018 оны </w:t>
      </w:r>
      <w:r w:rsidR="00CD6891" w:rsidRPr="007D6134">
        <w:rPr>
          <w:rFonts w:ascii="Arial" w:hAnsi="Arial" w:cs="Arial"/>
          <w:color w:val="000000"/>
          <w:sz w:val="24"/>
          <w:szCs w:val="24"/>
          <w:lang w:val="mn-MN"/>
        </w:rPr>
        <w:t>0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1 дүгээр сарын 19-ний өдөр бат</w:t>
      </w:r>
      <w:r w:rsidR="00CD6891" w:rsidRPr="007D6134">
        <w:rPr>
          <w:rFonts w:ascii="Arial" w:hAnsi="Arial" w:cs="Arial"/>
          <w:color w:val="000000"/>
          <w:sz w:val="24"/>
          <w:szCs w:val="24"/>
          <w:lang w:val="mn-MN"/>
        </w:rPr>
        <w:t>алсан бөгөөд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2021 он</w:t>
      </w:r>
      <w:r w:rsidR="00D72487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д хоёр удаа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өөрчлөлт ор</w:t>
      </w:r>
      <w:r w:rsidR="003C22E5" w:rsidRPr="007D6134">
        <w:rPr>
          <w:rFonts w:ascii="Arial" w:hAnsi="Arial" w:cs="Arial"/>
          <w:color w:val="000000"/>
          <w:sz w:val="24"/>
          <w:szCs w:val="24"/>
          <w:lang w:val="mn-MN"/>
        </w:rPr>
        <w:t>уул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с</w:t>
      </w:r>
      <w:r w:rsidR="003C22E5" w:rsidRPr="007D6134">
        <w:rPr>
          <w:rFonts w:ascii="Arial" w:hAnsi="Arial" w:cs="Arial"/>
          <w:color w:val="000000"/>
          <w:sz w:val="24"/>
          <w:szCs w:val="24"/>
          <w:lang w:val="mn-MN"/>
        </w:rPr>
        <w:t>а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н </w:t>
      </w:r>
      <w:r w:rsidR="001E18AD" w:rsidRPr="007D6134">
        <w:rPr>
          <w:rFonts w:ascii="Arial" w:hAnsi="Arial" w:cs="Arial"/>
          <w:color w:val="000000"/>
          <w:sz w:val="24"/>
          <w:szCs w:val="24"/>
          <w:lang w:val="mn-MN"/>
        </w:rPr>
        <w:t>болно.</w:t>
      </w:r>
    </w:p>
    <w:p w14:paraId="0CFE0A31" w14:textId="77777777" w:rsidR="001E18AD" w:rsidRPr="007D6134" w:rsidRDefault="001E18AD" w:rsidP="001E18AD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6A2D3DB6" w14:textId="00059D76" w:rsidR="001E18AD" w:rsidRPr="007D6134" w:rsidRDefault="001E18AD" w:rsidP="001E18AD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Донорын тухай (шинэчилсэн найруулга) хуульд иргэдэд учирч байгаа санхүүгийн дарамтыг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багасгах</w:t>
      </w:r>
      <w:proofErr w:type="spellEnd"/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, донорын үйл ажиллагааны удирдлага, зохион байгуулалтыг сайжруулах, донорын үйл ажиллагааг зохицуулах алба байгуулах, </w:t>
      </w:r>
      <w:r w:rsidRPr="007D6134">
        <w:rPr>
          <w:rFonts w:ascii="Arial" w:hAnsi="Arial" w:cs="Arial"/>
          <w:sz w:val="24"/>
          <w:szCs w:val="24"/>
          <w:lang w:val="mn-MN"/>
        </w:rPr>
        <w:t xml:space="preserve">амьгүй донороос эд, эрхтэн шилжүүлэн суулгах эрх зүйн орчинг боловсронгуй болгох, амьд донороо хамгаалах, </w:t>
      </w:r>
      <w:r w:rsidRPr="007D6134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донороос реципиентэд цусны үүдэл эс шилжүүлэн суулгах, хүйн цусны банк болон цусны үүдэл эсийн банк байгуулах, бэлгийн эсийн донор, тээгч эхийн тусламж, үйлчилгээний асуудлыг шийдвэрлэх,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цусны донор элсүүлэх, алдаршуулах, урамшуулах, цусны болон амьд донорт эмнэлгийн тусламж, үйлчилгээг хөнгөлөлттэй үнээр үзүүлэх, амралт</w:t>
      </w:r>
      <w:r w:rsidR="003679A4" w:rsidRPr="007D6134">
        <w:rPr>
          <w:rFonts w:ascii="Arial" w:hAnsi="Arial" w:cs="Arial"/>
          <w:color w:val="000000"/>
          <w:sz w:val="24"/>
          <w:szCs w:val="24"/>
        </w:rPr>
        <w:t>,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сувилалд амраах зэрэг зохицуулалтыг хууль эрх зүйн хүрээнд нарийвчлан тусгасан</w:t>
      </w:r>
      <w:r w:rsidRPr="007D6134">
        <w:rPr>
          <w:rFonts w:ascii="Arial" w:hAnsi="Arial" w:cs="Arial"/>
          <w:sz w:val="24"/>
          <w:szCs w:val="24"/>
          <w:lang w:val="mn-MN"/>
        </w:rPr>
        <w:t xml:space="preserve"> </w:t>
      </w:r>
      <w:r w:rsidR="00CD6891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хэдий </w:t>
      </w:r>
      <w:r w:rsidR="002F74FF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ч </w:t>
      </w:r>
      <w:r w:rsidR="003679A4" w:rsidRPr="007D6134">
        <w:rPr>
          <w:rFonts w:ascii="Arial" w:hAnsi="Arial" w:cs="Arial"/>
          <w:color w:val="000000"/>
          <w:sz w:val="24"/>
          <w:szCs w:val="24"/>
          <w:lang w:val="mn-MN"/>
        </w:rPr>
        <w:t>өнөөдрийн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мөрдөгдөж буй хууль нь цаг үеийн шаардлагыг бүрэн хангахгүй байгаа тул зарим харилцааг зохицуулах, нэмэлт, өөрчлөлт оруулах зайлшгүй хэрэгцээ, шаардлага байна.</w:t>
      </w:r>
    </w:p>
    <w:p w14:paraId="5E33FC4D" w14:textId="77777777" w:rsidR="002F74FF" w:rsidRPr="007D6134" w:rsidRDefault="002F74FF" w:rsidP="00CD6891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540ABF1E" w14:textId="5FD1D593" w:rsidR="00E86CDE" w:rsidRPr="007D6134" w:rsidRDefault="00010E32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</w:pPr>
      <w:r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1.</w:t>
      </w:r>
      <w:proofErr w:type="gramStart"/>
      <w:r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2.</w:t>
      </w:r>
      <w:r w:rsidR="00E86CDE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Практик</w:t>
      </w:r>
      <w:proofErr w:type="gramEnd"/>
      <w:r w:rsidR="00E86CDE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 xml:space="preserve"> шаардлага</w:t>
      </w:r>
    </w:p>
    <w:p w14:paraId="0FFB488A" w14:textId="77777777" w:rsidR="00010E32" w:rsidRPr="007D6134" w:rsidRDefault="00010E32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3C816EF" w14:textId="4CCC8B61" w:rsidR="001E18AD" w:rsidRPr="007D6134" w:rsidRDefault="001E18AD" w:rsidP="003B2E70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7D6134">
        <w:rPr>
          <w:rFonts w:ascii="Arial" w:hAnsi="Arial" w:cs="Arial"/>
          <w:color w:val="000000"/>
          <w:sz w:val="24"/>
          <w:szCs w:val="24"/>
        </w:rPr>
        <w:t>М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онгол </w:t>
      </w:r>
      <w:r w:rsidRPr="007D6134">
        <w:rPr>
          <w:rFonts w:ascii="Arial" w:hAnsi="Arial" w:cs="Arial"/>
          <w:color w:val="000000"/>
          <w:sz w:val="24"/>
          <w:szCs w:val="24"/>
        </w:rPr>
        <w:t>У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лса</w:t>
      </w:r>
      <w:r w:rsidRPr="007D6134">
        <w:rPr>
          <w:rFonts w:ascii="Arial" w:hAnsi="Arial" w:cs="Arial"/>
          <w:color w:val="000000"/>
          <w:sz w:val="24"/>
          <w:szCs w:val="24"/>
        </w:rPr>
        <w:t xml:space="preserve">д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эрхтэн</w:t>
      </w:r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шил</w:t>
      </w:r>
      <w:proofErr w:type="spellEnd"/>
      <w:r w:rsidRPr="007D6134">
        <w:rPr>
          <w:rFonts w:ascii="Arial" w:hAnsi="Arial" w:cs="Arial"/>
          <w:color w:val="000000"/>
          <w:sz w:val="24"/>
          <w:szCs w:val="24"/>
          <w:lang w:val="mn-MN"/>
        </w:rPr>
        <w:t>ж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үүлэн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суулгах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мэс заслын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эмчилгээ</w:t>
      </w:r>
      <w:proofErr w:type="spellEnd"/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эрчимтэй хөгжиж байгаа бөгөөд 2006 онд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бөөр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шилжүүлэн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суулгах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анхны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мэс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заслыг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амжилттай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хийснээс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хойш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2022 оны 03 дугаар сары</w:t>
      </w:r>
      <w:r w:rsidR="003679A4" w:rsidRPr="007D6134">
        <w:rPr>
          <w:rFonts w:ascii="Arial" w:hAnsi="Arial" w:cs="Arial"/>
          <w:color w:val="000000"/>
          <w:sz w:val="24"/>
          <w:szCs w:val="24"/>
          <w:lang w:val="mn-MN"/>
        </w:rPr>
        <w:t>н 01-ний өдрийн байдлаар</w:t>
      </w:r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256 иргэнд бөөр </w:t>
      </w:r>
      <w:r w:rsidRPr="007D6134">
        <w:rPr>
          <w:rFonts w:ascii="Arial" w:hAnsi="Arial" w:cs="Arial"/>
          <w:color w:val="000000"/>
          <w:sz w:val="24"/>
          <w:szCs w:val="24"/>
        </w:rPr>
        <w:t>(21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5 иргэнд амьд донороос, 41 иргэнд амьгүй донороос бөөр шилжүүлэн суулгасан</w:t>
      </w:r>
      <w:r w:rsidRPr="007D6134">
        <w:rPr>
          <w:rFonts w:ascii="Arial" w:hAnsi="Arial" w:cs="Arial"/>
          <w:color w:val="000000"/>
          <w:sz w:val="24"/>
          <w:szCs w:val="24"/>
        </w:rPr>
        <w:t>)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, </w:t>
      </w:r>
      <w:r w:rsidRPr="007D6134">
        <w:rPr>
          <w:rFonts w:ascii="Arial" w:hAnsi="Arial" w:cs="Arial"/>
          <w:color w:val="000000"/>
          <w:sz w:val="24"/>
          <w:szCs w:val="24"/>
        </w:rPr>
        <w:t>1</w:t>
      </w:r>
      <w:r w:rsidR="003B2E70">
        <w:rPr>
          <w:rFonts w:ascii="Arial" w:hAnsi="Arial" w:cs="Arial"/>
          <w:color w:val="000000"/>
          <w:sz w:val="24"/>
          <w:szCs w:val="24"/>
        </w:rPr>
        <w:t>94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иргэнд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элэг</w:t>
      </w:r>
      <w:proofErr w:type="spellEnd"/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7D6134">
        <w:rPr>
          <w:rFonts w:ascii="Arial" w:hAnsi="Arial" w:cs="Arial"/>
          <w:color w:val="000000"/>
          <w:sz w:val="24"/>
          <w:szCs w:val="24"/>
        </w:rPr>
        <w:t>(1</w:t>
      </w:r>
      <w:r w:rsidR="003B2E70">
        <w:rPr>
          <w:rFonts w:ascii="Arial" w:hAnsi="Arial" w:cs="Arial"/>
          <w:color w:val="000000"/>
          <w:sz w:val="24"/>
          <w:szCs w:val="24"/>
        </w:rPr>
        <w:t>72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иргэнд амьд донороос, </w:t>
      </w:r>
      <w:r w:rsidR="003B2E70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="003B2E70">
        <w:rPr>
          <w:rFonts w:ascii="Arial" w:hAnsi="Arial" w:cs="Arial"/>
          <w:color w:val="000000"/>
          <w:sz w:val="24"/>
          <w:szCs w:val="24"/>
        </w:rPr>
        <w:t>2</w:t>
      </w:r>
      <w:r w:rsidR="008807D2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иргэнд амьгүй донороос элэг шилжүүлэн суулгасан</w:t>
      </w:r>
      <w:r w:rsidRPr="007D6134">
        <w:rPr>
          <w:rFonts w:ascii="Arial" w:hAnsi="Arial" w:cs="Arial"/>
          <w:color w:val="000000"/>
          <w:sz w:val="24"/>
          <w:szCs w:val="24"/>
        </w:rPr>
        <w:t>)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, 24 иргэнд ясны </w:t>
      </w:r>
      <w:r w:rsidRPr="007D6134">
        <w:rPr>
          <w:rFonts w:ascii="Arial" w:hAnsi="Arial" w:cs="Arial"/>
          <w:sz w:val="24"/>
          <w:szCs w:val="24"/>
          <w:lang w:val="mn-MN"/>
        </w:rPr>
        <w:t>чөмөгний үүдэл эс,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24 иргэнд нүдний эвэрлэг, 735 иргэнд арьс, 65 иргэнд шөрмөс, 373 иргэнд үр шилжүүлсэн суулгах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эмчилгээг</w:t>
      </w:r>
      <w:proofErr w:type="spellEnd"/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амжилттай хий</w:t>
      </w:r>
      <w:r w:rsidR="003679A4" w:rsidRPr="007D6134">
        <w:rPr>
          <w:rFonts w:ascii="Arial" w:hAnsi="Arial" w:cs="Arial"/>
          <w:color w:val="000000"/>
          <w:sz w:val="24"/>
          <w:szCs w:val="24"/>
          <w:lang w:val="mn-MN"/>
        </w:rPr>
        <w:t>гээд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бай</w:t>
      </w:r>
      <w:proofErr w:type="spellEnd"/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на. </w:t>
      </w:r>
      <w:proofErr w:type="spellStart"/>
      <w:r w:rsidR="003B2E70">
        <w:rPr>
          <w:rFonts w:ascii="Arial" w:hAnsi="Arial" w:cs="Arial"/>
          <w:color w:val="000000"/>
          <w:sz w:val="24"/>
          <w:szCs w:val="24"/>
        </w:rPr>
        <w:t>Мөн</w:t>
      </w:r>
      <w:proofErr w:type="spellEnd"/>
      <w:r w:rsidR="003B2E70">
        <w:rPr>
          <w:rFonts w:ascii="Arial" w:hAnsi="Arial" w:cs="Arial"/>
          <w:color w:val="000000"/>
          <w:sz w:val="24"/>
          <w:szCs w:val="24"/>
        </w:rPr>
        <w:t xml:space="preserve">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нойр булчирхай болон зүрх шилжүүлэн суулгах үндэсний багуудыг байгуул</w:t>
      </w:r>
      <w:r w:rsidR="003679A4" w:rsidRPr="007D6134">
        <w:rPr>
          <w:rFonts w:ascii="Arial" w:hAnsi="Arial" w:cs="Arial"/>
          <w:color w:val="000000"/>
          <w:sz w:val="24"/>
          <w:szCs w:val="24"/>
          <w:lang w:val="mn-MN"/>
        </w:rPr>
        <w:t>ж,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бэлтгэл ажлыг </w:t>
      </w:r>
      <w:r w:rsidR="003679A4" w:rsidRPr="007D6134">
        <w:rPr>
          <w:rFonts w:ascii="Arial" w:hAnsi="Arial" w:cs="Arial"/>
          <w:color w:val="000000"/>
          <w:sz w:val="24"/>
          <w:szCs w:val="24"/>
          <w:lang w:val="mn-MN"/>
        </w:rPr>
        <w:t>нь х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анган ажиллаж байна.</w:t>
      </w:r>
    </w:p>
    <w:p w14:paraId="726E7D41" w14:textId="77777777" w:rsidR="001E18AD" w:rsidRPr="007D6134" w:rsidRDefault="001E18AD" w:rsidP="001E18AD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B1DE50E" w14:textId="2E72382D" w:rsidR="0011310C" w:rsidRPr="007D6134" w:rsidRDefault="001D5592" w:rsidP="0011310C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color w:val="000000"/>
          <w:sz w:val="24"/>
          <w:szCs w:val="24"/>
          <w:lang w:val="mn-MN"/>
        </w:rPr>
        <w:t>Донорын тухай (шинэчилсэн найруулга) хууль</w:t>
      </w:r>
      <w:r w:rsidR="004169AF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д </w:t>
      </w:r>
      <w:r w:rsidR="001E18AD" w:rsidRPr="007D6134">
        <w:rPr>
          <w:rFonts w:ascii="Arial" w:hAnsi="Arial" w:cs="Arial"/>
          <w:sz w:val="24"/>
          <w:szCs w:val="24"/>
          <w:lang w:val="mn-MN"/>
        </w:rPr>
        <w:t xml:space="preserve">Монгол Улсын 25 насанд хүрсэн иргэн </w:t>
      </w:r>
      <w:r w:rsidR="004D7339">
        <w:rPr>
          <w:rFonts w:ascii="Arial" w:hAnsi="Arial" w:cs="Arial"/>
          <w:sz w:val="24"/>
          <w:szCs w:val="24"/>
          <w:lang w:val="mn-MN"/>
        </w:rPr>
        <w:t>эрхт</w:t>
      </w:r>
      <w:r w:rsidR="001E18AD" w:rsidRPr="007D6134">
        <w:rPr>
          <w:rFonts w:ascii="Arial" w:hAnsi="Arial" w:cs="Arial"/>
          <w:sz w:val="24"/>
          <w:szCs w:val="24"/>
          <w:lang w:val="mn-MN"/>
        </w:rPr>
        <w:t>нээ бусдад шилжүүлэн суулгахыг зөвшөөрсөн шийдвэрээ</w:t>
      </w:r>
      <w:r w:rsidR="0011310C" w:rsidRPr="007D6134">
        <w:rPr>
          <w:rFonts w:ascii="Arial" w:hAnsi="Arial" w:cs="Arial"/>
          <w:sz w:val="24"/>
          <w:szCs w:val="24"/>
          <w:lang w:val="mn-MN"/>
        </w:rPr>
        <w:t xml:space="preserve"> гаргах </w:t>
      </w:r>
      <w:r w:rsidR="0011310C" w:rsidRPr="007D6134">
        <w:rPr>
          <w:rFonts w:ascii="Arial" w:hAnsi="Arial" w:cs="Arial"/>
          <w:sz w:val="24"/>
          <w:szCs w:val="24"/>
          <w:lang w:val="mn-MN"/>
        </w:rPr>
        <w:lastRenderedPageBreak/>
        <w:t>тухай</w:t>
      </w:r>
      <w:r w:rsidR="00CD6891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заасан нь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CD6891" w:rsidRPr="007D6134">
        <w:rPr>
          <w:rFonts w:ascii="Arial" w:hAnsi="Arial" w:cs="Arial"/>
          <w:color w:val="000000"/>
          <w:sz w:val="24"/>
          <w:szCs w:val="24"/>
          <w:lang w:val="mn-MN"/>
        </w:rPr>
        <w:t>амьдралд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нийцэхгүй байна.</w:t>
      </w:r>
      <w:r w:rsidR="005C5FB1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11310C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Тухайлбал, </w:t>
      </w:r>
      <w:r w:rsidR="0011310C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25 насанд хүрээгүй амьд болон амьгүй донороос эс, эд, эрхтэн шилжүүлэн авах, суулгах боломжгүй байгаа нь </w:t>
      </w:r>
      <w:r w:rsidR="00834FC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хугацаа алдах, </w:t>
      </w:r>
      <w:r w:rsidR="0011310C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эмчлүүлэгчийн өвчин улам даамжрах, биеийн байдал  хүндрэх, цаашлаад амь нас эрсдэх эрсдэлийг бий болгож  байна.  </w:t>
      </w:r>
    </w:p>
    <w:p w14:paraId="5BAF59EF" w14:textId="711A0D73" w:rsidR="0011310C" w:rsidRPr="007D6134" w:rsidRDefault="0011310C" w:rsidP="0011310C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970E762" w14:textId="73531BD9" w:rsidR="0011310C" w:rsidRPr="007D6134" w:rsidRDefault="0011310C" w:rsidP="0011310C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Улсын Их Хурлын Тамгын газрын </w:t>
      </w:r>
      <w:r w:rsidRPr="007D6134">
        <w:rPr>
          <w:rFonts w:ascii="Arial" w:hAnsi="Arial" w:cs="Arial"/>
          <w:bCs/>
          <w:color w:val="000000"/>
          <w:sz w:val="24"/>
          <w:szCs w:val="24"/>
          <w:lang w:val="mn-MN"/>
        </w:rPr>
        <w:t xml:space="preserve">Парламентын судалгааны хүрээлэнгээс хийсэн судалгаанаас авч үзвэл АНУ, 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ОХУ, Турк</w:t>
      </w:r>
      <w:r w:rsidRPr="007D6134">
        <w:rPr>
          <w:rFonts w:ascii="Arial" w:hAnsi="Arial" w:cs="Arial"/>
          <w:bCs/>
          <w:color w:val="000000"/>
          <w:sz w:val="24"/>
          <w:szCs w:val="24"/>
          <w:lang w:val="mn-MN"/>
        </w:rPr>
        <w:t>, Энэтхэг улсад 18 насанд хүрсэн иргэн сайн дурын үндсэн дээр эд, эрхтний донор болохыг зөвшөөрдөг бол Сингапур улсад 21 насанд хүрсэн иргэн эд, эрхтний донор болохыг хуулиараа зөвшөөрчээ.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Манай улсын хувьд донор болох насны доод хязгаар бусад улс орнуудтай харьцуулахад харьцангуй өндөр байна.</w:t>
      </w:r>
    </w:p>
    <w:p w14:paraId="07E3A8CC" w14:textId="14E9032F" w:rsidR="0011310C" w:rsidRPr="007D6134" w:rsidRDefault="0011310C" w:rsidP="00CD6891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C1A7B3D" w14:textId="6B3E483C" w:rsidR="0011310C" w:rsidRPr="00270F60" w:rsidRDefault="005C5FB1" w:rsidP="0011310C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Донорын тухай </w:t>
      </w:r>
      <w:r w:rsidR="006B5968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9 дүгээр зүйлд</w:t>
      </w:r>
      <w:r w:rsidR="006B5968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донорын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үйл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ажиллагааг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уялдуулан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зохицуулах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мэргэжил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арга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зүйн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туслалцаа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үзүүлэх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хяналт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тавих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нэгдсэн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бүртгэл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мэдээллийн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сан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1310C" w:rsidRPr="007D6134">
        <w:rPr>
          <w:rFonts w:ascii="Arial" w:hAnsi="Arial" w:cs="Arial"/>
          <w:color w:val="000000"/>
          <w:sz w:val="24"/>
          <w:szCs w:val="24"/>
        </w:rPr>
        <w:t>байгуулах</w:t>
      </w:r>
      <w:proofErr w:type="spellEnd"/>
      <w:r w:rsidR="0011310C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чиг үүрэг бүхий Зохицуулах албыг</w:t>
      </w:r>
      <w:r w:rsidR="0011310C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байгуула</w:t>
      </w:r>
      <w:r w:rsidR="006B5968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 </w:t>
      </w:r>
      <w:r w:rsidR="00270F6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тухай </w:t>
      </w:r>
      <w:proofErr w:type="spellStart"/>
      <w:r w:rsidR="00270F60">
        <w:rPr>
          <w:rFonts w:ascii="Arial" w:hAnsi="Arial" w:cs="Arial"/>
          <w:color w:val="000000" w:themeColor="text1"/>
          <w:sz w:val="24"/>
          <w:szCs w:val="24"/>
        </w:rPr>
        <w:t>заасан</w:t>
      </w:r>
      <w:proofErr w:type="spellEnd"/>
      <w:r w:rsidR="00270F60">
        <w:rPr>
          <w:rFonts w:ascii="Arial" w:hAnsi="Arial" w:cs="Arial"/>
          <w:color w:val="000000" w:themeColor="text1"/>
          <w:sz w:val="24"/>
          <w:szCs w:val="24"/>
        </w:rPr>
        <w:t>.</w:t>
      </w:r>
      <w:r w:rsidR="00270F6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270F60">
        <w:rPr>
          <w:rFonts w:ascii="Arial" w:hAnsi="Arial" w:cs="Arial"/>
          <w:color w:val="000000" w:themeColor="text1"/>
          <w:sz w:val="24"/>
          <w:szCs w:val="24"/>
        </w:rPr>
        <w:t>Т</w:t>
      </w:r>
      <w:r w:rsidR="006B5968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ус алба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11310C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нь </w:t>
      </w:r>
      <w:r w:rsidR="0011310C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эс, эд, эрхтнийг шилжүүлэн суулгах үйл ажиллагаатай холбоотой мэдээ мэдээлэл, холбогдох тоо баримтыг цуглуулж, хадгалах нэгдсэн бүртгэл, мэдээллийн сан /ДАТА бааз/-г ажиллуулж байгаа </w:t>
      </w:r>
      <w:proofErr w:type="gramStart"/>
      <w:r w:rsidR="0011310C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бөгөөд  уг</w:t>
      </w:r>
      <w:proofErr w:type="gramEnd"/>
      <w:r w:rsidR="0011310C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мэдээллийн сангийн үйл ажиллагааг зохицуулах  </w:t>
      </w:r>
      <w:proofErr w:type="spellStart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эрх</w:t>
      </w:r>
      <w:proofErr w:type="spellEnd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зүй</w:t>
      </w:r>
      <w:proofErr w:type="spellEnd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орчныг</w:t>
      </w:r>
      <w:proofErr w:type="spellEnd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бүрдүүлэх</w:t>
      </w:r>
      <w:proofErr w:type="spellEnd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шаардлагатай</w:t>
      </w:r>
      <w:proofErr w:type="spellEnd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байна</w:t>
      </w:r>
      <w:proofErr w:type="spellEnd"/>
      <w:r w:rsidR="00270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4ADA9552" w14:textId="2EF6A4AF" w:rsidR="00EA2BF6" w:rsidRPr="007D6134" w:rsidRDefault="00EA2BF6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3B52D091" w14:textId="5C91DEB2" w:rsidR="00E86CDE" w:rsidRPr="007D6134" w:rsidRDefault="009E4A66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Эс, эд , эрхтэн шилжүүлэн суулгах үйл ажиллагааны явцад гарч болох ёс зүйн хэм хэмжээтэй холбо</w:t>
      </w:r>
      <w:r w:rsidR="006B3DCA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гдсон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200D90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харилцааг зохицуулах</w:t>
      </w:r>
      <w:r w:rsidR="00B81FE8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үүрэг бүхий</w:t>
      </w:r>
      <w:r w:rsidR="00B50A03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A94ED7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эмнэлгийн мэргэжилтний </w:t>
      </w:r>
      <w:r w:rsidR="00023C1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Ё</w:t>
      </w:r>
      <w:r w:rsidR="009518A9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с зүйн хороо</w:t>
      </w:r>
      <w:r w:rsidR="00B81FE8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г</w:t>
      </w:r>
      <w:r w:rsidR="009518A9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A94ED7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эрүүл мэндийн асуудал эрхэлсэн төрийн захиргааны төв байгууллагын дэргэд </w:t>
      </w:r>
      <w:r w:rsidR="00B50A03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байгуулах </w:t>
      </w:r>
      <w:r w:rsidR="00A94ED7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шаардлага</w:t>
      </w:r>
      <w:r w:rsidR="00023C1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тай байна</w:t>
      </w:r>
      <w:r w:rsidR="00A94ED7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.</w:t>
      </w:r>
    </w:p>
    <w:p w14:paraId="1F53BAAF" w14:textId="77777777" w:rsidR="002970FC" w:rsidRPr="007D6134" w:rsidRDefault="002970FC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05E6B870" w14:textId="0370AE0B" w:rsidR="00F221FD" w:rsidRPr="007D6134" w:rsidRDefault="00927E76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Дэлхийн олон улс оронд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Австрали 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У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лсад 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National Donate Life Family Support Service NDFSS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АНУ-д 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Center of Organ Recovery and Education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түүнээс хэрэгжүүлдэг 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Gift of Life Donor 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Program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болон 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“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Organ Donation Grief Counseling Program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БНСУ-д 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“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KODA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буюу 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Korean Organ Donation Agency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д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онорын ариун  үйл хэргийг таниула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х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, ухамсарлуулан ойлгуулах, нөлөөллийн үйл ажиллагаа явуулдаг 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төв ажилла</w:t>
      </w:r>
      <w:r w:rsidR="00023C1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ж,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81270F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эс, эд, эрхтний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донор болж хүний амь нас</w:t>
      </w:r>
      <w:r w:rsidR="000554EA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,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эрүүл мэндийг аврах үйл хэрэгт 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юугаар</w:t>
      </w:r>
      <w:r w:rsidR="00B1173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ч үнэлж болохгүй 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хувь нэмрээ оруул</w:t>
      </w:r>
      <w:r w:rsidR="00023C1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ж, буян үйлдсэн</w:t>
      </w:r>
      <w:r w:rsidR="002970FC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амьгүй доно</w:t>
      </w:r>
      <w:r w:rsidR="00FE17F4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рын</w:t>
      </w:r>
      <w:r w:rsidR="00346980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6980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гэгээн дурсгалыг хүндэтгэх</w:t>
      </w:r>
      <w:r w:rsidR="000554EA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,</w:t>
      </w:r>
      <w:r w:rsidR="00346980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4C3E66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гэр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бүлд </w:t>
      </w:r>
      <w:r w:rsidR="00F221F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нь 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хүндэтгэл </w:t>
      </w:r>
      <w:r w:rsidR="00F221F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илэрхийлэх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, </w:t>
      </w:r>
      <w:r w:rsidR="00C01AF5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сэтгэл санааны дэмжлэг,</w:t>
      </w:r>
      <w:r w:rsidR="0081270F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F221F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туслалцаа үзүүлдэг байна.</w:t>
      </w:r>
    </w:p>
    <w:p w14:paraId="1272407D" w14:textId="77777777" w:rsidR="00F221FD" w:rsidRPr="007D6134" w:rsidRDefault="00F221FD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6115C123" w14:textId="4EC47ABE" w:rsidR="00F221FD" w:rsidRPr="007D6134" w:rsidRDefault="00F221FD" w:rsidP="008807D2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</w:t>
      </w:r>
      <w:r w:rsidR="00927E76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рүүл мэндийн байгууллагуудаас 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ж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ил бүр 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“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Донорыг хүндэтгэх өдөрлө</w:t>
      </w:r>
      <w:r w:rsidR="00023C1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г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”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, 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“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Танд баярлалаа</w:t>
      </w:r>
      <w:r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”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зэрэг </w:t>
      </w:r>
      <w:r w:rsidR="005815D1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олон нийтийг хамруулсан </w:t>
      </w:r>
      <w:r w:rsidR="00662B7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арга хэмжээг зохион </w:t>
      </w:r>
      <w:r w:rsidR="0081270F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байгуулдаг бөгөөд э</w:t>
      </w:r>
      <w:r w:rsidR="00525FD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нэ арга хэмжээний хүрээнд 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цусны болон</w:t>
      </w:r>
      <w:r w:rsidR="0081270F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525FD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амьд доно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рт талархал илэрхийлэх, урамшуулан алдаршуулах,</w:t>
      </w:r>
      <w:r w:rsidR="00525FD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амьгүй донор болон гэр бүлд нь х</w:t>
      </w:r>
      <w:r w:rsidR="00525FDD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үндэтгэл үзүүл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эх зэрэг арга хэмжээг зохион байгуулна.</w:t>
      </w:r>
    </w:p>
    <w:p w14:paraId="5651BF3B" w14:textId="77777777" w:rsidR="00F221FD" w:rsidRPr="007D6134" w:rsidRDefault="00071B5A" w:rsidP="00CD6891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АНУ-д унаа, байр, хоол болон </w:t>
      </w:r>
      <w:r w:rsidR="00F221FD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хөдөлмөр эрхлээгүй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үе</w:t>
      </w:r>
      <w:r w:rsidR="00F221FD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д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цалин хөлс олгох, асрах зардал, үзлэгийн төлбөр боло</w:t>
      </w:r>
      <w:r w:rsidR="00525FDD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н татварын хөнгөлөлт үзүүлдэг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бол Солонгос </w:t>
      </w:r>
      <w:r w:rsidR="00F221FD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У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лсад</w:t>
      </w:r>
      <w:r w:rsidR="002A5109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2A5109" w:rsidRPr="007D6134">
        <w:rPr>
          <w:rFonts w:ascii="Arial" w:hAnsi="Arial" w:cs="Arial"/>
          <w:bCs/>
          <w:color w:val="000000" w:themeColor="text1"/>
          <w:sz w:val="24"/>
          <w:szCs w:val="24"/>
        </w:rPr>
        <w:t xml:space="preserve"> (Internal Organs Transplant Act</w:t>
      </w:r>
      <w:r w:rsidR="00146087" w:rsidRPr="007D6134">
        <w:rPr>
          <w:rFonts w:ascii="Arial" w:hAnsi="Arial" w:cs="Arial"/>
          <w:bCs/>
          <w:color w:val="000000" w:themeColor="text1"/>
          <w:sz w:val="24"/>
          <w:szCs w:val="24"/>
        </w:rPr>
        <w:t>, Chapter 3-2 Article 27-2 Assistance for Organ Donor, etc.</w:t>
      </w:r>
      <w:r w:rsidR="002A5109" w:rsidRPr="007D6134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амьгүй дон</w:t>
      </w:r>
      <w:r w:rsidR="002B52FF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орт оршуулгын зардал,</w:t>
      </w:r>
      <w:r w:rsidR="00917C19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амьд донорт эмчилгээний зардал, цалинтай чөлөө, сэтгэл зүйн болон хууль зүйн зөвлөгөө өгдөг байна.</w:t>
      </w:r>
    </w:p>
    <w:p w14:paraId="4B879211" w14:textId="77777777" w:rsidR="00F221FD" w:rsidRPr="007D6134" w:rsidRDefault="00F221FD" w:rsidP="00CD6891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17C5FC6" w14:textId="4F66294C" w:rsidR="00146087" w:rsidRPr="007D6134" w:rsidRDefault="00071B5A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Ийм</w:t>
      </w:r>
      <w:r w:rsidR="00F221FD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ээс манай улсын хувьд амьд донорт болон амьгүй донорын гэр бүлд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дэмжлэг</w:t>
      </w:r>
      <w:r w:rsidR="00023C1B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,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туслалцаа</w:t>
      </w:r>
      <w:r w:rsidR="00F221FD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үзүүлэх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</w:t>
      </w:r>
      <w:r w:rsidR="00F221FD"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зайлшгүй </w:t>
      </w:r>
      <w:r w:rsidRPr="007D6134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шаардлагатай байна.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</w:p>
    <w:p w14:paraId="641F427A" w14:textId="77777777" w:rsidR="00F221FD" w:rsidRPr="007D6134" w:rsidRDefault="00F221FD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</w:p>
    <w:p w14:paraId="3E3659F5" w14:textId="0F869887" w:rsidR="00534CB6" w:rsidRPr="007D6134" w:rsidRDefault="00146087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lastRenderedPageBreak/>
        <w:t xml:space="preserve"> </w:t>
      </w:r>
      <w:r w:rsidR="000554EA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Өнөөдрийг хүртэл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төрөөс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амьгүй донорын гэр бүлд ямар нэ</w:t>
      </w:r>
      <w:r w:rsidR="00023C1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гэн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дэмжлэг</w:t>
      </w:r>
      <w:r w:rsidR="00023C1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туслалцаа үзүүлж байгаагүй</w:t>
      </w:r>
      <w:r w:rsidR="004D5971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бөгөөд </w:t>
      </w:r>
      <w:r w:rsidR="00F221F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цаашид </w:t>
      </w:r>
      <w:r w:rsidR="00023C1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амьгүй донорын </w:t>
      </w:r>
      <w:r w:rsidR="00D179C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гэр бүлд 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оршуулгын 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тэтгэмж</w:t>
      </w:r>
      <w:r w:rsidR="00D179C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олгох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="00F221F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нас барсан даатгуулагчийн гэр бүлийн гишүүнд 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үзүүлэх 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тэтгэмжийн хэмжээг нэмэгдүүлэх 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хэрэгцээ</w:t>
      </w:r>
      <w:r w:rsidR="00E31AFA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шаардлага гарч байна. </w:t>
      </w:r>
    </w:p>
    <w:p w14:paraId="3662877A" w14:textId="77777777" w:rsidR="00534CB6" w:rsidRPr="007D6134" w:rsidRDefault="00534CB6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FC101AC" w14:textId="2BECECA7" w:rsidR="00BD76AB" w:rsidRPr="007D6134" w:rsidRDefault="000554EA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Эс, эд, эрхтнийг шилжүүлэн суулгах 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үйл ажиллагааг зохицуулах 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албанаас 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тархины үхэлтэй 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хүний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гэр бүлтэй уулзалт хийж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эс, эд, 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эрхтний донор болгох 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тухай 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хүсэлтийг тав</w:t>
      </w:r>
      <w:r w:rsidR="00EB4AEA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их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ад тэдний зүгээс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ямар нэгэн </w:t>
      </w:r>
      <w:r w:rsidR="00D179C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мөнгөн 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дэмжлэг</w:t>
      </w:r>
      <w:r w:rsidR="00D179C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туслалцаа </w:t>
      </w:r>
      <w:r w:rsidR="00D179C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үзүүлэх 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эсэх</w:t>
      </w:r>
      <w:r w:rsidR="00EB4AEA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81270F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ялангуяа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оршуулгын зардалд дэмжлэг үзүүлэх </w:t>
      </w:r>
      <w:r w:rsidR="00D179C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тухай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95</w:t>
      </w:r>
      <w:r w:rsidR="00D179C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%</w:t>
      </w:r>
      <w:r w:rsidR="0014608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нь асууж байсан</w:t>
      </w:r>
      <w:r w:rsidR="00EB4AEA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өгөөд төрөөс дэмжлэг үзүүлэх </w:t>
      </w:r>
      <w:r w:rsidR="00D179C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хууль, эрх зүйн </w:t>
      </w:r>
      <w:r w:rsidR="00534CB6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зохицуулалт байхгүй гэсэн </w:t>
      </w:r>
      <w:r w:rsidR="004D5971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хариултыг сонсоод</w:t>
      </w:r>
      <w:r w:rsidR="00BD76A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="004D5971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</w:rPr>
        <w:t>45</w:t>
      </w:r>
      <w:r w:rsidR="00CE5A67" w:rsidRPr="007D61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E5A67" w:rsidRPr="007D6134">
        <w:rPr>
          <w:rFonts w:ascii="Arial" w:hAnsi="Arial" w:cs="Arial"/>
          <w:color w:val="000000" w:themeColor="text1"/>
          <w:sz w:val="24"/>
          <w:szCs w:val="24"/>
        </w:rPr>
        <w:t>гэр</w:t>
      </w:r>
      <w:proofErr w:type="spellEnd"/>
      <w:r w:rsidR="00CE5A67" w:rsidRPr="007D61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E5A67" w:rsidRPr="007D6134">
        <w:rPr>
          <w:rFonts w:ascii="Arial" w:hAnsi="Arial" w:cs="Arial"/>
          <w:color w:val="000000" w:themeColor="text1"/>
          <w:sz w:val="24"/>
          <w:szCs w:val="24"/>
        </w:rPr>
        <w:t>бүлээс</w:t>
      </w:r>
      <w:proofErr w:type="spellEnd"/>
      <w:r w:rsidR="004D5971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20</w:t>
      </w:r>
      <w:r w:rsidR="00D179C9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гэр бүл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донор болгохоос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5971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татгалзсан</w:t>
      </w:r>
      <w:r w:rsidR="00BD76A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болно.</w:t>
      </w:r>
      <w:r w:rsidR="004D5971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122A882B" w14:textId="77777777" w:rsidR="00BD76AB" w:rsidRPr="007D6134" w:rsidRDefault="00BD76AB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66D9A0A" w14:textId="6F667300" w:rsidR="003F440B" w:rsidRPr="007D6134" w:rsidRDefault="003F440B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Хоёр.Хуулийн төслийн </w:t>
      </w:r>
      <w:r w:rsidR="00AA1612"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зорилго, </w:t>
      </w: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ерөнхий бүтэц, зохицуулах харилцаа,</w:t>
      </w:r>
      <w:r w:rsidR="00010E32" w:rsidRPr="007D613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хамрах </w:t>
      </w:r>
      <w:r w:rsidR="00010E32" w:rsidRPr="007D6134">
        <w:rPr>
          <w:rFonts w:ascii="Arial" w:hAnsi="Arial" w:cs="Arial"/>
          <w:b/>
          <w:color w:val="000000" w:themeColor="text1"/>
          <w:sz w:val="24"/>
          <w:szCs w:val="24"/>
        </w:rPr>
        <w:t>х</w:t>
      </w: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үрээ</w:t>
      </w:r>
    </w:p>
    <w:p w14:paraId="2EFE776A" w14:textId="77777777" w:rsidR="00010E32" w:rsidRPr="007D6134" w:rsidRDefault="00010E32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56B8D1" w14:textId="5763D636" w:rsidR="00AA1612" w:rsidRPr="007D6134" w:rsidRDefault="00AA1612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төслийн</w:t>
      </w:r>
      <w:r w:rsidR="005C27C5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зорилго нь </w:t>
      </w:r>
      <w:r w:rsidR="002401E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эс</w:t>
      </w:r>
      <w:r w:rsidR="005E7FC5">
        <w:rPr>
          <w:rFonts w:ascii="Arial" w:hAnsi="Arial" w:cs="Arial"/>
          <w:color w:val="000000" w:themeColor="text1"/>
          <w:sz w:val="24"/>
          <w:szCs w:val="24"/>
        </w:rPr>
        <w:t>,</w:t>
      </w:r>
      <w:r w:rsidR="002401E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E7FC5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эд</w:t>
      </w:r>
      <w:r w:rsidR="005E7FC5">
        <w:rPr>
          <w:rFonts w:ascii="Arial" w:hAnsi="Arial" w:cs="Arial"/>
          <w:color w:val="000000" w:themeColor="text1"/>
          <w:sz w:val="24"/>
          <w:szCs w:val="24"/>
        </w:rPr>
        <w:t>,</w:t>
      </w:r>
      <w:r w:rsidR="005E7FC5" w:rsidRPr="005E7FC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E7FC5">
        <w:rPr>
          <w:rFonts w:ascii="Arial" w:hAnsi="Arial" w:cs="Arial"/>
          <w:color w:val="000000" w:themeColor="text1"/>
          <w:sz w:val="24"/>
          <w:szCs w:val="24"/>
          <w:lang w:val="mn-MN"/>
        </w:rPr>
        <w:t>эрхтэн</w:t>
      </w:r>
      <w:r w:rsidR="005E7FC5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2401E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шилжүүлэн суулгах тусламж үйлчилгээний хүрээг нэмэгдүүлэх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</w:t>
      </w:r>
      <w:r w:rsidR="005E05E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эс, эд</w:t>
      </w:r>
      <w:r w:rsidR="002401EB" w:rsidRPr="007D613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, эрхтэн шилжүүлэн суулгах үйл ажиллагааны явцад гарч болох ёс зүйн хэм хэмжээтэй холбогдсон харилцааг зохицуулах үүрэг бүхий </w:t>
      </w:r>
      <w:proofErr w:type="spellStart"/>
      <w:r w:rsidR="005E7F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мэргэжлийн</w:t>
      </w:r>
      <w:proofErr w:type="spellEnd"/>
      <w:r w:rsidR="002401E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Ё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с зүйн хороо болон нэгдсэн бүртгэл мэдээллийн сан</w:t>
      </w:r>
      <w:r w:rsidR="002401E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байгуулах эрх зүйн орчныг бүрдүүлэх, донор</w:t>
      </w:r>
      <w:r w:rsidR="005B345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, түүний гэр бүлд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C27C5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санхүүгийн болон бусад дэмжлэг, туслалцааг </w:t>
      </w:r>
      <w:r w:rsidR="002401E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үзүүлдэг</w:t>
      </w:r>
      <w:r w:rsidR="005C27C5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E05ED">
        <w:rPr>
          <w:rFonts w:ascii="Arial" w:hAnsi="Arial" w:cs="Arial"/>
          <w:color w:val="000000" w:themeColor="text1"/>
          <w:sz w:val="24"/>
          <w:szCs w:val="24"/>
          <w:lang w:val="mn-MN"/>
        </w:rPr>
        <w:t>б</w:t>
      </w:r>
      <w:proofErr w:type="spellStart"/>
      <w:r w:rsidR="005E05ED">
        <w:rPr>
          <w:rFonts w:ascii="Arial" w:hAnsi="Arial" w:cs="Arial"/>
          <w:color w:val="000000" w:themeColor="text1"/>
          <w:sz w:val="24"/>
          <w:szCs w:val="24"/>
        </w:rPr>
        <w:t>олохтой</w:t>
      </w:r>
      <w:proofErr w:type="spellEnd"/>
      <w:r w:rsidR="002401E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холбогдсон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харилцааг зохицуулахад оршино.</w:t>
      </w:r>
    </w:p>
    <w:p w14:paraId="622191CB" w14:textId="77777777" w:rsidR="00567B1C" w:rsidRPr="007D6134" w:rsidRDefault="00567B1C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5BB32E6" w14:textId="255C5111" w:rsidR="005654B2" w:rsidRPr="007D6134" w:rsidRDefault="00AA1612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төслийг Хууль тогтоомжийн тухай хуулийн 22 дугаар зүйлийн 22.1.2</w:t>
      </w:r>
      <w:r w:rsidR="005B345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-т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B345D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заасны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дагуу боловсруулсан бөгөөд </w:t>
      </w:r>
      <w:r w:rsidR="00567B1C" w:rsidRPr="007D6134">
        <w:rPr>
          <w:rFonts w:ascii="Arial" w:hAnsi="Arial" w:cs="Arial"/>
          <w:color w:val="000000"/>
          <w:sz w:val="24"/>
          <w:szCs w:val="24"/>
          <w:lang w:val="mn-MN"/>
        </w:rPr>
        <w:t>Донорын тухай хууль</w:t>
      </w:r>
      <w:r w:rsidR="00EC4F63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болон </w:t>
      </w:r>
      <w:r w:rsidR="005B345D" w:rsidRPr="007D6134">
        <w:rPr>
          <w:rFonts w:ascii="Arial" w:hAnsi="Arial" w:cs="Arial"/>
          <w:color w:val="000000"/>
          <w:sz w:val="24"/>
          <w:szCs w:val="24"/>
          <w:lang w:val="mn-MN"/>
        </w:rPr>
        <w:t>хамт өргөн мэдүүлэх хуульд дараах</w:t>
      </w:r>
      <w:r w:rsidR="00567B1C"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нэмэлт, өөрчлөлтийг тусга</w:t>
      </w:r>
      <w:r w:rsidR="00AF788C" w:rsidRPr="007D6134">
        <w:rPr>
          <w:rFonts w:ascii="Arial" w:hAnsi="Arial" w:cs="Arial"/>
          <w:color w:val="000000"/>
          <w:sz w:val="24"/>
          <w:szCs w:val="24"/>
          <w:lang w:val="mn-MN"/>
        </w:rPr>
        <w:t>лаа</w:t>
      </w:r>
      <w:r w:rsidR="00567B1C" w:rsidRPr="007D6134">
        <w:rPr>
          <w:rFonts w:ascii="Arial" w:hAnsi="Arial" w:cs="Arial"/>
          <w:color w:val="000000"/>
          <w:sz w:val="24"/>
          <w:szCs w:val="24"/>
          <w:lang w:val="mn-MN"/>
        </w:rPr>
        <w:t>:</w:t>
      </w:r>
    </w:p>
    <w:p w14:paraId="052F52A3" w14:textId="77777777" w:rsidR="0012410E" w:rsidRPr="007D6134" w:rsidRDefault="0012410E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13F41EA8" w14:textId="77777777" w:rsidR="00AF788C" w:rsidRPr="007D6134" w:rsidRDefault="00AF788C" w:rsidP="00AF788C">
      <w:pPr>
        <w:pStyle w:val="ListParagraph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6134">
        <w:rPr>
          <w:rFonts w:ascii="Arial" w:hAnsi="Arial" w:cs="Arial"/>
          <w:color w:val="000000"/>
          <w:sz w:val="24"/>
          <w:szCs w:val="24"/>
          <w:lang w:val="mn-MN"/>
        </w:rPr>
        <w:t>1.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21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насанд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хүрсэн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иргэн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сайн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дурын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үндсэн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дээр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эрхтнээ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бусдад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шилжүүлэн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суулгах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эрх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зүйн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орчин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6134">
        <w:rPr>
          <w:rFonts w:ascii="Arial" w:hAnsi="Arial" w:cs="Arial"/>
          <w:color w:val="000000"/>
          <w:sz w:val="24"/>
          <w:szCs w:val="24"/>
        </w:rPr>
        <w:t>бүрдэнэ</w:t>
      </w:r>
      <w:proofErr w:type="spellEnd"/>
      <w:r w:rsidRPr="007D6134">
        <w:rPr>
          <w:rFonts w:ascii="Arial" w:hAnsi="Arial" w:cs="Arial"/>
          <w:color w:val="000000"/>
          <w:sz w:val="24"/>
          <w:szCs w:val="24"/>
        </w:rPr>
        <w:t>.</w:t>
      </w:r>
    </w:p>
    <w:p w14:paraId="1748BCB2" w14:textId="77777777" w:rsidR="00AF788C" w:rsidRPr="007D6134" w:rsidRDefault="00AF788C" w:rsidP="00AF788C">
      <w:pPr>
        <w:pStyle w:val="ListParagraph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C7BABD7" w14:textId="77D5384A" w:rsidR="00AF788C" w:rsidRPr="007D6134" w:rsidRDefault="00AF788C" w:rsidP="00AF788C">
      <w:pPr>
        <w:pStyle w:val="ListParagraph"/>
        <w:ind w:left="0" w:firstLine="709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2.Эс, эд, эрхтний донорын нэгдсэн бүртгэл, мэдээллийн сан байгуулж, уг сангийн ажиллах журмыг эрүүл мэндийн асуудал эрхэлсэн төрийн </w:t>
      </w:r>
      <w:r w:rsidR="00B80767">
        <w:rPr>
          <w:rFonts w:ascii="Arial" w:hAnsi="Arial" w:cs="Arial"/>
          <w:color w:val="000000"/>
          <w:sz w:val="24"/>
          <w:szCs w:val="24"/>
          <w:lang w:val="mn-MN"/>
        </w:rPr>
        <w:t>захиргааны төв байгууллага бат</w:t>
      </w:r>
      <w:r w:rsidR="00B80767">
        <w:rPr>
          <w:rFonts w:ascii="Arial" w:hAnsi="Arial" w:cs="Arial"/>
          <w:color w:val="000000"/>
          <w:sz w:val="24"/>
          <w:szCs w:val="24"/>
        </w:rPr>
        <w:t>ал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на. </w:t>
      </w:r>
    </w:p>
    <w:p w14:paraId="0F7C3345" w14:textId="77777777" w:rsidR="00AF788C" w:rsidRPr="007D6134" w:rsidRDefault="00AF788C" w:rsidP="00AF788C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DCF7D2D" w14:textId="00CF7FF9" w:rsidR="00AF788C" w:rsidRPr="007D6134" w:rsidRDefault="00AF788C" w:rsidP="00AF788C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7D6134">
        <w:rPr>
          <w:rFonts w:ascii="Arial" w:hAnsi="Arial" w:cs="Arial"/>
          <w:color w:val="000000"/>
          <w:sz w:val="24"/>
          <w:szCs w:val="24"/>
          <w:lang w:val="mn-MN"/>
        </w:rPr>
        <w:t>3.Эрүүл мэндийн асуудал эрхэлсэн төрийн захиргааны төв байгууллагын дэргэд эс, эд, эрхтэн шилжүүлэн суулгах үйл ажиллагаатай холбоотой мэргэжлийн Ёс зүйн хороог байгуул</w:t>
      </w:r>
      <w:r w:rsidR="00FB4B9E" w:rsidRPr="007D6134">
        <w:rPr>
          <w:rFonts w:ascii="Arial" w:hAnsi="Arial" w:cs="Arial"/>
          <w:color w:val="000000"/>
          <w:sz w:val="24"/>
          <w:szCs w:val="24"/>
          <w:lang w:val="mn-MN"/>
        </w:rPr>
        <w:t>на.</w:t>
      </w:r>
    </w:p>
    <w:p w14:paraId="336D1121" w14:textId="77777777" w:rsidR="00FB4B9E" w:rsidRPr="007D6134" w:rsidRDefault="00FB4B9E" w:rsidP="00AF788C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3F8AF69D" w14:textId="77777777" w:rsidR="00AF788C" w:rsidRPr="007D6134" w:rsidRDefault="00AF788C" w:rsidP="00AF788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7D6134">
        <w:rPr>
          <w:rFonts w:ascii="Arial" w:hAnsi="Arial" w:cs="Arial"/>
          <w:color w:val="000000"/>
          <w:sz w:val="24"/>
          <w:szCs w:val="24"/>
          <w:lang w:val="mn-MN"/>
        </w:rPr>
        <w:t>4.</w:t>
      </w:r>
      <w:r w:rsidRPr="007D6134">
        <w:rPr>
          <w:rFonts w:ascii="Arial" w:eastAsia="Times New Roman" w:hAnsi="Arial" w:cs="Arial"/>
          <w:color w:val="000000"/>
          <w:sz w:val="24"/>
          <w:szCs w:val="24"/>
          <w:lang w:val="mn-MN"/>
        </w:rPr>
        <w:t>Нийгмийн даатгалын сангаас амьгүй донорын оршуулгын тэтгэмжид санхүүгийн дэмжлэг  үзүүлэх эрх зүйн орчин бий болно.</w:t>
      </w:r>
    </w:p>
    <w:p w14:paraId="5123B6B5" w14:textId="77777777" w:rsidR="00AF788C" w:rsidRPr="007D6134" w:rsidRDefault="00AF788C" w:rsidP="00AF788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62251724" w14:textId="77777777" w:rsidR="00AF788C" w:rsidRPr="007D6134" w:rsidRDefault="00AF788C" w:rsidP="00AF788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7D6134">
        <w:rPr>
          <w:rFonts w:ascii="Arial" w:eastAsia="Times New Roman" w:hAnsi="Arial" w:cs="Arial"/>
          <w:color w:val="000000"/>
          <w:sz w:val="24"/>
          <w:szCs w:val="24"/>
          <w:lang w:val="mn-MN"/>
        </w:rPr>
        <w:t>5.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>Амьд донорууд жилд нэг удаа дотоодын рашаан сувилалд үнэ төлбөргүй сувилуулах эрхтэй болно.</w:t>
      </w:r>
    </w:p>
    <w:p w14:paraId="43F5B4AB" w14:textId="77777777" w:rsidR="00AF788C" w:rsidRPr="007D6134" w:rsidRDefault="00AF788C" w:rsidP="00AF788C">
      <w:pPr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mn-MN"/>
        </w:rPr>
      </w:pPr>
    </w:p>
    <w:p w14:paraId="799C5D0B" w14:textId="61C9E3E1" w:rsidR="00E64FE3" w:rsidRPr="007D6134" w:rsidRDefault="00FB4B9E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</w:pPr>
      <w:r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Г</w:t>
      </w:r>
      <w:r w:rsidR="00E64FE3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 xml:space="preserve">урав.Хуулийн төсөл батлагдсаны дараа үүсч болох эдийн </w:t>
      </w:r>
      <w:r w:rsidR="004D4620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4FE3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засаг, нийгэм,</w:t>
      </w:r>
      <w:r w:rsidR="00010E32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4FE3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хууль зүй</w:t>
      </w:r>
      <w:r w:rsidR="00EE7D63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н</w:t>
      </w:r>
      <w:r w:rsidR="00E64FE3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 xml:space="preserve"> үр дагавар, тэдгээрийг</w:t>
      </w:r>
      <w:r w:rsidR="00010E32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4FE3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шийдвэрлэх талаар авч</w:t>
      </w:r>
      <w:r w:rsidR="00010E32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4FE3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хэ</w:t>
      </w:r>
      <w:r w:rsidR="005654B2" w:rsidRPr="007D61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рэгжүүлэх арга хэмжээний талаар</w:t>
      </w:r>
    </w:p>
    <w:p w14:paraId="39E95D97" w14:textId="77777777" w:rsidR="00010E32" w:rsidRPr="007D6134" w:rsidRDefault="00010E32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22DADB68" w14:textId="0255C6DF" w:rsidR="00F1302F" w:rsidRPr="00F45FCB" w:rsidRDefault="00F1302F" w:rsidP="00CD6891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D6134">
        <w:rPr>
          <w:rFonts w:ascii="Arial" w:hAnsi="Arial" w:cs="Arial"/>
          <w:color w:val="000000"/>
          <w:sz w:val="24"/>
          <w:szCs w:val="24"/>
          <w:lang w:val="mn-MN"/>
        </w:rPr>
        <w:t>Донорын тухай хуульд нэмэлт, өөрчлөлт оруулах тухай хуулийн төслийг хэрэгжүүлэхэд</w:t>
      </w:r>
      <w:r w:rsidR="005D167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амьд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донорыг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магадлан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итгэмжлэгдсэн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дотоодын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рашаан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сувилалд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lastRenderedPageBreak/>
        <w:t>жилд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нэг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удаа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үнэ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төлбөргүй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сувилуулах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D6134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амьгүй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донорын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оршуулгад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зориулан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оршуулгын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тэтгэмж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олгох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боломжтой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5FCB">
        <w:rPr>
          <w:rFonts w:ascii="Arial" w:hAnsi="Arial" w:cs="Arial"/>
          <w:color w:val="000000"/>
          <w:sz w:val="24"/>
          <w:szCs w:val="24"/>
        </w:rPr>
        <w:t>болно</w:t>
      </w:r>
      <w:proofErr w:type="spellEnd"/>
      <w:r w:rsidR="00F45FCB">
        <w:rPr>
          <w:rFonts w:ascii="Arial" w:hAnsi="Arial" w:cs="Arial"/>
          <w:color w:val="000000"/>
          <w:sz w:val="24"/>
          <w:szCs w:val="24"/>
        </w:rPr>
        <w:t>.</w:t>
      </w:r>
    </w:p>
    <w:p w14:paraId="5E559AB2" w14:textId="77777777" w:rsidR="00F45FCB" w:rsidRPr="007D6134" w:rsidRDefault="00F45FCB" w:rsidP="00CD6891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EAA77BD" w14:textId="24137BA5" w:rsidR="00E64FE3" w:rsidRPr="007D6134" w:rsidRDefault="00CB6128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Хуулийн төсөл батлагдсанаар </w:t>
      </w:r>
      <w:r w:rsidR="00025C6E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эс, эд, эрхтэн 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шилжүүлэн суулгах тусламж үйлчилгээний хүрээ нэмэгдэж, гада</w:t>
      </w:r>
      <w:r w:rsidR="00EE7D63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адын улс оронд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тусламж</w:t>
      </w:r>
      <w:r w:rsidR="00EE7D63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үйлчилгээ </w:t>
      </w:r>
      <w:r w:rsidR="00EE7D63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авах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иргэдийн тоо буурч, иргэд</w:t>
      </w:r>
      <w:r w:rsidR="00F1302F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ийн</w:t>
      </w:r>
      <w:r w:rsidR="00834FC7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амьд явах, эрүүл мэндээ хамгаалуулах, эмнэлгийн тусламж</w:t>
      </w:r>
      <w:r w:rsidR="00EE7D63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, үйлчилгээ</w:t>
      </w: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авах эрх хангагдана. </w:t>
      </w:r>
    </w:p>
    <w:p w14:paraId="39007A3B" w14:textId="625E0B96" w:rsidR="009931E7" w:rsidRPr="007D6134" w:rsidRDefault="009931E7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AC53C50" w14:textId="0734A4AE" w:rsidR="00010E32" w:rsidRPr="007D6134" w:rsidRDefault="006214E0" w:rsidP="00CD6891">
      <w:pPr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Донорын тухай </w:t>
      </w:r>
      <w:r w:rsidR="00EE7D63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хуулийн эрх зүйн орчин </w:t>
      </w:r>
      <w:r w:rsidR="00F1302F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илүү боловсронгуй болно.</w:t>
      </w:r>
    </w:p>
    <w:p w14:paraId="539B36D4" w14:textId="77777777" w:rsidR="00CB6128" w:rsidRPr="007D6134" w:rsidRDefault="00CB6128" w:rsidP="00CD689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7AF408C" w14:textId="442CC7E0" w:rsidR="00E11D74" w:rsidRPr="007D6134" w:rsidRDefault="00E11D74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Дөрөв.Хуулийн төсөл Монгол Улсын Үндсэн хууль болон бусад хуультай</w:t>
      </w:r>
      <w:r w:rsidR="00010E32" w:rsidRPr="007D613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хэрхэн уялдах, түүнийг хэрэгжүүлэх зорилгоор</w:t>
      </w:r>
      <w:r w:rsidR="004D4620" w:rsidRPr="007D613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цаашид шинээр</w:t>
      </w:r>
      <w:r w:rsidR="00010E32" w:rsidRPr="007D613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боловсруулах буюу нэмэлт, өөрчлөлт оруулах, хүчингүй болгох</w:t>
      </w:r>
      <w:r w:rsidR="00010E32" w:rsidRPr="007D613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хуулийн талаар</w:t>
      </w:r>
    </w:p>
    <w:p w14:paraId="18DC4CB2" w14:textId="77777777" w:rsidR="00010E32" w:rsidRPr="007D6134" w:rsidRDefault="00010E32" w:rsidP="00CD6891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494C1E5D" w14:textId="61F4685D" w:rsidR="00E11D74" w:rsidRPr="007D6134" w:rsidRDefault="00E11D74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төсөл нь Монгол Улсын Үн</w:t>
      </w:r>
      <w:r w:rsidR="005654B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дсэн хууль</w:t>
      </w:r>
      <w:r w:rsidR="00EE7D63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болон</w:t>
      </w:r>
      <w:r w:rsidR="005654B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EE7D63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холбогдох х</w:t>
      </w:r>
      <w:r w:rsidR="005654B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ууль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тогтоомжтой </w:t>
      </w:r>
      <w:r w:rsidR="005654B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нийцсэн бөгөөд </w:t>
      </w:r>
      <w:r w:rsidR="00F9260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уг хуулийн төсөлтэй холбогдуулан</w:t>
      </w:r>
      <w:r w:rsidR="005654B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C53EB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Эрүүл мэндийн тухай хуульд нэмэлт оруулах тухай, </w:t>
      </w:r>
      <w:r w:rsidR="00765BA8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Нийгмийн даатгалын сангаас олгох тэтгэвэр, тэтгэмжийн тухай хуульд нэмэлт оруулах тухай</w:t>
      </w:r>
      <w:r w:rsidR="008807D2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370D7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хуулийн </w:t>
      </w:r>
      <w:r w:rsidR="00765BA8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>төслийг</w:t>
      </w:r>
      <w:r w:rsidR="00F9260B" w:rsidRPr="007D613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боловсруулсан болно. </w:t>
      </w:r>
    </w:p>
    <w:p w14:paraId="35E28F18" w14:textId="77777777" w:rsidR="00F9260B" w:rsidRPr="007D6134" w:rsidRDefault="00F9260B" w:rsidP="00CD689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835B805" w14:textId="77777777" w:rsidR="005654B2" w:rsidRPr="007D6134" w:rsidRDefault="005654B2" w:rsidP="00CD6891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FE15051" w14:textId="77777777" w:rsidR="005654B2" w:rsidRPr="007D6134" w:rsidRDefault="005654B2" w:rsidP="00CD6891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---</w:t>
      </w:r>
      <w:proofErr w:type="spellStart"/>
      <w:r w:rsidRPr="007D6134">
        <w:rPr>
          <w:rFonts w:ascii="Arial" w:hAnsi="Arial" w:cs="Arial"/>
          <w:b/>
          <w:color w:val="000000" w:themeColor="text1"/>
          <w:sz w:val="24"/>
          <w:szCs w:val="24"/>
        </w:rPr>
        <w:t>oOo</w:t>
      </w:r>
      <w:proofErr w:type="spellEnd"/>
      <w:r w:rsidRPr="007D613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---</w:t>
      </w:r>
    </w:p>
    <w:sectPr w:rsidR="005654B2" w:rsidRPr="007D6134" w:rsidSect="00CD6891">
      <w:pgSz w:w="12240" w:h="15840" w:code="1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38AF" w14:textId="77777777" w:rsidR="0013018E" w:rsidRDefault="0013018E" w:rsidP="00EB39F9">
      <w:r>
        <w:separator/>
      </w:r>
    </w:p>
  </w:endnote>
  <w:endnote w:type="continuationSeparator" w:id="0">
    <w:p w14:paraId="0A91476E" w14:textId="77777777" w:rsidR="0013018E" w:rsidRDefault="0013018E" w:rsidP="00EB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9B2E" w14:textId="77777777" w:rsidR="0013018E" w:rsidRDefault="0013018E" w:rsidP="00EB39F9">
      <w:r>
        <w:separator/>
      </w:r>
    </w:p>
  </w:footnote>
  <w:footnote w:type="continuationSeparator" w:id="0">
    <w:p w14:paraId="18CE70D7" w14:textId="77777777" w:rsidR="0013018E" w:rsidRDefault="0013018E" w:rsidP="00EB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F3B"/>
    <w:multiLevelType w:val="hybridMultilevel"/>
    <w:tmpl w:val="DB26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51B1"/>
    <w:multiLevelType w:val="hybridMultilevel"/>
    <w:tmpl w:val="5D284480"/>
    <w:lvl w:ilvl="0" w:tplc="302C8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09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E3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A5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4E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0D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04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EA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A6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EA1585"/>
    <w:multiLevelType w:val="hybridMultilevel"/>
    <w:tmpl w:val="94AE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91"/>
    <w:multiLevelType w:val="hybridMultilevel"/>
    <w:tmpl w:val="A7EC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185900">
    <w:abstractNumId w:val="3"/>
  </w:num>
  <w:num w:numId="2" w16cid:durableId="296763777">
    <w:abstractNumId w:val="2"/>
  </w:num>
  <w:num w:numId="3" w16cid:durableId="1925142330">
    <w:abstractNumId w:val="0"/>
  </w:num>
  <w:num w:numId="4" w16cid:durableId="211166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F6"/>
    <w:rsid w:val="00010E32"/>
    <w:rsid w:val="00021F2D"/>
    <w:rsid w:val="00023C1B"/>
    <w:rsid w:val="00025C6E"/>
    <w:rsid w:val="000423B1"/>
    <w:rsid w:val="000458CC"/>
    <w:rsid w:val="000554EA"/>
    <w:rsid w:val="00071B5A"/>
    <w:rsid w:val="00080640"/>
    <w:rsid w:val="000B2245"/>
    <w:rsid w:val="000C1B69"/>
    <w:rsid w:val="000F3023"/>
    <w:rsid w:val="000F34FA"/>
    <w:rsid w:val="000F480D"/>
    <w:rsid w:val="0011310C"/>
    <w:rsid w:val="0012410E"/>
    <w:rsid w:val="0013018E"/>
    <w:rsid w:val="001308B1"/>
    <w:rsid w:val="00146087"/>
    <w:rsid w:val="00151335"/>
    <w:rsid w:val="001528CE"/>
    <w:rsid w:val="00156DC7"/>
    <w:rsid w:val="001677C4"/>
    <w:rsid w:val="00174BB9"/>
    <w:rsid w:val="001843C3"/>
    <w:rsid w:val="001D5592"/>
    <w:rsid w:val="001E18AD"/>
    <w:rsid w:val="001F69E2"/>
    <w:rsid w:val="00200D90"/>
    <w:rsid w:val="00234C7E"/>
    <w:rsid w:val="002401EB"/>
    <w:rsid w:val="00264352"/>
    <w:rsid w:val="00270F60"/>
    <w:rsid w:val="002970FC"/>
    <w:rsid w:val="002A5109"/>
    <w:rsid w:val="002A74B9"/>
    <w:rsid w:val="002B2D3A"/>
    <w:rsid w:val="002B52FF"/>
    <w:rsid w:val="002D1A88"/>
    <w:rsid w:val="002F74FF"/>
    <w:rsid w:val="00316A19"/>
    <w:rsid w:val="00346980"/>
    <w:rsid w:val="003527F9"/>
    <w:rsid w:val="0036092D"/>
    <w:rsid w:val="00362211"/>
    <w:rsid w:val="003679A4"/>
    <w:rsid w:val="00370D7B"/>
    <w:rsid w:val="003B2E70"/>
    <w:rsid w:val="003B65FB"/>
    <w:rsid w:val="003C22E5"/>
    <w:rsid w:val="003C394D"/>
    <w:rsid w:val="003E2351"/>
    <w:rsid w:val="003E5D2C"/>
    <w:rsid w:val="003F440B"/>
    <w:rsid w:val="003F4734"/>
    <w:rsid w:val="00402B9D"/>
    <w:rsid w:val="004169AF"/>
    <w:rsid w:val="00432837"/>
    <w:rsid w:val="00457B6A"/>
    <w:rsid w:val="004616D3"/>
    <w:rsid w:val="0047167D"/>
    <w:rsid w:val="004716F6"/>
    <w:rsid w:val="004C3670"/>
    <w:rsid w:val="004C3E66"/>
    <w:rsid w:val="004C4026"/>
    <w:rsid w:val="004D4620"/>
    <w:rsid w:val="004D5971"/>
    <w:rsid w:val="004D7339"/>
    <w:rsid w:val="004F1DCC"/>
    <w:rsid w:val="005207EF"/>
    <w:rsid w:val="00525FDD"/>
    <w:rsid w:val="005310D1"/>
    <w:rsid w:val="00534CB6"/>
    <w:rsid w:val="0056290B"/>
    <w:rsid w:val="005654B2"/>
    <w:rsid w:val="00567B1C"/>
    <w:rsid w:val="005815D1"/>
    <w:rsid w:val="005B345D"/>
    <w:rsid w:val="005C08D9"/>
    <w:rsid w:val="005C27C5"/>
    <w:rsid w:val="005C5FB1"/>
    <w:rsid w:val="005D1674"/>
    <w:rsid w:val="005E05ED"/>
    <w:rsid w:val="005E7FC5"/>
    <w:rsid w:val="006214E0"/>
    <w:rsid w:val="00621889"/>
    <w:rsid w:val="006360DA"/>
    <w:rsid w:val="006364C2"/>
    <w:rsid w:val="00647EFE"/>
    <w:rsid w:val="00662B7B"/>
    <w:rsid w:val="00666E06"/>
    <w:rsid w:val="00675A32"/>
    <w:rsid w:val="00681DCF"/>
    <w:rsid w:val="006B3DCA"/>
    <w:rsid w:val="006B5968"/>
    <w:rsid w:val="006C1201"/>
    <w:rsid w:val="006D335A"/>
    <w:rsid w:val="00701141"/>
    <w:rsid w:val="007402A8"/>
    <w:rsid w:val="007622D0"/>
    <w:rsid w:val="00765BA8"/>
    <w:rsid w:val="0077664B"/>
    <w:rsid w:val="007D6134"/>
    <w:rsid w:val="007E3F3C"/>
    <w:rsid w:val="0081270F"/>
    <w:rsid w:val="008128CD"/>
    <w:rsid w:val="00834FC7"/>
    <w:rsid w:val="00840910"/>
    <w:rsid w:val="008807D2"/>
    <w:rsid w:val="0089479E"/>
    <w:rsid w:val="008C4697"/>
    <w:rsid w:val="00914055"/>
    <w:rsid w:val="00917C19"/>
    <w:rsid w:val="00927E76"/>
    <w:rsid w:val="009518A9"/>
    <w:rsid w:val="009849D3"/>
    <w:rsid w:val="009931E7"/>
    <w:rsid w:val="009B74AF"/>
    <w:rsid w:val="009E4A66"/>
    <w:rsid w:val="009F00CD"/>
    <w:rsid w:val="00A12341"/>
    <w:rsid w:val="00A14D9D"/>
    <w:rsid w:val="00A32269"/>
    <w:rsid w:val="00A34B6E"/>
    <w:rsid w:val="00A36265"/>
    <w:rsid w:val="00A55E2A"/>
    <w:rsid w:val="00A57A65"/>
    <w:rsid w:val="00A73ED2"/>
    <w:rsid w:val="00A94ED7"/>
    <w:rsid w:val="00AA1612"/>
    <w:rsid w:val="00AC2C84"/>
    <w:rsid w:val="00AD0134"/>
    <w:rsid w:val="00AF788C"/>
    <w:rsid w:val="00B11735"/>
    <w:rsid w:val="00B43B66"/>
    <w:rsid w:val="00B50A03"/>
    <w:rsid w:val="00B50B8B"/>
    <w:rsid w:val="00B55925"/>
    <w:rsid w:val="00B80767"/>
    <w:rsid w:val="00B81FE8"/>
    <w:rsid w:val="00B968D9"/>
    <w:rsid w:val="00BB2B28"/>
    <w:rsid w:val="00BC4008"/>
    <w:rsid w:val="00BD76AB"/>
    <w:rsid w:val="00BF3D46"/>
    <w:rsid w:val="00C01AF5"/>
    <w:rsid w:val="00C21E9A"/>
    <w:rsid w:val="00C352B9"/>
    <w:rsid w:val="00C53EB2"/>
    <w:rsid w:val="00C67676"/>
    <w:rsid w:val="00C727A1"/>
    <w:rsid w:val="00C862FC"/>
    <w:rsid w:val="00CB0090"/>
    <w:rsid w:val="00CB6128"/>
    <w:rsid w:val="00CD56C0"/>
    <w:rsid w:val="00CD6891"/>
    <w:rsid w:val="00CE5A67"/>
    <w:rsid w:val="00CF303E"/>
    <w:rsid w:val="00D121A0"/>
    <w:rsid w:val="00D179C9"/>
    <w:rsid w:val="00D372B8"/>
    <w:rsid w:val="00D461E5"/>
    <w:rsid w:val="00D55C36"/>
    <w:rsid w:val="00D56FB5"/>
    <w:rsid w:val="00D72487"/>
    <w:rsid w:val="00D72A96"/>
    <w:rsid w:val="00D96582"/>
    <w:rsid w:val="00DB1AD2"/>
    <w:rsid w:val="00DE1C48"/>
    <w:rsid w:val="00DE4167"/>
    <w:rsid w:val="00DF6365"/>
    <w:rsid w:val="00E11D74"/>
    <w:rsid w:val="00E31AFA"/>
    <w:rsid w:val="00E323A1"/>
    <w:rsid w:val="00E331EC"/>
    <w:rsid w:val="00E354A3"/>
    <w:rsid w:val="00E5791D"/>
    <w:rsid w:val="00E64FE3"/>
    <w:rsid w:val="00E86CDE"/>
    <w:rsid w:val="00E914E8"/>
    <w:rsid w:val="00EA2BF6"/>
    <w:rsid w:val="00EA7FE3"/>
    <w:rsid w:val="00EB39F9"/>
    <w:rsid w:val="00EB4AEA"/>
    <w:rsid w:val="00EB616A"/>
    <w:rsid w:val="00EC4F63"/>
    <w:rsid w:val="00EE7D63"/>
    <w:rsid w:val="00F12A28"/>
    <w:rsid w:val="00F1302F"/>
    <w:rsid w:val="00F221FD"/>
    <w:rsid w:val="00F312E5"/>
    <w:rsid w:val="00F334C5"/>
    <w:rsid w:val="00F370ED"/>
    <w:rsid w:val="00F432B1"/>
    <w:rsid w:val="00F45FCB"/>
    <w:rsid w:val="00F706E3"/>
    <w:rsid w:val="00F7655F"/>
    <w:rsid w:val="00F8628D"/>
    <w:rsid w:val="00F9260B"/>
    <w:rsid w:val="00FA1A58"/>
    <w:rsid w:val="00FB4B9E"/>
    <w:rsid w:val="00FE17F4"/>
    <w:rsid w:val="00FF4A3E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EDB0"/>
  <w15:docId w15:val="{76D56C46-82F8-5E45-BD12-5EC1051F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6CDE"/>
    <w:rPr>
      <w:b/>
      <w:bCs/>
    </w:rPr>
  </w:style>
  <w:style w:type="paragraph" w:styleId="ListParagraph">
    <w:name w:val="List Paragraph"/>
    <w:aliases w:val="Paragraph,List Paragraph1"/>
    <w:basedOn w:val="Normal"/>
    <w:link w:val="ListParagraphChar"/>
    <w:uiPriority w:val="99"/>
    <w:qFormat/>
    <w:rsid w:val="00E323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12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5654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3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9F9"/>
  </w:style>
  <w:style w:type="paragraph" w:styleId="Footer">
    <w:name w:val="footer"/>
    <w:basedOn w:val="Normal"/>
    <w:link w:val="FooterChar"/>
    <w:uiPriority w:val="99"/>
    <w:unhideWhenUsed/>
    <w:rsid w:val="00EB3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9F9"/>
  </w:style>
  <w:style w:type="character" w:customStyle="1" w:styleId="ListParagraphChar">
    <w:name w:val="List Paragraph Char"/>
    <w:aliases w:val="Paragraph Char,List Paragraph1 Char"/>
    <w:link w:val="ListParagraph"/>
    <w:uiPriority w:val="34"/>
    <w:locked/>
    <w:rsid w:val="00567B1C"/>
  </w:style>
  <w:style w:type="character" w:styleId="SubtleEmphasis">
    <w:name w:val="Subtle Emphasis"/>
    <w:basedOn w:val="DefaultParagraphFont"/>
    <w:uiPriority w:val="19"/>
    <w:qFormat/>
    <w:rsid w:val="00F334C5"/>
    <w:rPr>
      <w:i/>
      <w:iCs/>
      <w:color w:val="404040" w:themeColor="text1" w:themeTint="BF"/>
    </w:rPr>
  </w:style>
  <w:style w:type="character" w:styleId="Hyperlink">
    <w:name w:val="Hyperlink"/>
    <w:rsid w:val="001F6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03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991FC5-EEA3-B94E-A3A8-3F7BACB7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Elbegzaya Jargalsaikhan</cp:lastModifiedBy>
  <cp:revision>2</cp:revision>
  <cp:lastPrinted>2021-02-09T04:32:00Z</cp:lastPrinted>
  <dcterms:created xsi:type="dcterms:W3CDTF">2022-05-06T05:32:00Z</dcterms:created>
  <dcterms:modified xsi:type="dcterms:W3CDTF">2022-05-06T05:32:00Z</dcterms:modified>
</cp:coreProperties>
</file>