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5C190" w14:textId="4C3A37CB" w:rsidR="007D6D46" w:rsidRPr="00383DF1" w:rsidRDefault="007D6D46" w:rsidP="00C55CA8">
      <w:pPr>
        <w:pStyle w:val="NormalWeb"/>
        <w:jc w:val="center"/>
        <w:rPr>
          <w:rFonts w:ascii="Arial" w:hAnsi="Arial" w:cs="Arial"/>
          <w:b/>
          <w:bCs/>
          <w:lang w:val="mn-MN"/>
        </w:rPr>
      </w:pPr>
      <w:r w:rsidRPr="00383DF1">
        <w:rPr>
          <w:rFonts w:ascii="Arial" w:hAnsi="Arial" w:cs="Arial"/>
          <w:b/>
          <w:bCs/>
        </w:rPr>
        <w:t>“</w:t>
      </w:r>
      <w:r w:rsidRPr="00383DF1">
        <w:rPr>
          <w:rFonts w:ascii="Arial" w:hAnsi="Arial" w:cs="Arial"/>
          <w:b/>
          <w:bCs/>
          <w:lang w:val="mn-MN"/>
        </w:rPr>
        <w:t>Төрийн болон орон нутгийн өмчит хуулийн этгээдийг шинээр байгуулахыг түр хориглох, тэдгээрийн үр ашиг, менежментийг сайжруулах тухай</w:t>
      </w:r>
      <w:r w:rsidRPr="00383DF1">
        <w:rPr>
          <w:rFonts w:ascii="Arial" w:hAnsi="Arial" w:cs="Arial"/>
          <w:b/>
          <w:bCs/>
        </w:rPr>
        <w:t>”</w:t>
      </w:r>
      <w:r w:rsidRPr="00383DF1">
        <w:rPr>
          <w:rFonts w:ascii="Arial" w:hAnsi="Arial" w:cs="Arial"/>
          <w:b/>
          <w:bCs/>
          <w:lang w:val="mn-MN"/>
        </w:rPr>
        <w:t xml:space="preserve"> УИХ</w:t>
      </w:r>
      <w:r w:rsidR="00383DF1" w:rsidRPr="00383DF1">
        <w:rPr>
          <w:rFonts w:ascii="Arial" w:hAnsi="Arial" w:cs="Arial"/>
          <w:b/>
          <w:bCs/>
        </w:rPr>
        <w:t>-</w:t>
      </w:r>
      <w:r w:rsidR="00383DF1" w:rsidRPr="00383DF1">
        <w:rPr>
          <w:rFonts w:ascii="Arial" w:hAnsi="Arial" w:cs="Arial"/>
          <w:b/>
          <w:bCs/>
          <w:lang w:val="mn-MN"/>
        </w:rPr>
        <w:t>ын</w:t>
      </w:r>
      <w:r w:rsidRPr="00383DF1">
        <w:rPr>
          <w:rFonts w:ascii="Arial" w:hAnsi="Arial" w:cs="Arial"/>
          <w:b/>
          <w:bCs/>
          <w:lang w:val="mn-MN"/>
        </w:rPr>
        <w:t xml:space="preserve"> </w:t>
      </w:r>
      <w:r w:rsidR="00C55CA8" w:rsidRPr="00383DF1">
        <w:rPr>
          <w:rFonts w:ascii="Arial" w:hAnsi="Arial" w:cs="Arial"/>
          <w:b/>
          <w:bCs/>
          <w:lang w:val="mn-MN"/>
        </w:rPr>
        <w:t>тогтоолын төслийн т</w:t>
      </w:r>
      <w:r w:rsidRPr="00383DF1">
        <w:rPr>
          <w:rFonts w:ascii="Arial" w:hAnsi="Arial" w:cs="Arial"/>
          <w:b/>
          <w:bCs/>
          <w:lang w:val="mn-MN"/>
        </w:rPr>
        <w:t>оон судалгаа</w:t>
      </w:r>
    </w:p>
    <w:p w14:paraId="2C8C71CF" w14:textId="47F4D5AA" w:rsidR="00B85F25" w:rsidRDefault="00A85F10" w:rsidP="00A85F10">
      <w:pPr>
        <w:ind w:firstLine="720"/>
        <w:jc w:val="both"/>
        <w:rPr>
          <w:rFonts w:ascii="Arial" w:hAnsi="Arial" w:cs="Arial"/>
          <w:sz w:val="24"/>
          <w:szCs w:val="24"/>
          <w:lang w:val="mn-MN"/>
        </w:rPr>
      </w:pPr>
      <w:r>
        <w:rPr>
          <w:rFonts w:ascii="Arial" w:hAnsi="Arial" w:cs="Arial"/>
          <w:sz w:val="24"/>
          <w:szCs w:val="24"/>
          <w:lang w:val="mn-MN"/>
        </w:rPr>
        <w:t xml:space="preserve">Тогтоолын </w:t>
      </w:r>
      <w:r w:rsidR="007928F5">
        <w:rPr>
          <w:rFonts w:ascii="Arial" w:hAnsi="Arial" w:cs="Arial"/>
          <w:sz w:val="24"/>
          <w:szCs w:val="24"/>
          <w:lang w:val="mn-MN"/>
        </w:rPr>
        <w:t>төсөл, үзэл баримтлалын төслийг</w:t>
      </w:r>
      <w:r>
        <w:rPr>
          <w:rFonts w:ascii="Arial" w:hAnsi="Arial" w:cs="Arial"/>
          <w:sz w:val="24"/>
          <w:szCs w:val="24"/>
          <w:lang w:val="mn-MN"/>
        </w:rPr>
        <w:t xml:space="preserve"> боловсруулахдаа Монгол Улсын статистикийн ерөнхий газар, Татварын ерөнхий газар, Гаалийн ерөнхий газар, Нийгмийн </w:t>
      </w:r>
      <w:r w:rsidR="009B0CC0">
        <w:rPr>
          <w:rFonts w:ascii="Arial" w:hAnsi="Arial" w:cs="Arial"/>
          <w:sz w:val="24"/>
          <w:szCs w:val="24"/>
          <w:lang w:val="mn-MN"/>
        </w:rPr>
        <w:t>даатгалын ерөнхий газрын тоон мэдээлэл</w:t>
      </w:r>
      <w:r w:rsidR="00444AC2">
        <w:rPr>
          <w:rFonts w:ascii="Arial" w:hAnsi="Arial" w:cs="Arial"/>
          <w:sz w:val="24"/>
          <w:szCs w:val="24"/>
          <w:lang w:val="mn-MN"/>
        </w:rPr>
        <w:t xml:space="preserve"> болон шилэн дансны мэдээлэл </w:t>
      </w:r>
      <w:r w:rsidR="009B0CC0">
        <w:rPr>
          <w:rFonts w:ascii="Arial" w:hAnsi="Arial" w:cs="Arial"/>
          <w:sz w:val="24"/>
          <w:szCs w:val="24"/>
          <w:lang w:val="mn-MN"/>
        </w:rPr>
        <w:t>дээр үндэслэлээ.</w:t>
      </w:r>
    </w:p>
    <w:p w14:paraId="22F6E526" w14:textId="77777777" w:rsidR="009B0CC0" w:rsidRDefault="00890484" w:rsidP="00A85F10">
      <w:pPr>
        <w:ind w:firstLine="720"/>
        <w:jc w:val="both"/>
        <w:rPr>
          <w:rFonts w:ascii="Arial" w:hAnsi="Arial" w:cs="Arial"/>
          <w:sz w:val="24"/>
          <w:szCs w:val="24"/>
          <w:lang w:val="mn-MN"/>
        </w:rPr>
      </w:pPr>
      <w:r>
        <w:rPr>
          <w:rFonts w:ascii="Arial" w:hAnsi="Arial" w:cs="Arial"/>
          <w:sz w:val="24"/>
          <w:szCs w:val="24"/>
          <w:lang w:val="mn-MN"/>
        </w:rPr>
        <w:t>С</w:t>
      </w:r>
      <w:r w:rsidR="005A4FE8">
        <w:rPr>
          <w:rFonts w:ascii="Arial" w:hAnsi="Arial" w:cs="Arial"/>
          <w:sz w:val="24"/>
          <w:szCs w:val="24"/>
          <w:lang w:val="mn-MN"/>
        </w:rPr>
        <w:t>үүлийн 10 жилийн дунджаар авч үзвэл</w:t>
      </w:r>
      <w:r>
        <w:rPr>
          <w:rFonts w:ascii="Arial" w:hAnsi="Arial" w:cs="Arial"/>
          <w:sz w:val="24"/>
          <w:szCs w:val="24"/>
          <w:lang w:val="mn-MN"/>
        </w:rPr>
        <w:t xml:space="preserve"> Монгол Улсын төсвийн орлогын 82.8 хувийг татварын орлого, татварын орлогын 33 хувийг төрийн болон орон нутгийн өмчийн 107 компани</w:t>
      </w:r>
      <w:r w:rsidR="00036661">
        <w:rPr>
          <w:rFonts w:ascii="Arial" w:hAnsi="Arial" w:cs="Arial"/>
          <w:sz w:val="24"/>
          <w:szCs w:val="24"/>
          <w:lang w:val="mn-MN"/>
        </w:rPr>
        <w:t>, үйлдвэрийн газар</w:t>
      </w:r>
      <w:r w:rsidR="00A34D17">
        <w:rPr>
          <w:rFonts w:ascii="Arial" w:hAnsi="Arial" w:cs="Arial"/>
          <w:sz w:val="24"/>
          <w:szCs w:val="24"/>
          <w:lang w:val="mn-MN"/>
        </w:rPr>
        <w:t xml:space="preserve"> /ТӨААН/</w:t>
      </w:r>
      <w:r>
        <w:rPr>
          <w:rFonts w:ascii="Arial" w:hAnsi="Arial" w:cs="Arial"/>
          <w:sz w:val="24"/>
          <w:szCs w:val="24"/>
          <w:lang w:val="mn-MN"/>
        </w:rPr>
        <w:t xml:space="preserve"> бүрдүүлж байна. </w:t>
      </w:r>
      <w:r w:rsidR="00BE727C">
        <w:rPr>
          <w:rFonts w:ascii="Arial" w:hAnsi="Arial" w:cs="Arial"/>
          <w:sz w:val="24"/>
          <w:szCs w:val="24"/>
          <w:lang w:val="mn-MN"/>
        </w:rPr>
        <w:t xml:space="preserve">Шилэн дансанд нийтдээ </w:t>
      </w:r>
      <w:r w:rsidR="00A76D37">
        <w:rPr>
          <w:rFonts w:ascii="Arial" w:hAnsi="Arial" w:cs="Arial"/>
          <w:sz w:val="24"/>
          <w:szCs w:val="24"/>
          <w:lang w:val="mn-MN"/>
        </w:rPr>
        <w:t xml:space="preserve">төрийн болон орон нутгийн өмчийн оролцоотой 461 компани, үйлдвэрийн газар </w:t>
      </w:r>
      <w:r w:rsidR="00E20375">
        <w:rPr>
          <w:rFonts w:ascii="Arial" w:hAnsi="Arial" w:cs="Arial"/>
          <w:sz w:val="24"/>
          <w:szCs w:val="24"/>
          <w:lang w:val="mn-MN"/>
        </w:rPr>
        <w:t>бүртгэлтэй байдаг бөгөөд үүнээс томоохон 107 компанийн татварын мэдээлэлд үндэслэн тооцооллоо.</w:t>
      </w:r>
    </w:p>
    <w:p w14:paraId="74C19933" w14:textId="77777777" w:rsidR="00AD6B5A" w:rsidRDefault="00AD6B5A" w:rsidP="00AD6B5A">
      <w:pPr>
        <w:spacing w:after="0"/>
        <w:jc w:val="both"/>
        <w:rPr>
          <w:rFonts w:ascii="Arial" w:hAnsi="Arial" w:cs="Arial"/>
          <w:sz w:val="24"/>
          <w:szCs w:val="24"/>
          <w:lang w:val="mn-MN"/>
        </w:rPr>
      </w:pPr>
      <w:r>
        <w:rPr>
          <w:rFonts w:ascii="Arial" w:hAnsi="Arial" w:cs="Arial"/>
          <w:sz w:val="24"/>
          <w:szCs w:val="24"/>
          <w:lang w:val="mn-MN"/>
        </w:rPr>
        <w:t>График-1</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сая.төгрөг</w:t>
      </w:r>
    </w:p>
    <w:p w14:paraId="421F34C9" w14:textId="77777777" w:rsidR="00A5533B" w:rsidRDefault="00AD6B5A" w:rsidP="00AD6B5A">
      <w:pPr>
        <w:jc w:val="both"/>
        <w:rPr>
          <w:rFonts w:ascii="Arial" w:hAnsi="Arial" w:cs="Arial"/>
          <w:sz w:val="24"/>
          <w:szCs w:val="24"/>
          <w:lang w:val="mn-MN"/>
        </w:rPr>
      </w:pPr>
      <w:r w:rsidRPr="00AD6B5A">
        <w:rPr>
          <w:rFonts w:ascii="Arial" w:hAnsi="Arial" w:cs="Arial"/>
          <w:noProof/>
          <w:sz w:val="24"/>
          <w:szCs w:val="24"/>
        </w:rPr>
        <w:drawing>
          <wp:inline distT="0" distB="0" distL="0" distR="0" wp14:anchorId="52DC4D1E" wp14:editId="7F25E1AC">
            <wp:extent cx="6119495" cy="3392170"/>
            <wp:effectExtent l="0" t="0" r="14605"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238D537" w14:textId="77777777" w:rsidR="00E20375" w:rsidRDefault="00B83788" w:rsidP="00B83788">
      <w:pPr>
        <w:jc w:val="both"/>
        <w:rPr>
          <w:rFonts w:ascii="Arial" w:hAnsi="Arial" w:cs="Arial"/>
          <w:sz w:val="24"/>
          <w:szCs w:val="24"/>
          <w:lang w:val="mn-MN"/>
        </w:rPr>
      </w:pPr>
      <w:r>
        <w:rPr>
          <w:rFonts w:ascii="Arial" w:hAnsi="Arial" w:cs="Arial"/>
          <w:sz w:val="24"/>
          <w:szCs w:val="24"/>
          <w:lang w:val="mn-MN"/>
        </w:rPr>
        <w:tab/>
      </w:r>
      <w:r w:rsidR="00A5533B">
        <w:rPr>
          <w:rFonts w:ascii="Arial" w:hAnsi="Arial" w:cs="Arial"/>
          <w:sz w:val="24"/>
          <w:szCs w:val="24"/>
          <w:lang w:val="mn-MN"/>
        </w:rPr>
        <w:t xml:space="preserve">Дээрх графикаас харахад төрийн болон орон нутгийн өмчийн оролцоотой компани, үйлдвэрийн 107 </w:t>
      </w:r>
      <w:r w:rsidR="004B540E">
        <w:rPr>
          <w:rFonts w:ascii="Arial" w:hAnsi="Arial" w:cs="Arial"/>
          <w:sz w:val="24"/>
          <w:szCs w:val="24"/>
          <w:lang w:val="mn-MN"/>
        </w:rPr>
        <w:t>байгууллагын</w:t>
      </w:r>
      <w:r w:rsidR="00A5533B">
        <w:rPr>
          <w:rFonts w:ascii="Arial" w:hAnsi="Arial" w:cs="Arial"/>
          <w:sz w:val="24"/>
          <w:szCs w:val="24"/>
          <w:lang w:val="mn-MN"/>
        </w:rPr>
        <w:t xml:space="preserve"> татвар төлөлт </w:t>
      </w:r>
      <w:r w:rsidR="00315970">
        <w:rPr>
          <w:rFonts w:ascii="Arial" w:hAnsi="Arial" w:cs="Arial"/>
          <w:sz w:val="24"/>
          <w:szCs w:val="24"/>
          <w:lang w:val="mn-MN"/>
        </w:rPr>
        <w:t>2012 оноос 2015 он хүртэл</w:t>
      </w:r>
      <w:r w:rsidR="00A5533B">
        <w:rPr>
          <w:rFonts w:ascii="Arial" w:hAnsi="Arial" w:cs="Arial"/>
          <w:sz w:val="24"/>
          <w:szCs w:val="24"/>
          <w:lang w:val="mn-MN"/>
        </w:rPr>
        <w:t xml:space="preserve"> 41.6 хувь, </w:t>
      </w:r>
      <w:r w:rsidR="00315970">
        <w:rPr>
          <w:rFonts w:ascii="Arial" w:hAnsi="Arial" w:cs="Arial"/>
          <w:sz w:val="24"/>
          <w:szCs w:val="24"/>
          <w:lang w:val="mn-MN"/>
        </w:rPr>
        <w:t>2016 оноос 2021 он хүртэл</w:t>
      </w:r>
      <w:r w:rsidR="00A002F6">
        <w:rPr>
          <w:rFonts w:ascii="Arial" w:hAnsi="Arial" w:cs="Arial"/>
          <w:sz w:val="24"/>
          <w:szCs w:val="24"/>
          <w:lang w:val="mn-MN"/>
        </w:rPr>
        <w:t xml:space="preserve"> 79.1 хувиар тус тус өссөн байна. Х</w:t>
      </w:r>
      <w:r w:rsidR="00CA08ED">
        <w:rPr>
          <w:rFonts w:ascii="Arial" w:hAnsi="Arial" w:cs="Arial"/>
          <w:sz w:val="24"/>
          <w:szCs w:val="24"/>
          <w:lang w:val="mn-MN"/>
        </w:rPr>
        <w:t>увийн хэвшлийн болон ТӨААН-ийн</w:t>
      </w:r>
      <w:r w:rsidR="00A002F6">
        <w:rPr>
          <w:rFonts w:ascii="Arial" w:hAnsi="Arial" w:cs="Arial"/>
          <w:sz w:val="24"/>
          <w:szCs w:val="24"/>
          <w:lang w:val="mn-MN"/>
        </w:rPr>
        <w:t xml:space="preserve"> татвар төлөлт</w:t>
      </w:r>
      <w:r w:rsidR="00CA08ED">
        <w:rPr>
          <w:rFonts w:ascii="Arial" w:hAnsi="Arial" w:cs="Arial"/>
          <w:sz w:val="24"/>
          <w:szCs w:val="24"/>
          <w:lang w:val="mn-MN"/>
        </w:rPr>
        <w:t xml:space="preserve"> харьцангуй ижил уялдаатай байгаа боловч 2013-2016 оны хооронд урвуу хамааралтай байна. Өөрөөр хэлбэл 2013-2015 онд хувийн хэвшлийн татвар төлөлт буурч байхад ТӨААН-ийн татвар тө</w:t>
      </w:r>
      <w:r w:rsidR="00770097">
        <w:rPr>
          <w:rFonts w:ascii="Arial" w:hAnsi="Arial" w:cs="Arial"/>
          <w:sz w:val="24"/>
          <w:szCs w:val="24"/>
          <w:lang w:val="mn-MN"/>
        </w:rPr>
        <w:t>лбөр өссөн, харин 2015-2016 онд эсрэгээрээ үзүүлэлттэй байна. Хэдийгээр 2015-2016 онд хувийн хэвшлийн татвар төлөлт өссөн боловч нийт татварын орлого нь ТӨААН-тэй адил буурсан байгаа нь хамаарал өндөр байгааг харуулж байна.</w:t>
      </w:r>
    </w:p>
    <w:p w14:paraId="195882CA" w14:textId="77777777" w:rsidR="00266CB3" w:rsidRPr="00266CB3" w:rsidRDefault="00266CB3" w:rsidP="00266CB3">
      <w:pPr>
        <w:spacing w:after="0"/>
        <w:jc w:val="center"/>
        <w:rPr>
          <w:rFonts w:ascii="Arial" w:hAnsi="Arial" w:cs="Arial"/>
          <w:sz w:val="24"/>
          <w:szCs w:val="24"/>
          <w:u w:val="single"/>
          <w:lang w:val="mn-MN"/>
        </w:rPr>
      </w:pPr>
      <w:r w:rsidRPr="00266CB3">
        <w:rPr>
          <w:rFonts w:ascii="Arial" w:hAnsi="Arial" w:cs="Arial"/>
          <w:sz w:val="24"/>
          <w:szCs w:val="24"/>
          <w:u w:val="single"/>
          <w:lang w:val="mn-MN"/>
        </w:rPr>
        <w:t>Нийт татварын орлого/ТӨААН татвар</w:t>
      </w:r>
    </w:p>
    <w:p w14:paraId="739E30C2" w14:textId="77777777" w:rsidR="009F222C" w:rsidRDefault="00266CB3" w:rsidP="009F222C">
      <w:pPr>
        <w:spacing w:after="0"/>
        <w:jc w:val="right"/>
        <w:rPr>
          <w:rFonts w:ascii="Arial" w:hAnsi="Arial" w:cs="Arial"/>
          <w:sz w:val="24"/>
          <w:szCs w:val="24"/>
          <w:lang w:val="mn-MN"/>
        </w:rPr>
      </w:pPr>
      <w:r>
        <w:rPr>
          <w:rFonts w:ascii="Arial" w:hAnsi="Arial" w:cs="Arial"/>
          <w:sz w:val="24"/>
          <w:szCs w:val="24"/>
          <w:lang w:val="mn-MN"/>
        </w:rPr>
        <w:t>с</w:t>
      </w:r>
      <w:r w:rsidR="009F222C">
        <w:rPr>
          <w:rFonts w:ascii="Arial" w:hAnsi="Arial" w:cs="Arial"/>
          <w:sz w:val="24"/>
          <w:szCs w:val="24"/>
          <w:lang w:val="mn-MN"/>
        </w:rPr>
        <w:t>ая.төгрөг</w:t>
      </w:r>
    </w:p>
    <w:tbl>
      <w:tblPr>
        <w:tblW w:w="11330" w:type="dxa"/>
        <w:tblInd w:w="-1141" w:type="dxa"/>
        <w:tblCellMar>
          <w:left w:w="0" w:type="dxa"/>
          <w:right w:w="0" w:type="dxa"/>
        </w:tblCellMar>
        <w:tblLook w:val="0600" w:firstRow="0" w:lastRow="0" w:firstColumn="0" w:lastColumn="0" w:noHBand="1" w:noVBand="1"/>
      </w:tblPr>
      <w:tblGrid>
        <w:gridCol w:w="1408"/>
        <w:gridCol w:w="992"/>
        <w:gridCol w:w="992"/>
        <w:gridCol w:w="993"/>
        <w:gridCol w:w="992"/>
        <w:gridCol w:w="992"/>
        <w:gridCol w:w="992"/>
        <w:gridCol w:w="992"/>
        <w:gridCol w:w="993"/>
        <w:gridCol w:w="992"/>
        <w:gridCol w:w="992"/>
      </w:tblGrid>
      <w:tr w:rsidR="009F222C" w:rsidRPr="009F222C" w14:paraId="0CF198F9" w14:textId="77777777" w:rsidTr="009F222C">
        <w:trPr>
          <w:trHeight w:val="300"/>
        </w:trPr>
        <w:tc>
          <w:tcPr>
            <w:tcW w:w="1408"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16C17738" w14:textId="77777777" w:rsidR="009F222C" w:rsidRPr="009F222C" w:rsidRDefault="009F222C" w:rsidP="00FF624A">
            <w:pPr>
              <w:spacing w:after="0" w:line="360" w:lineRule="auto"/>
              <w:jc w:val="center"/>
              <w:rPr>
                <w:rFonts w:ascii="Arial" w:hAnsi="Arial" w:cs="Arial"/>
                <w:sz w:val="18"/>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BDD7EE"/>
            <w:tcMar>
              <w:top w:w="15" w:type="dxa"/>
              <w:left w:w="15" w:type="dxa"/>
              <w:bottom w:w="0" w:type="dxa"/>
              <w:right w:w="15" w:type="dxa"/>
            </w:tcMar>
            <w:vAlign w:val="center"/>
            <w:hideMark/>
          </w:tcPr>
          <w:p w14:paraId="170752D3" w14:textId="77777777" w:rsidR="009F222C" w:rsidRPr="009F222C" w:rsidRDefault="009F222C" w:rsidP="00FF624A">
            <w:pPr>
              <w:spacing w:after="0" w:line="360" w:lineRule="auto"/>
              <w:jc w:val="center"/>
              <w:rPr>
                <w:rFonts w:ascii="Arial" w:hAnsi="Arial" w:cs="Arial"/>
                <w:sz w:val="18"/>
                <w:szCs w:val="20"/>
              </w:rPr>
            </w:pPr>
            <w:r w:rsidRPr="009F222C">
              <w:rPr>
                <w:rFonts w:ascii="Arial" w:hAnsi="Arial" w:cs="Arial"/>
                <w:sz w:val="18"/>
                <w:szCs w:val="20"/>
                <w:lang w:val="mn-MN"/>
              </w:rPr>
              <w:t>2012 он</w:t>
            </w:r>
          </w:p>
        </w:tc>
        <w:tc>
          <w:tcPr>
            <w:tcW w:w="992" w:type="dxa"/>
            <w:tcBorders>
              <w:top w:val="single" w:sz="8" w:space="0" w:color="000000"/>
              <w:left w:val="single" w:sz="8" w:space="0" w:color="000000"/>
              <w:bottom w:val="single" w:sz="8" w:space="0" w:color="000000"/>
              <w:right w:val="single" w:sz="8" w:space="0" w:color="000000"/>
            </w:tcBorders>
            <w:shd w:val="clear" w:color="auto" w:fill="BDD7EE"/>
            <w:tcMar>
              <w:top w:w="15" w:type="dxa"/>
              <w:left w:w="15" w:type="dxa"/>
              <w:bottom w:w="0" w:type="dxa"/>
              <w:right w:w="15" w:type="dxa"/>
            </w:tcMar>
            <w:vAlign w:val="center"/>
            <w:hideMark/>
          </w:tcPr>
          <w:p w14:paraId="0F0113F7" w14:textId="77777777" w:rsidR="009F222C" w:rsidRPr="009F222C" w:rsidRDefault="009F222C" w:rsidP="00FF624A">
            <w:pPr>
              <w:spacing w:after="0" w:line="360" w:lineRule="auto"/>
              <w:jc w:val="center"/>
              <w:rPr>
                <w:rFonts w:ascii="Arial" w:hAnsi="Arial" w:cs="Arial"/>
                <w:sz w:val="18"/>
                <w:szCs w:val="20"/>
              </w:rPr>
            </w:pPr>
            <w:r w:rsidRPr="009F222C">
              <w:rPr>
                <w:rFonts w:ascii="Arial" w:hAnsi="Arial" w:cs="Arial"/>
                <w:sz w:val="18"/>
                <w:szCs w:val="20"/>
                <w:lang w:val="mn-MN"/>
              </w:rPr>
              <w:t>2013 он</w:t>
            </w:r>
          </w:p>
        </w:tc>
        <w:tc>
          <w:tcPr>
            <w:tcW w:w="993" w:type="dxa"/>
            <w:tcBorders>
              <w:top w:val="single" w:sz="8" w:space="0" w:color="000000"/>
              <w:left w:val="single" w:sz="8" w:space="0" w:color="000000"/>
              <w:bottom w:val="single" w:sz="8" w:space="0" w:color="000000"/>
              <w:right w:val="single" w:sz="8" w:space="0" w:color="000000"/>
            </w:tcBorders>
            <w:shd w:val="clear" w:color="auto" w:fill="BDD7EE"/>
            <w:tcMar>
              <w:top w:w="15" w:type="dxa"/>
              <w:left w:w="15" w:type="dxa"/>
              <w:bottom w:w="0" w:type="dxa"/>
              <w:right w:w="15" w:type="dxa"/>
            </w:tcMar>
            <w:vAlign w:val="center"/>
            <w:hideMark/>
          </w:tcPr>
          <w:p w14:paraId="37679DC2" w14:textId="77777777" w:rsidR="009F222C" w:rsidRPr="009F222C" w:rsidRDefault="009F222C" w:rsidP="00FF624A">
            <w:pPr>
              <w:spacing w:after="0" w:line="360" w:lineRule="auto"/>
              <w:jc w:val="center"/>
              <w:rPr>
                <w:rFonts w:ascii="Arial" w:hAnsi="Arial" w:cs="Arial"/>
                <w:sz w:val="18"/>
                <w:szCs w:val="20"/>
              </w:rPr>
            </w:pPr>
            <w:r w:rsidRPr="009F222C">
              <w:rPr>
                <w:rFonts w:ascii="Arial" w:hAnsi="Arial" w:cs="Arial"/>
                <w:sz w:val="18"/>
                <w:szCs w:val="20"/>
                <w:lang w:val="mn-MN"/>
              </w:rPr>
              <w:t>2014 он</w:t>
            </w:r>
          </w:p>
        </w:tc>
        <w:tc>
          <w:tcPr>
            <w:tcW w:w="992" w:type="dxa"/>
            <w:tcBorders>
              <w:top w:val="single" w:sz="8" w:space="0" w:color="000000"/>
              <w:left w:val="single" w:sz="8" w:space="0" w:color="000000"/>
              <w:bottom w:val="single" w:sz="8" w:space="0" w:color="000000"/>
              <w:right w:val="single" w:sz="8" w:space="0" w:color="000000"/>
            </w:tcBorders>
            <w:shd w:val="clear" w:color="auto" w:fill="BDD7EE"/>
            <w:tcMar>
              <w:top w:w="15" w:type="dxa"/>
              <w:left w:w="15" w:type="dxa"/>
              <w:bottom w:w="0" w:type="dxa"/>
              <w:right w:w="15" w:type="dxa"/>
            </w:tcMar>
            <w:vAlign w:val="center"/>
            <w:hideMark/>
          </w:tcPr>
          <w:p w14:paraId="1D1BE9B4" w14:textId="77777777" w:rsidR="009F222C" w:rsidRPr="009F222C" w:rsidRDefault="009F222C" w:rsidP="00FF624A">
            <w:pPr>
              <w:spacing w:after="0" w:line="360" w:lineRule="auto"/>
              <w:jc w:val="center"/>
              <w:rPr>
                <w:rFonts w:ascii="Arial" w:hAnsi="Arial" w:cs="Arial"/>
                <w:sz w:val="18"/>
                <w:szCs w:val="20"/>
              </w:rPr>
            </w:pPr>
            <w:r w:rsidRPr="009F222C">
              <w:rPr>
                <w:rFonts w:ascii="Arial" w:hAnsi="Arial" w:cs="Arial"/>
                <w:sz w:val="18"/>
                <w:szCs w:val="20"/>
                <w:lang w:val="mn-MN"/>
              </w:rPr>
              <w:t>2015 он</w:t>
            </w:r>
          </w:p>
        </w:tc>
        <w:tc>
          <w:tcPr>
            <w:tcW w:w="992" w:type="dxa"/>
            <w:tcBorders>
              <w:top w:val="single" w:sz="8" w:space="0" w:color="000000"/>
              <w:left w:val="single" w:sz="8" w:space="0" w:color="000000"/>
              <w:bottom w:val="single" w:sz="8" w:space="0" w:color="000000"/>
              <w:right w:val="single" w:sz="8" w:space="0" w:color="000000"/>
            </w:tcBorders>
            <w:shd w:val="clear" w:color="auto" w:fill="BDD7EE"/>
            <w:tcMar>
              <w:top w:w="15" w:type="dxa"/>
              <w:left w:w="15" w:type="dxa"/>
              <w:bottom w:w="0" w:type="dxa"/>
              <w:right w:w="15" w:type="dxa"/>
            </w:tcMar>
            <w:vAlign w:val="center"/>
            <w:hideMark/>
          </w:tcPr>
          <w:p w14:paraId="52E16A24" w14:textId="77777777" w:rsidR="009F222C" w:rsidRPr="009F222C" w:rsidRDefault="009F222C" w:rsidP="00FF624A">
            <w:pPr>
              <w:spacing w:after="0" w:line="360" w:lineRule="auto"/>
              <w:jc w:val="center"/>
              <w:rPr>
                <w:rFonts w:ascii="Arial" w:hAnsi="Arial" w:cs="Arial"/>
                <w:sz w:val="18"/>
                <w:szCs w:val="20"/>
              </w:rPr>
            </w:pPr>
            <w:r w:rsidRPr="009F222C">
              <w:rPr>
                <w:rFonts w:ascii="Arial" w:hAnsi="Arial" w:cs="Arial"/>
                <w:sz w:val="18"/>
                <w:szCs w:val="20"/>
                <w:lang w:val="mn-MN"/>
              </w:rPr>
              <w:t>2016 он</w:t>
            </w:r>
          </w:p>
        </w:tc>
        <w:tc>
          <w:tcPr>
            <w:tcW w:w="992" w:type="dxa"/>
            <w:tcBorders>
              <w:top w:val="single" w:sz="8" w:space="0" w:color="000000"/>
              <w:left w:val="single" w:sz="8" w:space="0" w:color="000000"/>
              <w:bottom w:val="single" w:sz="8" w:space="0" w:color="000000"/>
              <w:right w:val="single" w:sz="8" w:space="0" w:color="000000"/>
            </w:tcBorders>
            <w:shd w:val="clear" w:color="auto" w:fill="BDD7EE"/>
            <w:tcMar>
              <w:top w:w="15" w:type="dxa"/>
              <w:left w:w="15" w:type="dxa"/>
              <w:bottom w:w="0" w:type="dxa"/>
              <w:right w:w="15" w:type="dxa"/>
            </w:tcMar>
            <w:vAlign w:val="center"/>
            <w:hideMark/>
          </w:tcPr>
          <w:p w14:paraId="2CB1D96C" w14:textId="77777777" w:rsidR="009F222C" w:rsidRPr="009F222C" w:rsidRDefault="009F222C" w:rsidP="00FF624A">
            <w:pPr>
              <w:spacing w:after="0" w:line="360" w:lineRule="auto"/>
              <w:jc w:val="center"/>
              <w:rPr>
                <w:rFonts w:ascii="Arial" w:hAnsi="Arial" w:cs="Arial"/>
                <w:sz w:val="18"/>
                <w:szCs w:val="20"/>
              </w:rPr>
            </w:pPr>
            <w:r w:rsidRPr="009F222C">
              <w:rPr>
                <w:rFonts w:ascii="Arial" w:hAnsi="Arial" w:cs="Arial"/>
                <w:sz w:val="18"/>
                <w:szCs w:val="20"/>
                <w:lang w:val="mn-MN"/>
              </w:rPr>
              <w:t>2017 он</w:t>
            </w:r>
          </w:p>
        </w:tc>
        <w:tc>
          <w:tcPr>
            <w:tcW w:w="992" w:type="dxa"/>
            <w:tcBorders>
              <w:top w:val="single" w:sz="8" w:space="0" w:color="000000"/>
              <w:left w:val="single" w:sz="8" w:space="0" w:color="000000"/>
              <w:bottom w:val="single" w:sz="8" w:space="0" w:color="000000"/>
              <w:right w:val="single" w:sz="8" w:space="0" w:color="000000"/>
            </w:tcBorders>
            <w:shd w:val="clear" w:color="auto" w:fill="BDD7EE"/>
            <w:tcMar>
              <w:top w:w="15" w:type="dxa"/>
              <w:left w:w="15" w:type="dxa"/>
              <w:bottom w:w="0" w:type="dxa"/>
              <w:right w:w="15" w:type="dxa"/>
            </w:tcMar>
            <w:vAlign w:val="center"/>
            <w:hideMark/>
          </w:tcPr>
          <w:p w14:paraId="3DEEBEC1" w14:textId="77777777" w:rsidR="009F222C" w:rsidRPr="009F222C" w:rsidRDefault="009F222C" w:rsidP="00FF624A">
            <w:pPr>
              <w:spacing w:after="0" w:line="360" w:lineRule="auto"/>
              <w:jc w:val="center"/>
              <w:rPr>
                <w:rFonts w:ascii="Arial" w:hAnsi="Arial" w:cs="Arial"/>
                <w:sz w:val="18"/>
                <w:szCs w:val="20"/>
              </w:rPr>
            </w:pPr>
            <w:r w:rsidRPr="009F222C">
              <w:rPr>
                <w:rFonts w:ascii="Arial" w:hAnsi="Arial" w:cs="Arial"/>
                <w:sz w:val="18"/>
                <w:szCs w:val="20"/>
                <w:lang w:val="mn-MN"/>
              </w:rPr>
              <w:t>2018 он</w:t>
            </w:r>
          </w:p>
        </w:tc>
        <w:tc>
          <w:tcPr>
            <w:tcW w:w="993" w:type="dxa"/>
            <w:tcBorders>
              <w:top w:val="single" w:sz="8" w:space="0" w:color="000000"/>
              <w:left w:val="single" w:sz="8" w:space="0" w:color="000000"/>
              <w:bottom w:val="single" w:sz="8" w:space="0" w:color="000000"/>
              <w:right w:val="single" w:sz="8" w:space="0" w:color="000000"/>
            </w:tcBorders>
            <w:shd w:val="clear" w:color="auto" w:fill="BDD7EE"/>
            <w:tcMar>
              <w:top w:w="15" w:type="dxa"/>
              <w:left w:w="15" w:type="dxa"/>
              <w:bottom w:w="0" w:type="dxa"/>
              <w:right w:w="15" w:type="dxa"/>
            </w:tcMar>
            <w:vAlign w:val="center"/>
            <w:hideMark/>
          </w:tcPr>
          <w:p w14:paraId="0B18C6A3" w14:textId="77777777" w:rsidR="009F222C" w:rsidRPr="009F222C" w:rsidRDefault="009F222C" w:rsidP="00FF624A">
            <w:pPr>
              <w:spacing w:after="0" w:line="360" w:lineRule="auto"/>
              <w:jc w:val="center"/>
              <w:rPr>
                <w:rFonts w:ascii="Arial" w:hAnsi="Arial" w:cs="Arial"/>
                <w:sz w:val="18"/>
                <w:szCs w:val="20"/>
              </w:rPr>
            </w:pPr>
            <w:r w:rsidRPr="009F222C">
              <w:rPr>
                <w:rFonts w:ascii="Arial" w:hAnsi="Arial" w:cs="Arial"/>
                <w:sz w:val="18"/>
                <w:szCs w:val="20"/>
                <w:lang w:val="mn-MN"/>
              </w:rPr>
              <w:t>2019 он</w:t>
            </w:r>
          </w:p>
        </w:tc>
        <w:tc>
          <w:tcPr>
            <w:tcW w:w="992" w:type="dxa"/>
            <w:tcBorders>
              <w:top w:val="single" w:sz="8" w:space="0" w:color="000000"/>
              <w:left w:val="single" w:sz="8" w:space="0" w:color="000000"/>
              <w:bottom w:val="single" w:sz="8" w:space="0" w:color="000000"/>
              <w:right w:val="single" w:sz="8" w:space="0" w:color="000000"/>
            </w:tcBorders>
            <w:shd w:val="clear" w:color="auto" w:fill="BDD7EE"/>
            <w:tcMar>
              <w:top w:w="15" w:type="dxa"/>
              <w:left w:w="15" w:type="dxa"/>
              <w:bottom w:w="0" w:type="dxa"/>
              <w:right w:w="15" w:type="dxa"/>
            </w:tcMar>
            <w:vAlign w:val="center"/>
            <w:hideMark/>
          </w:tcPr>
          <w:p w14:paraId="50890A7E" w14:textId="77777777" w:rsidR="009F222C" w:rsidRPr="009F222C" w:rsidRDefault="009F222C" w:rsidP="00FF624A">
            <w:pPr>
              <w:spacing w:after="0" w:line="360" w:lineRule="auto"/>
              <w:jc w:val="center"/>
              <w:rPr>
                <w:rFonts w:ascii="Arial" w:hAnsi="Arial" w:cs="Arial"/>
                <w:sz w:val="18"/>
                <w:szCs w:val="20"/>
              </w:rPr>
            </w:pPr>
            <w:r w:rsidRPr="009F222C">
              <w:rPr>
                <w:rFonts w:ascii="Arial" w:hAnsi="Arial" w:cs="Arial"/>
                <w:sz w:val="18"/>
                <w:szCs w:val="20"/>
                <w:lang w:val="mn-MN"/>
              </w:rPr>
              <w:t>2020 он</w:t>
            </w:r>
          </w:p>
        </w:tc>
        <w:tc>
          <w:tcPr>
            <w:tcW w:w="992" w:type="dxa"/>
            <w:tcBorders>
              <w:top w:val="single" w:sz="8" w:space="0" w:color="000000"/>
              <w:left w:val="single" w:sz="8" w:space="0" w:color="000000"/>
              <w:bottom w:val="single" w:sz="8" w:space="0" w:color="000000"/>
              <w:right w:val="single" w:sz="8" w:space="0" w:color="000000"/>
            </w:tcBorders>
            <w:shd w:val="clear" w:color="auto" w:fill="BDD7EE"/>
            <w:tcMar>
              <w:top w:w="15" w:type="dxa"/>
              <w:left w:w="15" w:type="dxa"/>
              <w:bottom w:w="0" w:type="dxa"/>
              <w:right w:w="15" w:type="dxa"/>
            </w:tcMar>
            <w:vAlign w:val="center"/>
            <w:hideMark/>
          </w:tcPr>
          <w:p w14:paraId="34647537" w14:textId="77777777" w:rsidR="009F222C" w:rsidRPr="009F222C" w:rsidRDefault="009F222C" w:rsidP="00FF624A">
            <w:pPr>
              <w:spacing w:after="0" w:line="360" w:lineRule="auto"/>
              <w:jc w:val="center"/>
              <w:rPr>
                <w:rFonts w:ascii="Arial" w:hAnsi="Arial" w:cs="Arial"/>
                <w:sz w:val="18"/>
                <w:szCs w:val="20"/>
              </w:rPr>
            </w:pPr>
            <w:r w:rsidRPr="009F222C">
              <w:rPr>
                <w:rFonts w:ascii="Arial" w:hAnsi="Arial" w:cs="Arial"/>
                <w:sz w:val="18"/>
                <w:szCs w:val="20"/>
                <w:lang w:val="mn-MN"/>
              </w:rPr>
              <w:t>2021 он</w:t>
            </w:r>
          </w:p>
        </w:tc>
      </w:tr>
      <w:tr w:rsidR="009F222C" w:rsidRPr="009F222C" w14:paraId="3EA9AE10" w14:textId="77777777" w:rsidTr="0083748B">
        <w:trPr>
          <w:trHeight w:val="300"/>
        </w:trPr>
        <w:tc>
          <w:tcPr>
            <w:tcW w:w="1408" w:type="dxa"/>
            <w:tcBorders>
              <w:top w:val="single" w:sz="8" w:space="0" w:color="000000"/>
              <w:left w:val="single" w:sz="8" w:space="0" w:color="000000"/>
              <w:bottom w:val="single" w:sz="8" w:space="0" w:color="000000"/>
              <w:right w:val="single" w:sz="8" w:space="0" w:color="000000"/>
            </w:tcBorders>
            <w:shd w:val="clear" w:color="auto" w:fill="BDD7EE"/>
            <w:tcMar>
              <w:top w:w="15" w:type="dxa"/>
              <w:left w:w="15" w:type="dxa"/>
              <w:bottom w:w="0" w:type="dxa"/>
              <w:right w:w="15" w:type="dxa"/>
            </w:tcMar>
            <w:vAlign w:val="center"/>
            <w:hideMark/>
          </w:tcPr>
          <w:p w14:paraId="2B8641B4"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lang w:val="mn-MN"/>
              </w:rPr>
              <w:lastRenderedPageBreak/>
              <w:t xml:space="preserve">Нийт </w:t>
            </w:r>
            <w:r w:rsidR="0083748B" w:rsidRPr="006B77D9">
              <w:rPr>
                <w:rFonts w:ascii="Arial" w:hAnsi="Arial" w:cs="Arial"/>
                <w:sz w:val="16"/>
                <w:szCs w:val="18"/>
                <w:lang w:val="mn-MN"/>
              </w:rPr>
              <w:t>татварын орлого</w:t>
            </w:r>
          </w:p>
        </w:tc>
        <w:tc>
          <w:tcPr>
            <w:tcW w:w="99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58936789"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2,222,293.8</w:t>
            </w:r>
          </w:p>
        </w:tc>
        <w:tc>
          <w:tcPr>
            <w:tcW w:w="99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29F7E81C"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2,668,986.3</w:t>
            </w:r>
          </w:p>
        </w:tc>
        <w:tc>
          <w:tcPr>
            <w:tcW w:w="993"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26903EE2"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2,754,419.5</w:t>
            </w:r>
          </w:p>
        </w:tc>
        <w:tc>
          <w:tcPr>
            <w:tcW w:w="99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06C92D3C"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2,677,934.1</w:t>
            </w:r>
          </w:p>
        </w:tc>
        <w:tc>
          <w:tcPr>
            <w:tcW w:w="99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6ED9150F"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2,336,138.8</w:t>
            </w:r>
          </w:p>
        </w:tc>
        <w:tc>
          <w:tcPr>
            <w:tcW w:w="99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1909DE7B"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3,761,981.4</w:t>
            </w:r>
          </w:p>
        </w:tc>
        <w:tc>
          <w:tcPr>
            <w:tcW w:w="99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2AA8DC3E"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4,765,508.9</w:t>
            </w:r>
          </w:p>
        </w:tc>
        <w:tc>
          <w:tcPr>
            <w:tcW w:w="993"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2B15FBE9"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5,739,527.3</w:t>
            </w:r>
          </w:p>
        </w:tc>
        <w:tc>
          <w:tcPr>
            <w:tcW w:w="99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056DD4C4"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5,370,762.8</w:t>
            </w:r>
          </w:p>
        </w:tc>
        <w:tc>
          <w:tcPr>
            <w:tcW w:w="99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618822BE"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7,001,426.3</w:t>
            </w:r>
          </w:p>
        </w:tc>
      </w:tr>
      <w:tr w:rsidR="009F222C" w:rsidRPr="009F222C" w14:paraId="13ABAAAE" w14:textId="77777777" w:rsidTr="009F222C">
        <w:trPr>
          <w:trHeight w:val="300"/>
        </w:trPr>
        <w:tc>
          <w:tcPr>
            <w:tcW w:w="1408" w:type="dxa"/>
            <w:tcBorders>
              <w:top w:val="single" w:sz="8" w:space="0" w:color="000000"/>
              <w:left w:val="single" w:sz="8" w:space="0" w:color="000000"/>
              <w:bottom w:val="single" w:sz="8" w:space="0" w:color="000000"/>
              <w:right w:val="single" w:sz="8" w:space="0" w:color="000000"/>
            </w:tcBorders>
            <w:shd w:val="clear" w:color="auto" w:fill="BDD7EE"/>
            <w:tcMar>
              <w:top w:w="15" w:type="dxa"/>
              <w:left w:w="15" w:type="dxa"/>
              <w:bottom w:w="0" w:type="dxa"/>
              <w:right w:w="15" w:type="dxa"/>
            </w:tcMar>
            <w:vAlign w:val="center"/>
            <w:hideMark/>
          </w:tcPr>
          <w:p w14:paraId="0E8769E4"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lang w:val="mn-MN"/>
              </w:rPr>
              <w:t>Төрийн өмчит</w:t>
            </w:r>
          </w:p>
        </w:tc>
        <w:tc>
          <w:tcPr>
            <w:tcW w:w="99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7BF60DA4"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624,514.3</w:t>
            </w:r>
          </w:p>
        </w:tc>
        <w:tc>
          <w:tcPr>
            <w:tcW w:w="99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2976472A"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733,746.7</w:t>
            </w:r>
          </w:p>
        </w:tc>
        <w:tc>
          <w:tcPr>
            <w:tcW w:w="993"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3994D007"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967,913.3</w:t>
            </w:r>
          </w:p>
        </w:tc>
        <w:tc>
          <w:tcPr>
            <w:tcW w:w="99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1CFD781C"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1,069,409.1</w:t>
            </w:r>
          </w:p>
        </w:tc>
        <w:tc>
          <w:tcPr>
            <w:tcW w:w="99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42F57C4D"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600,036.1</w:t>
            </w:r>
          </w:p>
        </w:tc>
        <w:tc>
          <w:tcPr>
            <w:tcW w:w="99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5EAE5D4E"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1,200,244.3</w:t>
            </w:r>
          </w:p>
        </w:tc>
        <w:tc>
          <w:tcPr>
            <w:tcW w:w="99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623E502D"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1,578,932.8</w:t>
            </w:r>
          </w:p>
        </w:tc>
        <w:tc>
          <w:tcPr>
            <w:tcW w:w="993"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0B96BC32"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1,974,808.1</w:t>
            </w:r>
          </w:p>
        </w:tc>
        <w:tc>
          <w:tcPr>
            <w:tcW w:w="99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30BE8895"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1,787,788.0</w:t>
            </w:r>
          </w:p>
        </w:tc>
        <w:tc>
          <w:tcPr>
            <w:tcW w:w="99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188A7B5F"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2,869,096.4</w:t>
            </w:r>
          </w:p>
        </w:tc>
      </w:tr>
      <w:tr w:rsidR="009F222C" w:rsidRPr="009F222C" w14:paraId="65AD47B8" w14:textId="77777777" w:rsidTr="009F222C">
        <w:trPr>
          <w:trHeight w:val="300"/>
        </w:trPr>
        <w:tc>
          <w:tcPr>
            <w:tcW w:w="1408" w:type="dxa"/>
            <w:tcBorders>
              <w:top w:val="single" w:sz="8" w:space="0" w:color="000000"/>
              <w:left w:val="single" w:sz="8" w:space="0" w:color="000000"/>
              <w:bottom w:val="single" w:sz="8" w:space="0" w:color="000000"/>
              <w:right w:val="single" w:sz="8" w:space="0" w:color="000000"/>
            </w:tcBorders>
            <w:shd w:val="clear" w:color="auto" w:fill="BDD7EE"/>
            <w:tcMar>
              <w:top w:w="15" w:type="dxa"/>
              <w:left w:w="15" w:type="dxa"/>
              <w:bottom w:w="0" w:type="dxa"/>
              <w:right w:w="15" w:type="dxa"/>
            </w:tcMar>
            <w:vAlign w:val="center"/>
            <w:hideMark/>
          </w:tcPr>
          <w:p w14:paraId="3BBF8D68"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lang w:val="mn-MN"/>
              </w:rPr>
              <w:t>Төрийн өмчит %</w:t>
            </w:r>
          </w:p>
        </w:tc>
        <w:tc>
          <w:tcPr>
            <w:tcW w:w="99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3EA0B176"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28.1%</w:t>
            </w:r>
          </w:p>
        </w:tc>
        <w:tc>
          <w:tcPr>
            <w:tcW w:w="99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35C4DE2D"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27.5%</w:t>
            </w:r>
          </w:p>
        </w:tc>
        <w:tc>
          <w:tcPr>
            <w:tcW w:w="993"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5C8C23CF"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35.1%</w:t>
            </w:r>
          </w:p>
        </w:tc>
        <w:tc>
          <w:tcPr>
            <w:tcW w:w="99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0746B6A3"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39.9%</w:t>
            </w:r>
          </w:p>
        </w:tc>
        <w:tc>
          <w:tcPr>
            <w:tcW w:w="99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3ED9370C"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25.7%</w:t>
            </w:r>
          </w:p>
        </w:tc>
        <w:tc>
          <w:tcPr>
            <w:tcW w:w="99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2E21AB2A"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31.9%</w:t>
            </w:r>
          </w:p>
        </w:tc>
        <w:tc>
          <w:tcPr>
            <w:tcW w:w="99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5CB041FF"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33.1%</w:t>
            </w:r>
          </w:p>
        </w:tc>
        <w:tc>
          <w:tcPr>
            <w:tcW w:w="993"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70E0C85F"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34.4%</w:t>
            </w:r>
          </w:p>
        </w:tc>
        <w:tc>
          <w:tcPr>
            <w:tcW w:w="99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7A73E490"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33.3%</w:t>
            </w:r>
          </w:p>
        </w:tc>
        <w:tc>
          <w:tcPr>
            <w:tcW w:w="99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14:paraId="4B14527C" w14:textId="77777777" w:rsidR="009F222C" w:rsidRPr="006B77D9" w:rsidRDefault="009F222C" w:rsidP="006B77D9">
            <w:pPr>
              <w:spacing w:after="0" w:line="360" w:lineRule="auto"/>
              <w:jc w:val="center"/>
              <w:rPr>
                <w:rFonts w:ascii="Arial" w:hAnsi="Arial" w:cs="Arial"/>
                <w:sz w:val="16"/>
                <w:szCs w:val="18"/>
              </w:rPr>
            </w:pPr>
            <w:r w:rsidRPr="006B77D9">
              <w:rPr>
                <w:rFonts w:ascii="Arial" w:hAnsi="Arial" w:cs="Arial"/>
                <w:sz w:val="16"/>
                <w:szCs w:val="18"/>
              </w:rPr>
              <w:t>41.0%</w:t>
            </w:r>
          </w:p>
        </w:tc>
      </w:tr>
    </w:tbl>
    <w:p w14:paraId="43A55488" w14:textId="77777777" w:rsidR="0056447B" w:rsidRDefault="00FF624A" w:rsidP="00614FE3">
      <w:pPr>
        <w:ind w:firstLine="720"/>
        <w:jc w:val="both"/>
        <w:rPr>
          <w:rFonts w:ascii="Arial" w:hAnsi="Arial" w:cs="Arial"/>
          <w:sz w:val="24"/>
          <w:szCs w:val="24"/>
          <w:lang w:val="mn-MN"/>
        </w:rPr>
      </w:pPr>
      <w:r>
        <w:rPr>
          <w:rFonts w:ascii="Arial" w:hAnsi="Arial" w:cs="Arial"/>
          <w:sz w:val="24"/>
          <w:szCs w:val="24"/>
          <w:lang w:val="mn-MN"/>
        </w:rPr>
        <w:t>Дээрх хүснэгтээс</w:t>
      </w:r>
      <w:r w:rsidR="0083748B">
        <w:rPr>
          <w:rFonts w:ascii="Arial" w:hAnsi="Arial" w:cs="Arial"/>
          <w:sz w:val="24"/>
          <w:szCs w:val="24"/>
          <w:lang w:val="mn-MN"/>
        </w:rPr>
        <w:t xml:space="preserve"> сүүлийн 10 жилд нийт татварын </w:t>
      </w:r>
      <w:r>
        <w:rPr>
          <w:rFonts w:ascii="Arial" w:hAnsi="Arial" w:cs="Arial"/>
          <w:sz w:val="24"/>
          <w:szCs w:val="24"/>
          <w:lang w:val="mn-MN"/>
        </w:rPr>
        <w:t xml:space="preserve">орлогын хэдэн хувийг ТӨААН бүрдүүлж байгааг харж болно. </w:t>
      </w:r>
    </w:p>
    <w:p w14:paraId="38A8B475" w14:textId="77777777" w:rsidR="00770097" w:rsidRDefault="0056447B" w:rsidP="00614FE3">
      <w:pPr>
        <w:ind w:firstLine="720"/>
        <w:jc w:val="both"/>
        <w:rPr>
          <w:rFonts w:ascii="Arial" w:hAnsi="Arial" w:cs="Arial"/>
          <w:sz w:val="24"/>
          <w:szCs w:val="24"/>
          <w:lang w:val="mn-MN"/>
        </w:rPr>
      </w:pPr>
      <w:r>
        <w:rPr>
          <w:rFonts w:ascii="Arial" w:hAnsi="Arial" w:cs="Arial"/>
          <w:sz w:val="24"/>
          <w:szCs w:val="24"/>
          <w:lang w:val="mn-MN"/>
        </w:rPr>
        <w:t xml:space="preserve">Харин </w:t>
      </w:r>
      <w:r w:rsidR="006E79FC">
        <w:rPr>
          <w:rFonts w:ascii="Arial" w:hAnsi="Arial" w:cs="Arial"/>
          <w:sz w:val="24"/>
          <w:szCs w:val="24"/>
          <w:lang w:val="mn-MN"/>
        </w:rPr>
        <w:t>10 жилийн дунджаар авч үзвэл 33 хувийг ТӨААН бүрдүүлж байгаа бөгөөд</w:t>
      </w:r>
      <w:r w:rsidR="00614FE3">
        <w:rPr>
          <w:rFonts w:ascii="Arial" w:hAnsi="Arial" w:cs="Arial"/>
          <w:sz w:val="24"/>
          <w:szCs w:val="24"/>
          <w:lang w:val="mn-MN"/>
        </w:rPr>
        <w:t xml:space="preserve"> татварт нөлөөлж буй хувь хэмжээ нь</w:t>
      </w:r>
      <w:r w:rsidR="006E79FC">
        <w:rPr>
          <w:rFonts w:ascii="Arial" w:hAnsi="Arial" w:cs="Arial"/>
          <w:sz w:val="24"/>
          <w:szCs w:val="24"/>
          <w:lang w:val="mn-MN"/>
        </w:rPr>
        <w:t xml:space="preserve"> </w:t>
      </w:r>
      <w:r w:rsidR="00614FE3">
        <w:rPr>
          <w:rFonts w:ascii="Arial" w:hAnsi="Arial" w:cs="Arial"/>
          <w:sz w:val="24"/>
          <w:szCs w:val="24"/>
          <w:lang w:val="mn-MN"/>
        </w:rPr>
        <w:t xml:space="preserve">эдийн засгийн өсөлттэй </w:t>
      </w:r>
      <w:r w:rsidR="00A36A4E">
        <w:rPr>
          <w:rFonts w:ascii="Arial" w:hAnsi="Arial" w:cs="Arial"/>
          <w:sz w:val="24"/>
          <w:szCs w:val="24"/>
          <w:lang w:val="mn-MN"/>
        </w:rPr>
        <w:t>хамаарал багатайг дараах графикаас харж болно.</w:t>
      </w:r>
    </w:p>
    <w:p w14:paraId="3B1FB82F" w14:textId="77777777" w:rsidR="00266CB3" w:rsidRDefault="00266CB3" w:rsidP="00266CB3">
      <w:pPr>
        <w:ind w:firstLine="720"/>
        <w:jc w:val="center"/>
        <w:rPr>
          <w:rFonts w:ascii="Arial" w:hAnsi="Arial" w:cs="Arial"/>
          <w:sz w:val="24"/>
          <w:szCs w:val="24"/>
          <w:lang w:val="mn-MN"/>
        </w:rPr>
      </w:pPr>
      <w:r>
        <w:rPr>
          <w:rFonts w:ascii="Arial" w:hAnsi="Arial" w:cs="Arial"/>
          <w:sz w:val="24"/>
          <w:szCs w:val="24"/>
          <w:u w:val="single"/>
          <w:lang w:val="mn-MN"/>
        </w:rPr>
        <w:t>Дотоодын нийт бүтээгдэхүүний өсөлт болон ТӨААН-ийн нийт татварын орлогод эзлэх хувь</w:t>
      </w:r>
    </w:p>
    <w:p w14:paraId="4AE9A815" w14:textId="77777777" w:rsidR="00A36A4E" w:rsidRPr="00614FE3" w:rsidRDefault="001819DB" w:rsidP="001819DB">
      <w:pPr>
        <w:jc w:val="both"/>
        <w:rPr>
          <w:rFonts w:ascii="Arial" w:hAnsi="Arial" w:cs="Arial"/>
          <w:sz w:val="24"/>
          <w:szCs w:val="24"/>
          <w:lang w:val="mn-MN"/>
        </w:rPr>
      </w:pPr>
      <w:r>
        <w:rPr>
          <w:noProof/>
        </w:rPr>
        <w:drawing>
          <wp:inline distT="0" distB="0" distL="0" distR="0" wp14:anchorId="296BDBF0" wp14:editId="29E1583C">
            <wp:extent cx="6050943" cy="2746375"/>
            <wp:effectExtent l="0" t="0" r="6985" b="158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0E212A3" w14:textId="77777777" w:rsidR="00324E30" w:rsidRDefault="005173AF" w:rsidP="005173AF">
      <w:pPr>
        <w:jc w:val="both"/>
        <w:rPr>
          <w:rFonts w:ascii="Arial" w:hAnsi="Arial" w:cs="Arial"/>
          <w:sz w:val="24"/>
          <w:szCs w:val="24"/>
          <w:lang w:val="mn-MN"/>
        </w:rPr>
      </w:pPr>
      <w:r>
        <w:rPr>
          <w:rFonts w:ascii="Arial" w:hAnsi="Arial" w:cs="Arial"/>
          <w:sz w:val="24"/>
          <w:szCs w:val="24"/>
          <w:lang w:val="mn-MN"/>
        </w:rPr>
        <w:tab/>
        <w:t>Дотоодын нийт бүтээгдэхүүнд төр шууд бусаар буюу ТӨААН-ээр дамжуулан нийлүүлэлт хийж байгаа хэмжээ нь сүүлийн 9 жилийн дунджаар 22.</w:t>
      </w:r>
      <w:r w:rsidR="00CF0F96">
        <w:rPr>
          <w:rFonts w:ascii="Arial" w:hAnsi="Arial" w:cs="Arial"/>
          <w:sz w:val="24"/>
          <w:szCs w:val="24"/>
        </w:rPr>
        <w:t>3</w:t>
      </w:r>
      <w:r>
        <w:rPr>
          <w:rFonts w:ascii="Arial" w:hAnsi="Arial" w:cs="Arial"/>
          <w:sz w:val="24"/>
          <w:szCs w:val="24"/>
          <w:lang w:val="mn-MN"/>
        </w:rPr>
        <w:t xml:space="preserve"> хувь</w:t>
      </w:r>
      <w:r w:rsidR="00CF0F96">
        <w:rPr>
          <w:rFonts w:ascii="Arial" w:hAnsi="Arial" w:cs="Arial"/>
          <w:sz w:val="24"/>
          <w:szCs w:val="24"/>
          <w:lang w:val="mn-MN"/>
        </w:rPr>
        <w:t xml:space="preserve">, шууд байдлаар буюу төсвийн зарлагын дотоодын нийт бүтээгдэхүүнд эзлэх хувь </w:t>
      </w:r>
      <w:r w:rsidR="003D0412">
        <w:rPr>
          <w:rFonts w:ascii="Arial" w:hAnsi="Arial" w:cs="Arial"/>
          <w:sz w:val="24"/>
          <w:szCs w:val="24"/>
        </w:rPr>
        <w:t xml:space="preserve">33.3 </w:t>
      </w:r>
      <w:r w:rsidR="003D0412">
        <w:rPr>
          <w:rFonts w:ascii="Arial" w:hAnsi="Arial" w:cs="Arial"/>
          <w:sz w:val="24"/>
          <w:szCs w:val="24"/>
          <w:lang w:val="mn-MN"/>
        </w:rPr>
        <w:t xml:space="preserve">хувь </w:t>
      </w:r>
      <w:r>
        <w:rPr>
          <w:rFonts w:ascii="Arial" w:hAnsi="Arial" w:cs="Arial"/>
          <w:sz w:val="24"/>
          <w:szCs w:val="24"/>
          <w:lang w:val="mn-MN"/>
        </w:rPr>
        <w:t>байна.</w:t>
      </w:r>
      <w:r w:rsidR="003D0412">
        <w:rPr>
          <w:rFonts w:ascii="Arial" w:hAnsi="Arial" w:cs="Arial"/>
          <w:sz w:val="24"/>
          <w:szCs w:val="24"/>
          <w:lang w:val="mn-MN"/>
        </w:rPr>
        <w:t xml:space="preserve"> Өөрөөр хэлбэл давхардсан тоогоор Төр дотоодын нийт бүтээгдэхүүний 55.6 хувийг дангаараа бүрдүүлж байна.</w:t>
      </w:r>
    </w:p>
    <w:p w14:paraId="7BF1A4FE" w14:textId="77777777" w:rsidR="00616889" w:rsidRPr="00324E30" w:rsidRDefault="00616889" w:rsidP="00616889">
      <w:pPr>
        <w:jc w:val="both"/>
        <w:rPr>
          <w:rFonts w:ascii="Arial" w:hAnsi="Arial" w:cs="Arial"/>
          <w:sz w:val="24"/>
          <w:szCs w:val="24"/>
        </w:rPr>
      </w:pPr>
      <w:r>
        <w:rPr>
          <w:noProof/>
        </w:rPr>
        <w:lastRenderedPageBreak/>
        <w:drawing>
          <wp:inline distT="0" distB="0" distL="0" distR="0" wp14:anchorId="4502CBAA" wp14:editId="174C18BE">
            <wp:extent cx="6050915" cy="3630549"/>
            <wp:effectExtent l="0" t="0" r="6985" b="825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053A3CF" w14:textId="77777777" w:rsidR="00ED0306" w:rsidRDefault="00E4527C" w:rsidP="00E4527C">
      <w:pPr>
        <w:jc w:val="both"/>
        <w:rPr>
          <w:rFonts w:ascii="Arial" w:hAnsi="Arial" w:cs="Arial"/>
          <w:sz w:val="24"/>
          <w:szCs w:val="24"/>
          <w:lang w:val="mn-MN"/>
        </w:rPr>
      </w:pPr>
      <w:r>
        <w:rPr>
          <w:rFonts w:ascii="Arial" w:hAnsi="Arial" w:cs="Arial"/>
          <w:sz w:val="24"/>
          <w:szCs w:val="24"/>
          <w:lang w:val="mn-MN"/>
        </w:rPr>
        <w:tab/>
        <w:t>Нийгмийн даатгалын шимтгэл төлөгч ажил олгогчийн тооноос харахад 2021 оны байдлаар нийт 52754 байгууллага байгаагийн 11.2 хувь буюу 5901 байгууллага нь төрийн болон төрийн оролцоотой байгууллага байна.</w:t>
      </w:r>
      <w:r w:rsidR="00106568">
        <w:rPr>
          <w:rFonts w:ascii="Arial" w:hAnsi="Arial" w:cs="Arial"/>
          <w:sz w:val="24"/>
          <w:szCs w:val="24"/>
          <w:lang w:val="mn-MN"/>
        </w:rPr>
        <w:t xml:space="preserve"> 2015 онд 5666 байгууллага байсан болн 2021 онд 5901 байгууллага болж</w:t>
      </w:r>
      <w:r w:rsidR="000F62CC">
        <w:rPr>
          <w:rFonts w:ascii="Arial" w:hAnsi="Arial" w:cs="Arial"/>
          <w:sz w:val="24"/>
          <w:szCs w:val="24"/>
          <w:lang w:val="mn-MN"/>
        </w:rPr>
        <w:t xml:space="preserve"> 7 жилийн дотор</w:t>
      </w:r>
      <w:r w:rsidR="00106568">
        <w:rPr>
          <w:rFonts w:ascii="Arial" w:hAnsi="Arial" w:cs="Arial"/>
          <w:sz w:val="24"/>
          <w:szCs w:val="24"/>
          <w:lang w:val="mn-MN"/>
        </w:rPr>
        <w:t xml:space="preserve"> нийт 235 байгууллага шинээр байгуулагджээ.</w:t>
      </w:r>
      <w:r w:rsidR="000245E3">
        <w:rPr>
          <w:rFonts w:ascii="Arial" w:hAnsi="Arial" w:cs="Arial"/>
          <w:sz w:val="24"/>
          <w:szCs w:val="24"/>
          <w:lang w:val="mn-MN"/>
        </w:rPr>
        <w:t xml:space="preserve"> </w:t>
      </w:r>
      <w:r w:rsidR="00ED0306">
        <w:rPr>
          <w:rFonts w:ascii="Arial" w:hAnsi="Arial" w:cs="Arial"/>
          <w:sz w:val="24"/>
          <w:szCs w:val="24"/>
          <w:lang w:val="mn-MN"/>
        </w:rPr>
        <w:t>Тухайлбал, 2019 онд 68, 2020 онд 219, 2021 онд 56</w:t>
      </w:r>
      <w:r w:rsidR="00DF5049">
        <w:rPr>
          <w:rFonts w:ascii="Arial" w:hAnsi="Arial" w:cs="Arial"/>
          <w:sz w:val="24"/>
          <w:szCs w:val="24"/>
          <w:lang w:val="mn-MN"/>
        </w:rPr>
        <w:t xml:space="preserve"> байгууллагыг шинээр байгуулсан байна.</w:t>
      </w:r>
    </w:p>
    <w:p w14:paraId="23BFDAB2" w14:textId="77777777" w:rsidR="002815BE" w:rsidRDefault="007D4E19" w:rsidP="0035092B">
      <w:pPr>
        <w:ind w:firstLine="720"/>
        <w:jc w:val="both"/>
        <w:rPr>
          <w:rFonts w:ascii="Arial" w:hAnsi="Arial" w:cs="Arial"/>
          <w:sz w:val="24"/>
          <w:szCs w:val="24"/>
          <w:lang w:val="mn-MN"/>
        </w:rPr>
      </w:pPr>
      <w:r>
        <w:rPr>
          <w:rFonts w:ascii="Arial" w:hAnsi="Arial" w:cs="Arial"/>
          <w:sz w:val="24"/>
          <w:szCs w:val="24"/>
          <w:lang w:val="mn-MN"/>
        </w:rPr>
        <w:t>7 жилийн м</w:t>
      </w:r>
      <w:r w:rsidR="000245E3">
        <w:rPr>
          <w:rFonts w:ascii="Arial" w:hAnsi="Arial" w:cs="Arial"/>
          <w:sz w:val="24"/>
          <w:szCs w:val="24"/>
          <w:lang w:val="mn-MN"/>
        </w:rPr>
        <w:t>атематик дунджаар хэлбэл жил бүр 39 байгууллагыг төр шинээр байгуулж байна.</w:t>
      </w:r>
    </w:p>
    <w:p w14:paraId="1235B5BC" w14:textId="77777777" w:rsidR="0035092B" w:rsidRDefault="0035092B" w:rsidP="0035092B">
      <w:pPr>
        <w:spacing w:after="0"/>
        <w:jc w:val="both"/>
        <w:rPr>
          <w:rFonts w:ascii="Arial" w:hAnsi="Arial" w:cs="Arial"/>
          <w:sz w:val="24"/>
          <w:szCs w:val="24"/>
          <w:lang w:val="mn-MN"/>
        </w:rPr>
      </w:pPr>
      <w:r>
        <w:rPr>
          <w:rFonts w:ascii="Arial" w:hAnsi="Arial" w:cs="Arial"/>
          <w:sz w:val="24"/>
          <w:szCs w:val="24"/>
          <w:lang w:val="mn-MN"/>
        </w:rPr>
        <w:tab/>
        <w:t>Хувийн хэвшлийн нийгмийн даатгал төлөгч байгууллагын тоо ихсэх нь чөлөөт эдийн засгийн бүтэцтэй улсын хувьд эрүүл, сайн үзүүлэлт бол, жил бүр олон тооны байгууллага шинээр байгуулах замаар төр өөрөө эдийн засгийн хамгийн том оролцогч болж орж ирэх нь маш сөрөг нөлөөлөл үзүүлнэ.</w:t>
      </w:r>
    </w:p>
    <w:p w14:paraId="3189B1B5" w14:textId="77777777" w:rsidR="008515D5" w:rsidRDefault="0035092B" w:rsidP="00A94DF8">
      <w:pPr>
        <w:spacing w:after="0"/>
        <w:jc w:val="both"/>
        <w:rPr>
          <w:rFonts w:ascii="Arial" w:hAnsi="Arial" w:cs="Arial"/>
          <w:sz w:val="24"/>
          <w:szCs w:val="24"/>
          <w:lang w:val="mn-MN"/>
        </w:rPr>
      </w:pPr>
      <w:r>
        <w:rPr>
          <w:rFonts w:ascii="Arial" w:hAnsi="Arial" w:cs="Arial"/>
          <w:sz w:val="24"/>
          <w:szCs w:val="24"/>
          <w:lang w:val="mn-MN"/>
        </w:rPr>
        <w:lastRenderedPageBreak/>
        <w:tab/>
      </w:r>
      <w:r w:rsidR="00BC0C3A" w:rsidRPr="00BC0C3A">
        <w:rPr>
          <w:rFonts w:ascii="Arial" w:hAnsi="Arial" w:cs="Arial"/>
          <w:noProof/>
          <w:sz w:val="24"/>
          <w:szCs w:val="24"/>
        </w:rPr>
        <w:drawing>
          <wp:inline distT="0" distB="0" distL="0" distR="0" wp14:anchorId="5D5DFEA6" wp14:editId="79FF0709">
            <wp:extent cx="6119495" cy="3524250"/>
            <wp:effectExtent l="0" t="0" r="1460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734061" w14:textId="77777777" w:rsidR="002815BE" w:rsidRDefault="002815BE" w:rsidP="00A5533B">
      <w:pPr>
        <w:tabs>
          <w:tab w:val="left" w:pos="1200"/>
        </w:tabs>
        <w:rPr>
          <w:rFonts w:ascii="Arial" w:hAnsi="Arial" w:cs="Arial"/>
          <w:sz w:val="24"/>
          <w:szCs w:val="24"/>
        </w:rPr>
      </w:pPr>
    </w:p>
    <w:p w14:paraId="027971A1" w14:textId="77777777" w:rsidR="00A94DF8" w:rsidRDefault="001469C6" w:rsidP="001469C6">
      <w:pPr>
        <w:tabs>
          <w:tab w:val="left" w:pos="0"/>
        </w:tabs>
        <w:jc w:val="both"/>
        <w:rPr>
          <w:rFonts w:ascii="Arial" w:hAnsi="Arial" w:cs="Arial"/>
          <w:sz w:val="24"/>
          <w:szCs w:val="24"/>
          <w:lang w:val="mn-MN"/>
        </w:rPr>
      </w:pPr>
      <w:r>
        <w:rPr>
          <w:rFonts w:ascii="Arial" w:hAnsi="Arial" w:cs="Arial"/>
          <w:sz w:val="24"/>
          <w:szCs w:val="24"/>
          <w:lang w:val="mn-MN"/>
        </w:rPr>
        <w:tab/>
        <w:t xml:space="preserve">Дээрх графикт хувийн хэвшлийн тооны өсөлт төрийн байгууллага болон ТӨААН-ийн тооны өсөлтөөс хамаагүй өндөр байгаа мэт боловч нийгмийн даатгалын шимтгэл төлөлт, түүнд эзлэх хувь, хэмжээг харахад эсрэг үр дүнг үзүүлж байна. Энэ нь хувийн хэвшлийн байгууллага олон мэт боловч ажлын байр олноор бий болгох чадамж сул, жижиг бизнес их байгааг харуулж байна. Үүнийг </w:t>
      </w:r>
      <w:r w:rsidR="004312A2">
        <w:rPr>
          <w:rFonts w:ascii="Arial" w:hAnsi="Arial" w:cs="Arial"/>
          <w:sz w:val="24"/>
          <w:szCs w:val="24"/>
          <w:lang w:val="mn-MN"/>
        </w:rPr>
        <w:t xml:space="preserve">төр, </w:t>
      </w:r>
      <w:r w:rsidR="00842733">
        <w:rPr>
          <w:rFonts w:ascii="Arial" w:hAnsi="Arial" w:cs="Arial"/>
          <w:sz w:val="24"/>
          <w:szCs w:val="24"/>
          <w:lang w:val="mn-MN"/>
        </w:rPr>
        <w:t xml:space="preserve">ТӨААН </w:t>
      </w:r>
      <w:r>
        <w:rPr>
          <w:rFonts w:ascii="Arial" w:hAnsi="Arial" w:cs="Arial"/>
          <w:sz w:val="24"/>
          <w:szCs w:val="24"/>
          <w:lang w:val="mn-MN"/>
        </w:rPr>
        <w:t xml:space="preserve">нийт нийгмийн даатгалын шимтгэл төлөгч ажил олгогчийн </w:t>
      </w:r>
      <w:r w:rsidR="002077B1">
        <w:rPr>
          <w:rFonts w:ascii="Arial" w:hAnsi="Arial" w:cs="Arial"/>
          <w:sz w:val="24"/>
          <w:szCs w:val="24"/>
          <w:lang w:val="mn-MN"/>
        </w:rPr>
        <w:t>12 хувь, харин</w:t>
      </w:r>
      <w:r>
        <w:rPr>
          <w:rFonts w:ascii="Arial" w:hAnsi="Arial" w:cs="Arial"/>
          <w:sz w:val="24"/>
          <w:szCs w:val="24"/>
          <w:lang w:val="mn-MN"/>
        </w:rPr>
        <w:t xml:space="preserve"> </w:t>
      </w:r>
      <w:r w:rsidR="002077B1">
        <w:rPr>
          <w:rFonts w:ascii="Arial" w:hAnsi="Arial" w:cs="Arial"/>
          <w:sz w:val="24"/>
          <w:szCs w:val="24"/>
          <w:lang w:val="mn-MN"/>
        </w:rPr>
        <w:t xml:space="preserve">шимтгэл </w:t>
      </w:r>
      <w:r>
        <w:rPr>
          <w:rFonts w:ascii="Arial" w:hAnsi="Arial" w:cs="Arial"/>
          <w:sz w:val="24"/>
          <w:szCs w:val="24"/>
          <w:lang w:val="mn-MN"/>
        </w:rPr>
        <w:t>төлөлтөөрөө</w:t>
      </w:r>
      <w:r w:rsidR="00A712EB">
        <w:rPr>
          <w:rFonts w:ascii="Arial" w:hAnsi="Arial" w:cs="Arial"/>
          <w:sz w:val="24"/>
          <w:szCs w:val="24"/>
          <w:lang w:val="mn-MN"/>
        </w:rPr>
        <w:t xml:space="preserve"> 45 хувийг эзэлж байгаа байдлаар нотолж болно.</w:t>
      </w:r>
    </w:p>
    <w:p w14:paraId="0808DD4C" w14:textId="77777777" w:rsidR="008B45AB" w:rsidRDefault="008B45AB" w:rsidP="001469C6">
      <w:pPr>
        <w:tabs>
          <w:tab w:val="left" w:pos="0"/>
        </w:tabs>
        <w:jc w:val="both"/>
        <w:rPr>
          <w:rFonts w:ascii="Arial" w:hAnsi="Arial" w:cs="Arial"/>
          <w:sz w:val="24"/>
          <w:szCs w:val="24"/>
          <w:lang w:val="mn-MN"/>
        </w:rPr>
      </w:pPr>
      <w:r>
        <w:rPr>
          <w:rFonts w:ascii="Arial" w:hAnsi="Arial" w:cs="Arial"/>
          <w:sz w:val="24"/>
          <w:szCs w:val="24"/>
          <w:lang w:val="mn-MN"/>
        </w:rPr>
        <w:tab/>
        <w:t>Дараах графикаас нийт нийгмийн даатгалын шимтгэлд хувийн болон төр, ТӨААН-ийн эзлэх хувь хэмжээг харж байна. Харьцаа 201</w:t>
      </w:r>
      <w:r w:rsidR="007E6DEE">
        <w:rPr>
          <w:rFonts w:ascii="Arial" w:hAnsi="Arial" w:cs="Arial"/>
          <w:sz w:val="24"/>
          <w:szCs w:val="24"/>
          <w:lang w:val="mn-MN"/>
        </w:rPr>
        <w:t>5</w:t>
      </w:r>
      <w:r>
        <w:rPr>
          <w:rFonts w:ascii="Arial" w:hAnsi="Arial" w:cs="Arial"/>
          <w:sz w:val="24"/>
          <w:szCs w:val="24"/>
          <w:lang w:val="mn-MN"/>
        </w:rPr>
        <w:t>-201</w:t>
      </w:r>
      <w:r w:rsidR="007E6DEE">
        <w:rPr>
          <w:rFonts w:ascii="Arial" w:hAnsi="Arial" w:cs="Arial"/>
          <w:sz w:val="24"/>
          <w:szCs w:val="24"/>
          <w:lang w:val="mn-MN"/>
        </w:rPr>
        <w:t>8</w:t>
      </w:r>
      <w:r>
        <w:rPr>
          <w:rFonts w:ascii="Arial" w:hAnsi="Arial" w:cs="Arial"/>
          <w:sz w:val="24"/>
          <w:szCs w:val="24"/>
          <w:lang w:val="mn-MN"/>
        </w:rPr>
        <w:t xml:space="preserve"> оны хооронд харьцангуй холдож, хувийн хэвшлийн хувь өсч байсан боловч </w:t>
      </w:r>
      <w:r w:rsidR="00BB0BBD">
        <w:rPr>
          <w:rFonts w:ascii="Arial" w:hAnsi="Arial" w:cs="Arial"/>
          <w:sz w:val="24"/>
          <w:szCs w:val="24"/>
          <w:lang w:val="mn-MN"/>
        </w:rPr>
        <w:t>2018 оноос хойш эсрэг үр дүнтэй буюу төр, ТӨААН-ийн эзлэх хувь өссөн байна.</w:t>
      </w:r>
    </w:p>
    <w:p w14:paraId="571E5BBE" w14:textId="77777777" w:rsidR="008B45AB" w:rsidRDefault="008B45AB" w:rsidP="001469C6">
      <w:pPr>
        <w:tabs>
          <w:tab w:val="left" w:pos="0"/>
        </w:tabs>
        <w:jc w:val="both"/>
        <w:rPr>
          <w:rFonts w:ascii="Arial" w:hAnsi="Arial" w:cs="Arial"/>
          <w:sz w:val="24"/>
          <w:szCs w:val="24"/>
          <w:lang w:val="mn-MN"/>
        </w:rPr>
      </w:pPr>
      <w:r>
        <w:rPr>
          <w:noProof/>
        </w:rPr>
        <w:drawing>
          <wp:inline distT="0" distB="0" distL="0" distR="0" wp14:anchorId="47BDD137" wp14:editId="58100904">
            <wp:extent cx="6119495" cy="2743200"/>
            <wp:effectExtent l="0" t="0" r="1460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B25C29" w14:textId="77777777" w:rsidR="0035092B" w:rsidRDefault="00F34876" w:rsidP="00F34876">
      <w:pPr>
        <w:jc w:val="both"/>
        <w:rPr>
          <w:rFonts w:ascii="Arial" w:hAnsi="Arial" w:cs="Arial"/>
          <w:sz w:val="24"/>
          <w:szCs w:val="24"/>
          <w:lang w:val="mn-MN"/>
        </w:rPr>
      </w:pPr>
      <w:r>
        <w:rPr>
          <w:rFonts w:ascii="Arial" w:hAnsi="Arial" w:cs="Arial"/>
          <w:sz w:val="24"/>
          <w:szCs w:val="24"/>
          <w:lang w:val="mn-MN"/>
        </w:rPr>
        <w:lastRenderedPageBreak/>
        <w:tab/>
      </w:r>
      <w:r w:rsidR="00210B79">
        <w:rPr>
          <w:rFonts w:ascii="Arial" w:hAnsi="Arial" w:cs="Arial"/>
          <w:sz w:val="24"/>
          <w:szCs w:val="24"/>
          <w:lang w:val="mn-MN"/>
        </w:rPr>
        <w:t>Нийгм</w:t>
      </w:r>
      <w:r w:rsidR="0011181A">
        <w:rPr>
          <w:rFonts w:ascii="Arial" w:hAnsi="Arial" w:cs="Arial"/>
          <w:sz w:val="24"/>
          <w:szCs w:val="24"/>
          <w:lang w:val="mn-MN"/>
        </w:rPr>
        <w:t xml:space="preserve">ийн даатгалын шимтгэл </w:t>
      </w:r>
      <w:r w:rsidR="00B74850">
        <w:rPr>
          <w:rFonts w:ascii="Arial" w:hAnsi="Arial" w:cs="Arial"/>
          <w:sz w:val="24"/>
          <w:szCs w:val="24"/>
          <w:lang w:val="mn-MN"/>
        </w:rPr>
        <w:t xml:space="preserve">төлөлтийг 2015 оны 2021 онтой харьцуулахад </w:t>
      </w:r>
      <w:r>
        <w:rPr>
          <w:rFonts w:ascii="Arial" w:hAnsi="Arial" w:cs="Arial"/>
          <w:sz w:val="24"/>
          <w:szCs w:val="24"/>
          <w:lang w:val="mn-MN"/>
        </w:rPr>
        <w:t xml:space="preserve">төр, ТӨААН-ийн өсөлт 60 хувь, </w:t>
      </w:r>
      <w:r w:rsidR="002500E3">
        <w:rPr>
          <w:rFonts w:ascii="Arial" w:hAnsi="Arial" w:cs="Arial"/>
          <w:sz w:val="24"/>
          <w:szCs w:val="24"/>
          <w:lang w:val="mn-MN"/>
        </w:rPr>
        <w:t>57.3 хувь</w:t>
      </w:r>
      <w:r w:rsidR="005B642E">
        <w:rPr>
          <w:rFonts w:ascii="Arial" w:hAnsi="Arial" w:cs="Arial"/>
          <w:sz w:val="24"/>
          <w:szCs w:val="24"/>
          <w:lang w:val="mn-MN"/>
        </w:rPr>
        <w:t xml:space="preserve"> тус тус өссөн байна. Өөрөөр хэлбэл </w:t>
      </w:r>
      <w:r w:rsidR="00E60029">
        <w:rPr>
          <w:rFonts w:ascii="Arial" w:hAnsi="Arial" w:cs="Arial"/>
          <w:sz w:val="24"/>
          <w:szCs w:val="24"/>
          <w:lang w:val="mn-MN"/>
        </w:rPr>
        <w:t>төр,</w:t>
      </w:r>
      <w:r w:rsidR="005B642E">
        <w:rPr>
          <w:rFonts w:ascii="Arial" w:hAnsi="Arial" w:cs="Arial"/>
          <w:sz w:val="24"/>
          <w:szCs w:val="24"/>
          <w:lang w:val="mn-MN"/>
        </w:rPr>
        <w:t xml:space="preserve"> ТӨААН-ийн өсөлт нь хувийн хэвшлийн өсөлтийн хурдаас түрүүлж байна.</w:t>
      </w:r>
      <w:r w:rsidR="008F35B2">
        <w:rPr>
          <w:rFonts w:ascii="Arial" w:hAnsi="Arial" w:cs="Arial"/>
          <w:sz w:val="24"/>
          <w:szCs w:val="24"/>
          <w:lang w:val="mn-MN"/>
        </w:rPr>
        <w:t xml:space="preserve"> Ажил олгогч, шимтгэл төлөлтийн энэ дүнгээс харахад Монгол Улсын эдийн засгийн бүтэц төрөөс хэт хамааралтай байгаа, хамаарал сүүлийн жилүүдэд тогтмол нэмэгдэж байгааг харуулж байна.</w:t>
      </w:r>
    </w:p>
    <w:p w14:paraId="4F865AC6" w14:textId="77777777" w:rsidR="009E3E9B" w:rsidRPr="009E3E9B" w:rsidRDefault="009E3E9B" w:rsidP="00A5533B">
      <w:pPr>
        <w:tabs>
          <w:tab w:val="left" w:pos="1200"/>
        </w:tabs>
        <w:rPr>
          <w:rFonts w:ascii="Arial" w:hAnsi="Arial" w:cs="Arial"/>
          <w:sz w:val="24"/>
          <w:szCs w:val="24"/>
          <w:lang w:val="mn-MN"/>
        </w:rPr>
      </w:pPr>
      <w:r w:rsidRPr="0035092B">
        <w:rPr>
          <w:rFonts w:ascii="Arial" w:hAnsi="Arial" w:cs="Arial"/>
          <w:noProof/>
          <w:sz w:val="24"/>
          <w:szCs w:val="24"/>
        </w:rPr>
        <w:drawing>
          <wp:inline distT="0" distB="0" distL="0" distR="0" wp14:anchorId="7A36B6B7" wp14:editId="6484685F">
            <wp:extent cx="6119495" cy="3658870"/>
            <wp:effectExtent l="0" t="0" r="14605" b="1778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553B83" w14:textId="77777777" w:rsidR="002815BE" w:rsidRDefault="008F35B2" w:rsidP="002510D7">
      <w:pPr>
        <w:tabs>
          <w:tab w:val="left" w:pos="0"/>
        </w:tabs>
        <w:jc w:val="both"/>
        <w:rPr>
          <w:rFonts w:ascii="Arial" w:hAnsi="Arial" w:cs="Arial"/>
          <w:sz w:val="24"/>
          <w:szCs w:val="24"/>
          <w:lang w:val="mn-MN"/>
        </w:rPr>
      </w:pPr>
      <w:r>
        <w:rPr>
          <w:rFonts w:ascii="Arial" w:hAnsi="Arial" w:cs="Arial"/>
          <w:sz w:val="24"/>
          <w:szCs w:val="24"/>
          <w:lang w:val="mn-MN"/>
        </w:rPr>
        <w:tab/>
      </w:r>
      <w:r w:rsidR="002510D7">
        <w:rPr>
          <w:rFonts w:ascii="Arial" w:hAnsi="Arial" w:cs="Arial"/>
          <w:sz w:val="24"/>
          <w:szCs w:val="24"/>
          <w:lang w:val="mn-MN"/>
        </w:rPr>
        <w:t>Монгол Улсын эдийн засаг, гадаад валютын нөөц бүрдүүлэлтийн үндсэн бүрэлдэхүүн хэсэг болох экспортын тоон мэдээлэлд төр, ТӨААН-ийн эзлэх хувь</w:t>
      </w:r>
      <w:r w:rsidR="00375C60">
        <w:rPr>
          <w:rFonts w:ascii="Arial" w:hAnsi="Arial" w:cs="Arial"/>
          <w:sz w:val="24"/>
          <w:szCs w:val="24"/>
          <w:lang w:val="mn-MN"/>
        </w:rPr>
        <w:t xml:space="preserve"> </w:t>
      </w:r>
      <w:r w:rsidR="002510D7">
        <w:rPr>
          <w:rFonts w:ascii="Arial" w:hAnsi="Arial" w:cs="Arial"/>
          <w:sz w:val="24"/>
          <w:szCs w:val="24"/>
          <w:lang w:val="mn-MN"/>
        </w:rPr>
        <w:t xml:space="preserve">маш их, өндөр </w:t>
      </w:r>
      <w:r w:rsidR="00375C60">
        <w:rPr>
          <w:rFonts w:ascii="Arial" w:hAnsi="Arial" w:cs="Arial"/>
          <w:sz w:val="24"/>
          <w:szCs w:val="24"/>
          <w:lang w:val="mn-MN"/>
        </w:rPr>
        <w:t>хамааралтай байна.</w:t>
      </w:r>
      <w:r w:rsidR="001D4B1F">
        <w:rPr>
          <w:rFonts w:ascii="Arial" w:hAnsi="Arial" w:cs="Arial"/>
          <w:sz w:val="24"/>
          <w:szCs w:val="24"/>
          <w:lang w:val="mn-MN"/>
        </w:rPr>
        <w:t xml:space="preserve"> Өөрөөр хэлбэл эдийн засгийн гол үзүүлэлтүүдэд төрийн нөлөө, оролцоо хэт их болсныг харуулж байна.</w:t>
      </w:r>
      <w:r w:rsidR="00F63764">
        <w:rPr>
          <w:rFonts w:ascii="Arial" w:hAnsi="Arial" w:cs="Arial"/>
          <w:sz w:val="24"/>
          <w:szCs w:val="24"/>
          <w:lang w:val="mn-MN"/>
        </w:rPr>
        <w:t xml:space="preserve"> Экспортын </w:t>
      </w:r>
      <w:r w:rsidR="0026192D">
        <w:rPr>
          <w:rFonts w:ascii="Arial" w:hAnsi="Arial" w:cs="Arial"/>
          <w:sz w:val="24"/>
          <w:szCs w:val="24"/>
          <w:lang w:val="mn-MN"/>
        </w:rPr>
        <w:t>50.7 хувийг төр дангаараа хийж байна. Энэ нь төр, хувийн хэвшилтэй өрсөлдөж гадаад худалдаанд ямар хэмжээнд жин дарсан тоглогч болохыг нотолж байна.</w:t>
      </w:r>
    </w:p>
    <w:p w14:paraId="10D90BC6" w14:textId="77777777" w:rsidR="001D4B1F" w:rsidRDefault="001D4B1F" w:rsidP="002510D7">
      <w:pPr>
        <w:tabs>
          <w:tab w:val="left" w:pos="0"/>
        </w:tabs>
        <w:jc w:val="both"/>
        <w:rPr>
          <w:rFonts w:ascii="Arial" w:hAnsi="Arial" w:cs="Arial"/>
          <w:sz w:val="24"/>
          <w:szCs w:val="24"/>
          <w:lang w:val="mn-MN"/>
        </w:rPr>
      </w:pPr>
      <w:r w:rsidRPr="001D4B1F">
        <w:rPr>
          <w:rFonts w:ascii="Arial" w:hAnsi="Arial" w:cs="Arial"/>
          <w:noProof/>
          <w:sz w:val="24"/>
          <w:szCs w:val="24"/>
        </w:rPr>
        <w:lastRenderedPageBreak/>
        <w:drawing>
          <wp:inline distT="0" distB="0" distL="0" distR="0" wp14:anchorId="1C08EF22" wp14:editId="1DCAB8AE">
            <wp:extent cx="6119495" cy="3671570"/>
            <wp:effectExtent l="0" t="0" r="14605" b="508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A57614" w14:textId="77777777" w:rsidR="002815BE" w:rsidRDefault="002815BE" w:rsidP="00A5533B">
      <w:pPr>
        <w:tabs>
          <w:tab w:val="left" w:pos="1200"/>
        </w:tabs>
        <w:rPr>
          <w:rFonts w:ascii="Arial" w:hAnsi="Arial" w:cs="Arial"/>
          <w:sz w:val="24"/>
          <w:szCs w:val="24"/>
          <w:lang w:val="mn-MN"/>
        </w:rPr>
      </w:pPr>
    </w:p>
    <w:p w14:paraId="73AFE495" w14:textId="77777777" w:rsidR="002815BE" w:rsidRDefault="002815BE" w:rsidP="00A5533B">
      <w:pPr>
        <w:tabs>
          <w:tab w:val="left" w:pos="1200"/>
        </w:tabs>
        <w:rPr>
          <w:rFonts w:ascii="Arial" w:hAnsi="Arial" w:cs="Arial"/>
          <w:sz w:val="24"/>
          <w:szCs w:val="24"/>
          <w:lang w:val="mn-MN"/>
        </w:rPr>
      </w:pPr>
    </w:p>
    <w:p w14:paraId="3DE12A21" w14:textId="77777777" w:rsidR="002815BE" w:rsidRDefault="002815BE" w:rsidP="00A5533B">
      <w:pPr>
        <w:tabs>
          <w:tab w:val="left" w:pos="1200"/>
        </w:tabs>
        <w:rPr>
          <w:rFonts w:ascii="Arial" w:hAnsi="Arial" w:cs="Arial"/>
          <w:sz w:val="24"/>
          <w:szCs w:val="24"/>
          <w:lang w:val="mn-MN"/>
        </w:rPr>
      </w:pPr>
    </w:p>
    <w:p w14:paraId="021A1387" w14:textId="77777777" w:rsidR="002815BE" w:rsidRDefault="002815BE" w:rsidP="00A5533B">
      <w:pPr>
        <w:tabs>
          <w:tab w:val="left" w:pos="1200"/>
        </w:tabs>
        <w:rPr>
          <w:rFonts w:ascii="Arial" w:hAnsi="Arial" w:cs="Arial"/>
          <w:sz w:val="24"/>
          <w:szCs w:val="24"/>
          <w:lang w:val="mn-MN"/>
        </w:rPr>
      </w:pPr>
    </w:p>
    <w:p w14:paraId="3D6BC5DC" w14:textId="77777777" w:rsidR="002815BE" w:rsidRDefault="002815BE" w:rsidP="00A5533B">
      <w:pPr>
        <w:tabs>
          <w:tab w:val="left" w:pos="1200"/>
        </w:tabs>
        <w:rPr>
          <w:rFonts w:ascii="Arial" w:hAnsi="Arial" w:cs="Arial"/>
          <w:sz w:val="24"/>
          <w:szCs w:val="24"/>
          <w:lang w:val="mn-MN"/>
        </w:rPr>
      </w:pPr>
    </w:p>
    <w:p w14:paraId="6A925C04" w14:textId="77777777" w:rsidR="002815BE" w:rsidRDefault="002815BE" w:rsidP="00A5533B">
      <w:pPr>
        <w:tabs>
          <w:tab w:val="left" w:pos="1200"/>
        </w:tabs>
        <w:rPr>
          <w:rFonts w:ascii="Arial" w:hAnsi="Arial" w:cs="Arial"/>
          <w:sz w:val="24"/>
          <w:szCs w:val="24"/>
          <w:lang w:val="mn-MN"/>
        </w:rPr>
      </w:pPr>
    </w:p>
    <w:p w14:paraId="0BE10728" w14:textId="77777777" w:rsidR="002815BE" w:rsidRPr="00A5533B" w:rsidRDefault="002815BE" w:rsidP="00A5533B">
      <w:pPr>
        <w:tabs>
          <w:tab w:val="left" w:pos="1200"/>
        </w:tabs>
        <w:rPr>
          <w:rFonts w:ascii="Arial" w:hAnsi="Arial" w:cs="Arial"/>
          <w:sz w:val="24"/>
          <w:szCs w:val="24"/>
          <w:lang w:val="mn-MN"/>
        </w:rPr>
      </w:pPr>
    </w:p>
    <w:sectPr w:rsidR="002815BE" w:rsidRPr="00A5533B" w:rsidSect="00DF7F69">
      <w:pgSz w:w="11906" w:h="16838" w:code="9"/>
      <w:pgMar w:top="1134" w:right="851" w:bottom="1134"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012"/>
    <w:rsid w:val="000245E3"/>
    <w:rsid w:val="00036661"/>
    <w:rsid w:val="000F62CC"/>
    <w:rsid w:val="00102C06"/>
    <w:rsid w:val="00106568"/>
    <w:rsid w:val="0011181A"/>
    <w:rsid w:val="001469C6"/>
    <w:rsid w:val="001819DB"/>
    <w:rsid w:val="001D4B1F"/>
    <w:rsid w:val="002077B1"/>
    <w:rsid w:val="00210B79"/>
    <w:rsid w:val="002500E3"/>
    <w:rsid w:val="002510D7"/>
    <w:rsid w:val="0026192D"/>
    <w:rsid w:val="00266CB3"/>
    <w:rsid w:val="002815BE"/>
    <w:rsid w:val="002B2E2F"/>
    <w:rsid w:val="00315970"/>
    <w:rsid w:val="00324E30"/>
    <w:rsid w:val="0035092B"/>
    <w:rsid w:val="00375C60"/>
    <w:rsid w:val="00383DF1"/>
    <w:rsid w:val="003A449C"/>
    <w:rsid w:val="003D0412"/>
    <w:rsid w:val="004312A2"/>
    <w:rsid w:val="00444AC2"/>
    <w:rsid w:val="004B540E"/>
    <w:rsid w:val="005173AF"/>
    <w:rsid w:val="0056447B"/>
    <w:rsid w:val="005A4FE8"/>
    <w:rsid w:val="005B642E"/>
    <w:rsid w:val="00614FE3"/>
    <w:rsid w:val="00616889"/>
    <w:rsid w:val="00630F90"/>
    <w:rsid w:val="0068506D"/>
    <w:rsid w:val="006B77D9"/>
    <w:rsid w:val="006E79FC"/>
    <w:rsid w:val="00725C53"/>
    <w:rsid w:val="00770097"/>
    <w:rsid w:val="007827BF"/>
    <w:rsid w:val="007928F5"/>
    <w:rsid w:val="007C5862"/>
    <w:rsid w:val="007D4E19"/>
    <w:rsid w:val="007D6D46"/>
    <w:rsid w:val="007E6DEE"/>
    <w:rsid w:val="0083748B"/>
    <w:rsid w:val="00842733"/>
    <w:rsid w:val="008515D5"/>
    <w:rsid w:val="00890484"/>
    <w:rsid w:val="008B45AB"/>
    <w:rsid w:val="008D6E27"/>
    <w:rsid w:val="008E734B"/>
    <w:rsid w:val="008F35B2"/>
    <w:rsid w:val="009B0CC0"/>
    <w:rsid w:val="009E3E9B"/>
    <w:rsid w:val="009E6775"/>
    <w:rsid w:val="009F222C"/>
    <w:rsid w:val="00A002F6"/>
    <w:rsid w:val="00A320F0"/>
    <w:rsid w:val="00A34D17"/>
    <w:rsid w:val="00A36A4E"/>
    <w:rsid w:val="00A5533B"/>
    <w:rsid w:val="00A712EB"/>
    <w:rsid w:val="00A76D37"/>
    <w:rsid w:val="00A85F10"/>
    <w:rsid w:val="00A94DF8"/>
    <w:rsid w:val="00AD6B5A"/>
    <w:rsid w:val="00B74850"/>
    <w:rsid w:val="00B83788"/>
    <w:rsid w:val="00B85012"/>
    <w:rsid w:val="00B85F25"/>
    <w:rsid w:val="00BB0BBD"/>
    <w:rsid w:val="00BC0C3A"/>
    <w:rsid w:val="00BD4234"/>
    <w:rsid w:val="00BE727C"/>
    <w:rsid w:val="00C55CA8"/>
    <w:rsid w:val="00CA08ED"/>
    <w:rsid w:val="00CF0F96"/>
    <w:rsid w:val="00DF5049"/>
    <w:rsid w:val="00DF7F69"/>
    <w:rsid w:val="00E20375"/>
    <w:rsid w:val="00E4513F"/>
    <w:rsid w:val="00E4527C"/>
    <w:rsid w:val="00E60029"/>
    <w:rsid w:val="00ED0306"/>
    <w:rsid w:val="00F34876"/>
    <w:rsid w:val="00F63764"/>
    <w:rsid w:val="00FC360E"/>
    <w:rsid w:val="00FE1BBB"/>
    <w:rsid w:val="00FF6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31D9"/>
  <w15:chartTrackingRefBased/>
  <w15:docId w15:val="{3468D5E0-576F-4E68-A124-9EE89B1C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6D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2720">
      <w:bodyDiv w:val="1"/>
      <w:marLeft w:val="0"/>
      <w:marRight w:val="0"/>
      <w:marTop w:val="0"/>
      <w:marBottom w:val="0"/>
      <w:divBdr>
        <w:top w:val="none" w:sz="0" w:space="0" w:color="auto"/>
        <w:left w:val="none" w:sz="0" w:space="0" w:color="auto"/>
        <w:bottom w:val="none" w:sz="0" w:space="0" w:color="auto"/>
        <w:right w:val="none" w:sz="0" w:space="0" w:color="auto"/>
      </w:divBdr>
    </w:div>
    <w:div w:id="94523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C-7\Downloads\&#1058;&#1256;&#1040;&#1040;&#1053;%20&#1090;&#1072;&#1090;&#1074;&#1072;&#1088;%20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D-UBDC\GDP\1212.tootsoolo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D-UBDC\GDP\1212.tootsoolo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C-7\Downloads\&#1058;&#1256;&#1040;&#1040;&#1053;%20&#1090;&#1072;&#1090;&#1074;&#1072;&#1088;%20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D-UBDC\GDP\&#1053;&#1080;&#1081;&#1075;&#1084;&#1080;&#1081;&#1085;%20&#1076;&#1072;&#1072;&#1090;&#1075;&#1072;&#108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PC-7\Downloads\&#1058;&#1256;&#1040;&#1040;&#1053;%20&#1090;&#1072;&#1090;&#1074;&#1072;&#1088;%20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DD-UBDC\GDP\&#1043;&#1072;&#1072;&#1083;&#1080;&#1081;&#1085;%20&#1084;&#1101;&#1076;&#1101;&#1101;&#1083;&#1101;&#1083;%202022.03.24%20107%20AAH%20&#1080;&#1083;&#1075;&#1101;&#1101;&#1093;%20&#1085;&#1080;&#1081;&#1090;_&#1101;&#1082;&#1089;&#1087;&#1086;&#1088;&#1090;%20&#1080;&#1084;&#1087;&#1086;&#1088;&#1090;%20&#1199;&#1199;&#1085;&#1101;&#1101;&#1089;%204%20&#1090;&#1072;&#1083;&#1073;&#1072;&#1088;_&#1085;&#1101;&#1084;&#1089;&#1101;&#1085;.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mn-MN" u="sng"/>
              <a:t>Татварын орлого</a:t>
            </a:r>
            <a:endParaRPr lang="en-US" u="sng"/>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6139885725864637"/>
          <c:y val="2.2837888431299143E-2"/>
          <c:w val="0.73860114274135369"/>
          <c:h val="0.71687356470931585"/>
        </c:manualLayout>
      </c:layout>
      <c:lineChart>
        <c:grouping val="standard"/>
        <c:varyColors val="0"/>
        <c:ser>
          <c:idx val="0"/>
          <c:order val="0"/>
          <c:tx>
            <c:strRef>
              <c:f>Sheet1!$B$7</c:f>
              <c:strCache>
                <c:ptCount val="1"/>
                <c:pt idx="0">
                  <c:v>Нийт хуулийн этгээд</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Sheet1!$F$5:$O$5</c:f>
              <c:strCache>
                <c:ptCount val="10"/>
                <c:pt idx="0">
                  <c:v>2012 он</c:v>
                </c:pt>
                <c:pt idx="1">
                  <c:v>2013 он</c:v>
                </c:pt>
                <c:pt idx="2">
                  <c:v>2014 он</c:v>
                </c:pt>
                <c:pt idx="3">
                  <c:v>2015 он</c:v>
                </c:pt>
                <c:pt idx="4">
                  <c:v>2016 он</c:v>
                </c:pt>
                <c:pt idx="5">
                  <c:v>2017 он</c:v>
                </c:pt>
                <c:pt idx="6">
                  <c:v>2018 он</c:v>
                </c:pt>
                <c:pt idx="7">
                  <c:v>2019 он</c:v>
                </c:pt>
                <c:pt idx="8">
                  <c:v>2020 он</c:v>
                </c:pt>
                <c:pt idx="9">
                  <c:v>2021 он</c:v>
                </c:pt>
              </c:strCache>
            </c:strRef>
          </c:cat>
          <c:val>
            <c:numRef>
              <c:f>Sheet1!$F$7:$O$7</c:f>
              <c:numCache>
                <c:formatCode>_(* #,##0.0_);_(* \(#,##0.0\);_(* "-"??_);_(@_)</c:formatCode>
                <c:ptCount val="10"/>
                <c:pt idx="0">
                  <c:v>2222293.7993096593</c:v>
                </c:pt>
                <c:pt idx="1">
                  <c:v>2668986.2665119004</c:v>
                </c:pt>
                <c:pt idx="2">
                  <c:v>2754419.486420441</c:v>
                </c:pt>
                <c:pt idx="3">
                  <c:v>2677934.0798662701</c:v>
                </c:pt>
                <c:pt idx="4">
                  <c:v>2336138.773022681</c:v>
                </c:pt>
                <c:pt idx="5">
                  <c:v>3761981.4252579999</c:v>
                </c:pt>
                <c:pt idx="6">
                  <c:v>4765508.8738795724</c:v>
                </c:pt>
                <c:pt idx="7">
                  <c:v>5739527.2517384011</c:v>
                </c:pt>
                <c:pt idx="8">
                  <c:v>5370762.8230491607</c:v>
                </c:pt>
                <c:pt idx="9">
                  <c:v>7001426.3403000031</c:v>
                </c:pt>
              </c:numCache>
            </c:numRef>
          </c:val>
          <c:smooth val="0"/>
          <c:extLst>
            <c:ext xmlns:c16="http://schemas.microsoft.com/office/drawing/2014/chart" uri="{C3380CC4-5D6E-409C-BE32-E72D297353CC}">
              <c16:uniqueId val="{00000000-28B3-4674-8C1D-1624932E9141}"/>
            </c:ext>
          </c:extLst>
        </c:ser>
        <c:ser>
          <c:idx val="1"/>
          <c:order val="1"/>
          <c:tx>
            <c:strRef>
              <c:f>Sheet1!$B$8</c:f>
              <c:strCache>
                <c:ptCount val="1"/>
                <c:pt idx="0">
                  <c:v>Үүнээс: Төрийн өмчит</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Sheet1!$F$5:$O$5</c:f>
              <c:strCache>
                <c:ptCount val="10"/>
                <c:pt idx="0">
                  <c:v>2012 он</c:v>
                </c:pt>
                <c:pt idx="1">
                  <c:v>2013 он</c:v>
                </c:pt>
                <c:pt idx="2">
                  <c:v>2014 он</c:v>
                </c:pt>
                <c:pt idx="3">
                  <c:v>2015 он</c:v>
                </c:pt>
                <c:pt idx="4">
                  <c:v>2016 он</c:v>
                </c:pt>
                <c:pt idx="5">
                  <c:v>2017 он</c:v>
                </c:pt>
                <c:pt idx="6">
                  <c:v>2018 он</c:v>
                </c:pt>
                <c:pt idx="7">
                  <c:v>2019 он</c:v>
                </c:pt>
                <c:pt idx="8">
                  <c:v>2020 он</c:v>
                </c:pt>
                <c:pt idx="9">
                  <c:v>2021 он</c:v>
                </c:pt>
              </c:strCache>
            </c:strRef>
          </c:cat>
          <c:val>
            <c:numRef>
              <c:f>Sheet1!$F$8:$O$8</c:f>
              <c:numCache>
                <c:formatCode>_(* #,##0.0_);_(* \(#,##0.0\);_(* "-"??_);_(@_)</c:formatCode>
                <c:ptCount val="10"/>
                <c:pt idx="0">
                  <c:v>624514.26141459006</c:v>
                </c:pt>
                <c:pt idx="1">
                  <c:v>733746.67664885032</c:v>
                </c:pt>
                <c:pt idx="2">
                  <c:v>967913.33170793008</c:v>
                </c:pt>
                <c:pt idx="3">
                  <c:v>1069409.1181022699</c:v>
                </c:pt>
                <c:pt idx="4">
                  <c:v>600036.11954458954</c:v>
                </c:pt>
                <c:pt idx="5">
                  <c:v>1200244.3322194605</c:v>
                </c:pt>
                <c:pt idx="6">
                  <c:v>1578932.82952942</c:v>
                </c:pt>
                <c:pt idx="7">
                  <c:v>1974808.1450563509</c:v>
                </c:pt>
                <c:pt idx="8">
                  <c:v>1787787.9706598893</c:v>
                </c:pt>
                <c:pt idx="9">
                  <c:v>2869096.4167627185</c:v>
                </c:pt>
              </c:numCache>
            </c:numRef>
          </c:val>
          <c:smooth val="0"/>
          <c:extLst>
            <c:ext xmlns:c16="http://schemas.microsoft.com/office/drawing/2014/chart" uri="{C3380CC4-5D6E-409C-BE32-E72D297353CC}">
              <c16:uniqueId val="{00000001-28B3-4674-8C1D-1624932E9141}"/>
            </c:ext>
          </c:extLst>
        </c:ser>
        <c:ser>
          <c:idx val="2"/>
          <c:order val="2"/>
          <c:tx>
            <c:strRef>
              <c:f>Sheet1!$B$9</c:f>
              <c:strCache>
                <c:ptCount val="1"/>
                <c:pt idx="0">
                  <c:v>Бусад хуулийн этгээд</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Sheet1!$F$5:$O$5</c:f>
              <c:strCache>
                <c:ptCount val="10"/>
                <c:pt idx="0">
                  <c:v>2012 он</c:v>
                </c:pt>
                <c:pt idx="1">
                  <c:v>2013 он</c:v>
                </c:pt>
                <c:pt idx="2">
                  <c:v>2014 он</c:v>
                </c:pt>
                <c:pt idx="3">
                  <c:v>2015 он</c:v>
                </c:pt>
                <c:pt idx="4">
                  <c:v>2016 он</c:v>
                </c:pt>
                <c:pt idx="5">
                  <c:v>2017 он</c:v>
                </c:pt>
                <c:pt idx="6">
                  <c:v>2018 он</c:v>
                </c:pt>
                <c:pt idx="7">
                  <c:v>2019 он</c:v>
                </c:pt>
                <c:pt idx="8">
                  <c:v>2020 он</c:v>
                </c:pt>
                <c:pt idx="9">
                  <c:v>2021 он</c:v>
                </c:pt>
              </c:strCache>
            </c:strRef>
          </c:cat>
          <c:val>
            <c:numRef>
              <c:f>Sheet1!$F$9:$O$9</c:f>
              <c:numCache>
                <c:formatCode>_(* #,##0.0_);_(* \(#,##0.0\);_(* "-"??_);_(@_)</c:formatCode>
                <c:ptCount val="10"/>
                <c:pt idx="0">
                  <c:v>1597779.5378950697</c:v>
                </c:pt>
                <c:pt idx="1">
                  <c:v>1935239.5898630505</c:v>
                </c:pt>
                <c:pt idx="2">
                  <c:v>1786506.1547125115</c:v>
                </c:pt>
                <c:pt idx="3">
                  <c:v>1608528.4211849999</c:v>
                </c:pt>
                <c:pt idx="4">
                  <c:v>1736120.688839671</c:v>
                </c:pt>
                <c:pt idx="5">
                  <c:v>2561776.1547181997</c:v>
                </c:pt>
                <c:pt idx="6">
                  <c:v>3186598.9932744522</c:v>
                </c:pt>
                <c:pt idx="7">
                  <c:v>3764732.0533089912</c:v>
                </c:pt>
                <c:pt idx="8">
                  <c:v>3583127.5138469101</c:v>
                </c:pt>
                <c:pt idx="9">
                  <c:v>4132680.2360590231</c:v>
                </c:pt>
              </c:numCache>
            </c:numRef>
          </c:val>
          <c:smooth val="0"/>
          <c:extLst>
            <c:ext xmlns:c16="http://schemas.microsoft.com/office/drawing/2014/chart" uri="{C3380CC4-5D6E-409C-BE32-E72D297353CC}">
              <c16:uniqueId val="{00000002-28B3-4674-8C1D-1624932E9141}"/>
            </c:ext>
          </c:extLst>
        </c:ser>
        <c:dLbls>
          <c:dLblPos val="t"/>
          <c:showLegendKey val="0"/>
          <c:showVal val="1"/>
          <c:showCatName val="0"/>
          <c:showSerName val="0"/>
          <c:showPercent val="0"/>
          <c:showBubbleSize val="0"/>
        </c:dLbls>
        <c:dropLines>
          <c:spPr>
            <a:ln w="9525" cap="flat" cmpd="sng" algn="ctr">
              <a:solidFill>
                <a:schemeClr val="tx1">
                  <a:lumMod val="35000"/>
                  <a:lumOff val="65000"/>
                </a:schemeClr>
              </a:solidFill>
              <a:round/>
            </a:ln>
            <a:effectLst/>
          </c:spPr>
        </c:dropLines>
        <c:marker val="1"/>
        <c:smooth val="0"/>
        <c:axId val="-274416256"/>
        <c:axId val="-274414080"/>
      </c:lineChart>
      <c:catAx>
        <c:axId val="-274416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74414080"/>
        <c:crosses val="autoZero"/>
        <c:auto val="1"/>
        <c:lblAlgn val="ctr"/>
        <c:lblOffset val="100"/>
        <c:noMultiLvlLbl val="0"/>
      </c:catAx>
      <c:valAx>
        <c:axId val="-274414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mn-MN"/>
                  <a:t>сая төгрөг</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_(* #,##0.0_);_(* \(#,##0.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744162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Sheet2!$E$14</c:f>
              <c:strCache>
                <c:ptCount val="1"/>
                <c:pt idx="0">
                  <c:v>ДНБ өсөлт</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Sheet2!$F$5:$N$5</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Sheet2!$F$14:$N$14</c:f>
              <c:numCache>
                <c:formatCode>0.0%</c:formatCode>
                <c:ptCount val="9"/>
                <c:pt idx="0">
                  <c:v>0.125</c:v>
                </c:pt>
                <c:pt idx="1">
                  <c:v>0.11600000000000001</c:v>
                </c:pt>
                <c:pt idx="2">
                  <c:v>8.1000000000000003E-2</c:v>
                </c:pt>
                <c:pt idx="4">
                  <c:v>1.4999999999999999E-2</c:v>
                </c:pt>
                <c:pt idx="5">
                  <c:v>5.6000000000000001E-2</c:v>
                </c:pt>
                <c:pt idx="6">
                  <c:v>7.5999999999999998E-2</c:v>
                </c:pt>
                <c:pt idx="7">
                  <c:v>5.5E-2</c:v>
                </c:pt>
                <c:pt idx="8">
                  <c:v>-4.3999999999999997E-2</c:v>
                </c:pt>
              </c:numCache>
            </c:numRef>
          </c:val>
          <c:smooth val="0"/>
          <c:extLst>
            <c:ext xmlns:c16="http://schemas.microsoft.com/office/drawing/2014/chart" uri="{C3380CC4-5D6E-409C-BE32-E72D297353CC}">
              <c16:uniqueId val="{00000000-77C0-45D3-928A-9FC04F1F7937}"/>
            </c:ext>
          </c:extLst>
        </c:ser>
        <c:ser>
          <c:idx val="1"/>
          <c:order val="1"/>
          <c:tx>
            <c:strRef>
              <c:f>Sheet2!$E$15</c:f>
              <c:strCache>
                <c:ptCount val="1"/>
                <c:pt idx="0">
                  <c:v>Нийт татвар/ТӨААН</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Sheet2!$F$5:$N$5</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Sheet2!$F$15:$N$15</c:f>
              <c:numCache>
                <c:formatCode>0.0%</c:formatCode>
                <c:ptCount val="9"/>
                <c:pt idx="0">
                  <c:v>0.28100000000000003</c:v>
                </c:pt>
                <c:pt idx="1">
                  <c:v>0.27500000000000002</c:v>
                </c:pt>
                <c:pt idx="2">
                  <c:v>0.35099999999999998</c:v>
                </c:pt>
                <c:pt idx="3">
                  <c:v>0.39900000000000002</c:v>
                </c:pt>
                <c:pt idx="4">
                  <c:v>0.25700000000000001</c:v>
                </c:pt>
                <c:pt idx="5">
                  <c:v>0.31900000000000001</c:v>
                </c:pt>
                <c:pt idx="6">
                  <c:v>0.33100000000000002</c:v>
                </c:pt>
                <c:pt idx="7">
                  <c:v>0.34399999999999997</c:v>
                </c:pt>
                <c:pt idx="8">
                  <c:v>0.33300000000000002</c:v>
                </c:pt>
              </c:numCache>
            </c:numRef>
          </c:val>
          <c:smooth val="0"/>
          <c:extLst>
            <c:ext xmlns:c16="http://schemas.microsoft.com/office/drawing/2014/chart" uri="{C3380CC4-5D6E-409C-BE32-E72D297353CC}">
              <c16:uniqueId val="{00000001-77C0-45D3-928A-9FC04F1F7937}"/>
            </c:ext>
          </c:extLst>
        </c:ser>
        <c:dLbls>
          <c:dLblPos val="t"/>
          <c:showLegendKey val="0"/>
          <c:showVal val="1"/>
          <c:showCatName val="0"/>
          <c:showSerName val="0"/>
          <c:showPercent val="0"/>
          <c:showBubbleSize val="0"/>
        </c:dLbls>
        <c:marker val="1"/>
        <c:smooth val="0"/>
        <c:axId val="438649224"/>
        <c:axId val="373450944"/>
      </c:lineChart>
      <c:catAx>
        <c:axId val="438649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73450944"/>
        <c:crosses val="autoZero"/>
        <c:auto val="1"/>
        <c:lblAlgn val="ctr"/>
        <c:lblOffset val="100"/>
        <c:noMultiLvlLbl val="0"/>
      </c:catAx>
      <c:valAx>
        <c:axId val="3734509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8649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mn-MN"/>
              <a:t>ТӨР</a:t>
            </a:r>
            <a:r>
              <a:rPr lang="mn-MN" baseline="0"/>
              <a:t> - ДНБ</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Sheet2!$E$8</c:f>
              <c:strCache>
                <c:ptCount val="1"/>
                <c:pt idx="0">
                  <c:v>Төсвийн зарлага/ДНБ</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Sheet2!$F$5:$N$5</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Sheet2!$F$8:$N$8</c:f>
              <c:numCache>
                <c:formatCode>0%</c:formatCode>
                <c:ptCount val="9"/>
                <c:pt idx="0">
                  <c:v>0.36059739293707593</c:v>
                </c:pt>
                <c:pt idx="1">
                  <c:v>0.32150866809205803</c:v>
                </c:pt>
                <c:pt idx="2">
                  <c:v>0.32143566500397669</c:v>
                </c:pt>
                <c:pt idx="3">
                  <c:v>0.31177297093068057</c:v>
                </c:pt>
                <c:pt idx="4">
                  <c:v>0.39677393110405768</c:v>
                </c:pt>
                <c:pt idx="5">
                  <c:v>0.32192395004787916</c:v>
                </c:pt>
                <c:pt idx="6">
                  <c:v>0.283062747944618</c:v>
                </c:pt>
                <c:pt idx="7">
                  <c:v>0.30819080138992483</c:v>
                </c:pt>
                <c:pt idx="8">
                  <c:v>0.37275211281722004</c:v>
                </c:pt>
              </c:numCache>
            </c:numRef>
          </c:val>
          <c:smooth val="0"/>
          <c:extLst>
            <c:ext xmlns:c16="http://schemas.microsoft.com/office/drawing/2014/chart" uri="{C3380CC4-5D6E-409C-BE32-E72D297353CC}">
              <c16:uniqueId val="{00000000-33A2-4AD6-A7F8-1176332F774B}"/>
            </c:ext>
          </c:extLst>
        </c:ser>
        <c:ser>
          <c:idx val="1"/>
          <c:order val="1"/>
          <c:tx>
            <c:strRef>
              <c:f>Sheet2!$E$9</c:f>
              <c:strCache>
                <c:ptCount val="1"/>
                <c:pt idx="0">
                  <c:v>ТӨК/ДНБ</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Sheet2!$F$5:$N$5</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Sheet2!$F$9:$N$9</c:f>
              <c:numCache>
                <c:formatCode>0.0%</c:formatCode>
                <c:ptCount val="9"/>
                <c:pt idx="0">
                  <c:v>0.21299999999999997</c:v>
                </c:pt>
                <c:pt idx="1">
                  <c:v>0.19899999999999995</c:v>
                </c:pt>
                <c:pt idx="2">
                  <c:v>0.20099999999999996</c:v>
                </c:pt>
                <c:pt idx="3">
                  <c:v>0.20999999999999996</c:v>
                </c:pt>
                <c:pt idx="4">
                  <c:v>0.21499999999999997</c:v>
                </c:pt>
                <c:pt idx="5">
                  <c:v>0.245</c:v>
                </c:pt>
                <c:pt idx="6">
                  <c:v>0.24</c:v>
                </c:pt>
                <c:pt idx="7">
                  <c:v>0.255</c:v>
                </c:pt>
                <c:pt idx="8">
                  <c:v>0.22899999999999998</c:v>
                </c:pt>
              </c:numCache>
            </c:numRef>
          </c:val>
          <c:smooth val="0"/>
          <c:extLst>
            <c:ext xmlns:c16="http://schemas.microsoft.com/office/drawing/2014/chart" uri="{C3380CC4-5D6E-409C-BE32-E72D297353CC}">
              <c16:uniqueId val="{00000001-33A2-4AD6-A7F8-1176332F774B}"/>
            </c:ext>
          </c:extLst>
        </c:ser>
        <c:ser>
          <c:idx val="2"/>
          <c:order val="2"/>
          <c:tx>
            <c:strRef>
              <c:f>Sheet2!$E$10</c:f>
              <c:strCache>
                <c:ptCount val="1"/>
                <c:pt idx="0">
                  <c:v>(Төсвийн зарлага+ТӨК)/ДНБ</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Sheet2!$F$5:$N$5</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Sheet2!$F$10:$N$10</c:f>
              <c:numCache>
                <c:formatCode>0%</c:formatCode>
                <c:ptCount val="9"/>
                <c:pt idx="0">
                  <c:v>0.5735973929370759</c:v>
                </c:pt>
                <c:pt idx="1">
                  <c:v>0.52050866809205798</c:v>
                </c:pt>
                <c:pt idx="2">
                  <c:v>0.52243566500397665</c:v>
                </c:pt>
                <c:pt idx="3">
                  <c:v>0.52177297093068054</c:v>
                </c:pt>
                <c:pt idx="4">
                  <c:v>0.61177393110405764</c:v>
                </c:pt>
                <c:pt idx="5">
                  <c:v>0.5669239500478791</c:v>
                </c:pt>
                <c:pt idx="6">
                  <c:v>0.52306274794461793</c:v>
                </c:pt>
                <c:pt idx="7">
                  <c:v>0.56319080138992483</c:v>
                </c:pt>
                <c:pt idx="8">
                  <c:v>0.60175211281722008</c:v>
                </c:pt>
              </c:numCache>
            </c:numRef>
          </c:val>
          <c:smooth val="0"/>
          <c:extLst>
            <c:ext xmlns:c16="http://schemas.microsoft.com/office/drawing/2014/chart" uri="{C3380CC4-5D6E-409C-BE32-E72D297353CC}">
              <c16:uniqueId val="{00000002-33A2-4AD6-A7F8-1176332F774B}"/>
            </c:ext>
          </c:extLst>
        </c:ser>
        <c:dLbls>
          <c:dLblPos val="t"/>
          <c:showLegendKey val="0"/>
          <c:showVal val="1"/>
          <c:showCatName val="0"/>
          <c:showSerName val="0"/>
          <c:showPercent val="0"/>
          <c:showBubbleSize val="0"/>
        </c:dLbls>
        <c:marker val="1"/>
        <c:smooth val="0"/>
        <c:axId val="431224488"/>
        <c:axId val="431223832"/>
      </c:lineChart>
      <c:catAx>
        <c:axId val="431224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1223832"/>
        <c:crosses val="autoZero"/>
        <c:auto val="1"/>
        <c:lblAlgn val="ctr"/>
        <c:lblOffset val="100"/>
        <c:noMultiLvlLbl val="0"/>
      </c:catAx>
      <c:valAx>
        <c:axId val="4312238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1224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mn-MN" u="sng"/>
              <a:t>Нийгмийн даатгалын шимтгэл төлөгч ажил олгогчийн тоо </a:t>
            </a:r>
            <a:endParaRPr lang="en-US" u="sng"/>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Sheet3!$E$9</c:f>
              <c:strCache>
                <c:ptCount val="1"/>
                <c:pt idx="0">
                  <c:v>Төрийн өмчийн</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Sheet3!$G$8:$M$8</c:f>
              <c:numCache>
                <c:formatCode>General</c:formatCode>
                <c:ptCount val="7"/>
                <c:pt idx="0">
                  <c:v>2015</c:v>
                </c:pt>
                <c:pt idx="1">
                  <c:v>2016</c:v>
                </c:pt>
                <c:pt idx="2">
                  <c:v>2017</c:v>
                </c:pt>
                <c:pt idx="3">
                  <c:v>2018</c:v>
                </c:pt>
                <c:pt idx="4">
                  <c:v>2019</c:v>
                </c:pt>
                <c:pt idx="5">
                  <c:v>2020</c:v>
                </c:pt>
                <c:pt idx="6">
                  <c:v>2021</c:v>
                </c:pt>
              </c:numCache>
            </c:numRef>
          </c:cat>
          <c:val>
            <c:numRef>
              <c:f>Sheet3!$G$9:$M$9</c:f>
              <c:numCache>
                <c:formatCode>_(* #,##0_);_(* \(#,##0\);_(* "-"??_);_(@_)</c:formatCode>
                <c:ptCount val="7"/>
                <c:pt idx="0">
                  <c:v>5666</c:v>
                </c:pt>
                <c:pt idx="1">
                  <c:v>5660</c:v>
                </c:pt>
                <c:pt idx="2">
                  <c:v>5551</c:v>
                </c:pt>
                <c:pt idx="3">
                  <c:v>5558</c:v>
                </c:pt>
                <c:pt idx="4">
                  <c:v>5626</c:v>
                </c:pt>
                <c:pt idx="5">
                  <c:v>5845</c:v>
                </c:pt>
                <c:pt idx="6">
                  <c:v>5901</c:v>
                </c:pt>
              </c:numCache>
            </c:numRef>
          </c:val>
          <c:smooth val="0"/>
          <c:extLst>
            <c:ext xmlns:c16="http://schemas.microsoft.com/office/drawing/2014/chart" uri="{C3380CC4-5D6E-409C-BE32-E72D297353CC}">
              <c16:uniqueId val="{00000000-D95F-45E3-98D3-8834412735EF}"/>
            </c:ext>
          </c:extLst>
        </c:ser>
        <c:ser>
          <c:idx val="1"/>
          <c:order val="1"/>
          <c:tx>
            <c:strRef>
              <c:f>Sheet3!$E$10</c:f>
              <c:strCache>
                <c:ptCount val="1"/>
                <c:pt idx="0">
                  <c:v>Хувийн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Sheet3!$G$8:$M$8</c:f>
              <c:numCache>
                <c:formatCode>General</c:formatCode>
                <c:ptCount val="7"/>
                <c:pt idx="0">
                  <c:v>2015</c:v>
                </c:pt>
                <c:pt idx="1">
                  <c:v>2016</c:v>
                </c:pt>
                <c:pt idx="2">
                  <c:v>2017</c:v>
                </c:pt>
                <c:pt idx="3">
                  <c:v>2018</c:v>
                </c:pt>
                <c:pt idx="4">
                  <c:v>2019</c:v>
                </c:pt>
                <c:pt idx="5">
                  <c:v>2020</c:v>
                </c:pt>
                <c:pt idx="6">
                  <c:v>2021</c:v>
                </c:pt>
              </c:numCache>
            </c:numRef>
          </c:cat>
          <c:val>
            <c:numRef>
              <c:f>Sheet3!$G$10:$M$10</c:f>
              <c:numCache>
                <c:formatCode>_(* #,##0_);_(* \(#,##0\);_(* "-"??_);_(@_)</c:formatCode>
                <c:ptCount val="7"/>
                <c:pt idx="0">
                  <c:v>35982</c:v>
                </c:pt>
                <c:pt idx="1">
                  <c:v>37462</c:v>
                </c:pt>
                <c:pt idx="2">
                  <c:v>38029</c:v>
                </c:pt>
                <c:pt idx="3">
                  <c:v>40334</c:v>
                </c:pt>
                <c:pt idx="4">
                  <c:v>42575</c:v>
                </c:pt>
                <c:pt idx="5">
                  <c:v>43439</c:v>
                </c:pt>
                <c:pt idx="6">
                  <c:v>46853</c:v>
                </c:pt>
              </c:numCache>
            </c:numRef>
          </c:val>
          <c:smooth val="0"/>
          <c:extLst>
            <c:ext xmlns:c16="http://schemas.microsoft.com/office/drawing/2014/chart" uri="{C3380CC4-5D6E-409C-BE32-E72D297353CC}">
              <c16:uniqueId val="{00000001-D95F-45E3-98D3-8834412735EF}"/>
            </c:ext>
          </c:extLst>
        </c:ser>
        <c:ser>
          <c:idx val="2"/>
          <c:order val="2"/>
          <c:tx>
            <c:strRef>
              <c:f>Sheet3!$D$11</c:f>
              <c:strCache>
                <c:ptCount val="1"/>
                <c:pt idx="0">
                  <c:v>Нийт</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Sheet3!$G$8:$M$8</c:f>
              <c:numCache>
                <c:formatCode>General</c:formatCode>
                <c:ptCount val="7"/>
                <c:pt idx="0">
                  <c:v>2015</c:v>
                </c:pt>
                <c:pt idx="1">
                  <c:v>2016</c:v>
                </c:pt>
                <c:pt idx="2">
                  <c:v>2017</c:v>
                </c:pt>
                <c:pt idx="3">
                  <c:v>2018</c:v>
                </c:pt>
                <c:pt idx="4">
                  <c:v>2019</c:v>
                </c:pt>
                <c:pt idx="5">
                  <c:v>2020</c:v>
                </c:pt>
                <c:pt idx="6">
                  <c:v>2021</c:v>
                </c:pt>
              </c:numCache>
            </c:numRef>
          </c:cat>
          <c:val>
            <c:numRef>
              <c:f>Sheet3!$G$11:$M$11</c:f>
              <c:numCache>
                <c:formatCode>_(* #,##0_);_(* \(#,##0\);_(* "-"??_);_(@_)</c:formatCode>
                <c:ptCount val="7"/>
                <c:pt idx="0">
                  <c:v>41648</c:v>
                </c:pt>
                <c:pt idx="1">
                  <c:v>43122</c:v>
                </c:pt>
                <c:pt idx="2">
                  <c:v>43580</c:v>
                </c:pt>
                <c:pt idx="3">
                  <c:v>45892</c:v>
                </c:pt>
                <c:pt idx="4">
                  <c:v>48201</c:v>
                </c:pt>
                <c:pt idx="5">
                  <c:v>49284</c:v>
                </c:pt>
                <c:pt idx="6">
                  <c:v>52754</c:v>
                </c:pt>
              </c:numCache>
            </c:numRef>
          </c:val>
          <c:smooth val="0"/>
          <c:extLst>
            <c:ext xmlns:c16="http://schemas.microsoft.com/office/drawing/2014/chart" uri="{C3380CC4-5D6E-409C-BE32-E72D297353CC}">
              <c16:uniqueId val="{00000002-D95F-45E3-98D3-8834412735EF}"/>
            </c:ext>
          </c:extLst>
        </c:ser>
        <c:dLbls>
          <c:dLblPos val="t"/>
          <c:showLegendKey val="0"/>
          <c:showVal val="1"/>
          <c:showCatName val="0"/>
          <c:showSerName val="0"/>
          <c:showPercent val="0"/>
          <c:showBubbleSize val="0"/>
        </c:dLbls>
        <c:dropLines>
          <c:spPr>
            <a:ln w="9525" cap="flat" cmpd="sng" algn="ctr">
              <a:solidFill>
                <a:schemeClr val="tx1">
                  <a:lumMod val="35000"/>
                  <a:lumOff val="65000"/>
                </a:schemeClr>
              </a:solidFill>
              <a:round/>
            </a:ln>
            <a:effectLst/>
          </c:spPr>
        </c:dropLines>
        <c:marker val="1"/>
        <c:smooth val="0"/>
        <c:axId val="-274417344"/>
        <c:axId val="-274424960"/>
      </c:lineChart>
      <c:catAx>
        <c:axId val="-274417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74424960"/>
        <c:crosses val="autoZero"/>
        <c:auto val="1"/>
        <c:lblAlgn val="ctr"/>
        <c:lblOffset val="100"/>
        <c:noMultiLvlLbl val="0"/>
      </c:catAx>
      <c:valAx>
        <c:axId val="-274424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mn-MN"/>
                  <a:t>сая төгрөг</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74417344"/>
        <c:crosses val="autoZero"/>
        <c:crossBetween val="between"/>
        <c:majorUnit val="5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n-MN"/>
              <a:t>НД шимтгэл төлөлтийн харьцаа,</a:t>
            </a:r>
            <a:r>
              <a:rPr lang="mn-MN" baseline="0"/>
              <a:t> хувиар</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Sheet1!$B$4</c:f>
              <c:strCache>
                <c:ptCount val="1"/>
                <c:pt idx="0">
                  <c:v>Төр, ТӨААН/НД</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Sheet1!$C$1:$I$1</c:f>
              <c:numCache>
                <c:formatCode>General</c:formatCode>
                <c:ptCount val="7"/>
                <c:pt idx="0">
                  <c:v>2015</c:v>
                </c:pt>
                <c:pt idx="1">
                  <c:v>2016</c:v>
                </c:pt>
                <c:pt idx="2">
                  <c:v>2017</c:v>
                </c:pt>
                <c:pt idx="3">
                  <c:v>2018</c:v>
                </c:pt>
                <c:pt idx="4">
                  <c:v>2019</c:v>
                </c:pt>
                <c:pt idx="5">
                  <c:v>2020</c:v>
                </c:pt>
                <c:pt idx="6">
                  <c:v>2021</c:v>
                </c:pt>
              </c:numCache>
            </c:numRef>
          </c:cat>
          <c:val>
            <c:numRef>
              <c:f>Sheet1!$C$4:$I$4</c:f>
              <c:numCache>
                <c:formatCode>0%</c:formatCode>
                <c:ptCount val="7"/>
                <c:pt idx="0">
                  <c:v>0.43525459394444588</c:v>
                </c:pt>
                <c:pt idx="1">
                  <c:v>0.42470789559786093</c:v>
                </c:pt>
                <c:pt idx="2">
                  <c:v>0.40158008788347216</c:v>
                </c:pt>
                <c:pt idx="3">
                  <c:v>0.37360347807173866</c:v>
                </c:pt>
                <c:pt idx="4">
                  <c:v>0.4431870687963792</c:v>
                </c:pt>
                <c:pt idx="5">
                  <c:v>0.46242746337796892</c:v>
                </c:pt>
                <c:pt idx="6">
                  <c:v>0.45060028577496791</c:v>
                </c:pt>
              </c:numCache>
            </c:numRef>
          </c:val>
          <c:smooth val="0"/>
          <c:extLst>
            <c:ext xmlns:c16="http://schemas.microsoft.com/office/drawing/2014/chart" uri="{C3380CC4-5D6E-409C-BE32-E72D297353CC}">
              <c16:uniqueId val="{00000000-C5CF-4ECD-B2D2-D66F7B03AE0C}"/>
            </c:ext>
          </c:extLst>
        </c:ser>
        <c:ser>
          <c:idx val="1"/>
          <c:order val="1"/>
          <c:tx>
            <c:strRef>
              <c:f>Sheet1!$B$6</c:f>
              <c:strCache>
                <c:ptCount val="1"/>
                <c:pt idx="0">
                  <c:v>Хувь/НД</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Sheet1!$C$1:$I$1</c:f>
              <c:numCache>
                <c:formatCode>General</c:formatCode>
                <c:ptCount val="7"/>
                <c:pt idx="0">
                  <c:v>2015</c:v>
                </c:pt>
                <c:pt idx="1">
                  <c:v>2016</c:v>
                </c:pt>
                <c:pt idx="2">
                  <c:v>2017</c:v>
                </c:pt>
                <c:pt idx="3">
                  <c:v>2018</c:v>
                </c:pt>
                <c:pt idx="4">
                  <c:v>2019</c:v>
                </c:pt>
                <c:pt idx="5">
                  <c:v>2020</c:v>
                </c:pt>
                <c:pt idx="6">
                  <c:v>2021</c:v>
                </c:pt>
              </c:numCache>
            </c:numRef>
          </c:cat>
          <c:val>
            <c:numRef>
              <c:f>Sheet1!$C$6:$I$6</c:f>
              <c:numCache>
                <c:formatCode>0%</c:formatCode>
                <c:ptCount val="7"/>
                <c:pt idx="0">
                  <c:v>0.56474540604632684</c:v>
                </c:pt>
                <c:pt idx="1">
                  <c:v>0.57529210440213907</c:v>
                </c:pt>
                <c:pt idx="2">
                  <c:v>0.5984199121165279</c:v>
                </c:pt>
                <c:pt idx="3">
                  <c:v>0.62639652192826134</c:v>
                </c:pt>
                <c:pt idx="4">
                  <c:v>0.55681293120362085</c:v>
                </c:pt>
                <c:pt idx="5">
                  <c:v>0.53757253662203097</c:v>
                </c:pt>
                <c:pt idx="6">
                  <c:v>0.54939971422119716</c:v>
                </c:pt>
              </c:numCache>
            </c:numRef>
          </c:val>
          <c:smooth val="0"/>
          <c:extLst>
            <c:ext xmlns:c16="http://schemas.microsoft.com/office/drawing/2014/chart" uri="{C3380CC4-5D6E-409C-BE32-E72D297353CC}">
              <c16:uniqueId val="{00000001-C5CF-4ECD-B2D2-D66F7B03AE0C}"/>
            </c:ext>
          </c:extLst>
        </c:ser>
        <c:dLbls>
          <c:dLblPos val="t"/>
          <c:showLegendKey val="0"/>
          <c:showVal val="1"/>
          <c:showCatName val="0"/>
          <c:showSerName val="0"/>
          <c:showPercent val="0"/>
          <c:showBubbleSize val="0"/>
        </c:dLbls>
        <c:marker val="1"/>
        <c:smooth val="0"/>
        <c:axId val="370033792"/>
        <c:axId val="370032152"/>
      </c:lineChart>
      <c:catAx>
        <c:axId val="37003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0032152"/>
        <c:crosses val="autoZero"/>
        <c:auto val="1"/>
        <c:lblAlgn val="ctr"/>
        <c:lblOffset val="100"/>
        <c:noMultiLvlLbl val="0"/>
      </c:catAx>
      <c:valAx>
        <c:axId val="3700321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003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mn-MN" u="sng"/>
              <a:t>Нийгмийн даатгалын шимтгэл, ногдуулалтаар , мянган төгрөгөөр </a:t>
            </a:r>
            <a:endParaRPr lang="en-US" u="sng"/>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9436718225932043"/>
          <c:y val="0.14647691773689692"/>
          <c:w val="0.78280413661584825"/>
          <c:h val="0.68100315124614974"/>
        </c:manualLayout>
      </c:layout>
      <c:lineChart>
        <c:grouping val="standard"/>
        <c:varyColors val="0"/>
        <c:ser>
          <c:idx val="0"/>
          <c:order val="0"/>
          <c:tx>
            <c:strRef>
              <c:f>Sheet3!$E$39</c:f>
              <c:strCache>
                <c:ptCount val="1"/>
                <c:pt idx="0">
                  <c:v>Төрийн өмчийн</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Sheet3!$G$38:$M$38</c:f>
              <c:numCache>
                <c:formatCode>General</c:formatCode>
                <c:ptCount val="7"/>
                <c:pt idx="0">
                  <c:v>2015</c:v>
                </c:pt>
                <c:pt idx="1">
                  <c:v>2016</c:v>
                </c:pt>
                <c:pt idx="2">
                  <c:v>2017</c:v>
                </c:pt>
                <c:pt idx="3">
                  <c:v>2018</c:v>
                </c:pt>
                <c:pt idx="4">
                  <c:v>2019</c:v>
                </c:pt>
                <c:pt idx="5">
                  <c:v>2020</c:v>
                </c:pt>
                <c:pt idx="6">
                  <c:v>2021</c:v>
                </c:pt>
              </c:numCache>
            </c:numRef>
          </c:cat>
          <c:val>
            <c:numRef>
              <c:f>Sheet3!$G$39:$M$39</c:f>
              <c:numCache>
                <c:formatCode>_(* #,##0.0_);_(* \(#,##0.0\);_(* "-"??_);_(@_)</c:formatCode>
                <c:ptCount val="7"/>
                <c:pt idx="0">
                  <c:v>471708483.79000002</c:v>
                </c:pt>
                <c:pt idx="1">
                  <c:v>486006583.01999998</c:v>
                </c:pt>
                <c:pt idx="2">
                  <c:v>519340227.73000002</c:v>
                </c:pt>
                <c:pt idx="3">
                  <c:v>602115515.80999994</c:v>
                </c:pt>
                <c:pt idx="4">
                  <c:v>901972493.86000001</c:v>
                </c:pt>
                <c:pt idx="5">
                  <c:v>1068689015.36</c:v>
                </c:pt>
                <c:pt idx="6">
                  <c:v>1174962419.73</c:v>
                </c:pt>
              </c:numCache>
            </c:numRef>
          </c:val>
          <c:smooth val="0"/>
          <c:extLst>
            <c:ext xmlns:c16="http://schemas.microsoft.com/office/drawing/2014/chart" uri="{C3380CC4-5D6E-409C-BE32-E72D297353CC}">
              <c16:uniqueId val="{00000000-26C8-401D-9B8C-20E96C5AFB8A}"/>
            </c:ext>
          </c:extLst>
        </c:ser>
        <c:ser>
          <c:idx val="1"/>
          <c:order val="1"/>
          <c:tx>
            <c:strRef>
              <c:f>Sheet3!$E$40</c:f>
              <c:strCache>
                <c:ptCount val="1"/>
                <c:pt idx="0">
                  <c:v>Хувийн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Sheet3!$G$38:$M$38</c:f>
              <c:numCache>
                <c:formatCode>General</c:formatCode>
                <c:ptCount val="7"/>
                <c:pt idx="0">
                  <c:v>2015</c:v>
                </c:pt>
                <c:pt idx="1">
                  <c:v>2016</c:v>
                </c:pt>
                <c:pt idx="2">
                  <c:v>2017</c:v>
                </c:pt>
                <c:pt idx="3">
                  <c:v>2018</c:v>
                </c:pt>
                <c:pt idx="4">
                  <c:v>2019</c:v>
                </c:pt>
                <c:pt idx="5">
                  <c:v>2020</c:v>
                </c:pt>
                <c:pt idx="6">
                  <c:v>2021</c:v>
                </c:pt>
              </c:numCache>
            </c:numRef>
          </c:cat>
          <c:val>
            <c:numRef>
              <c:f>Sheet3!$G$40:$M$40</c:f>
              <c:numCache>
                <c:formatCode>_(* #,##0.0_);_(* \(#,##0.0\);_(* "-"??_);_(@_)</c:formatCode>
                <c:ptCount val="7"/>
                <c:pt idx="0">
                  <c:v>612044543.39999998</c:v>
                </c:pt>
                <c:pt idx="1">
                  <c:v>658324822.29999995</c:v>
                </c:pt>
                <c:pt idx="2">
                  <c:v>773901751.63999999</c:v>
                </c:pt>
                <c:pt idx="3">
                  <c:v>1009527713.3099999</c:v>
                </c:pt>
                <c:pt idx="4">
                  <c:v>1133223380.22</c:v>
                </c:pt>
                <c:pt idx="5">
                  <c:v>1242352391.1199999</c:v>
                </c:pt>
                <c:pt idx="6">
                  <c:v>1432586791.4400001</c:v>
                </c:pt>
              </c:numCache>
            </c:numRef>
          </c:val>
          <c:smooth val="0"/>
          <c:extLst>
            <c:ext xmlns:c16="http://schemas.microsoft.com/office/drawing/2014/chart" uri="{C3380CC4-5D6E-409C-BE32-E72D297353CC}">
              <c16:uniqueId val="{00000001-26C8-401D-9B8C-20E96C5AFB8A}"/>
            </c:ext>
          </c:extLst>
        </c:ser>
        <c:ser>
          <c:idx val="2"/>
          <c:order val="2"/>
          <c:tx>
            <c:strRef>
              <c:f>Sheet3!$D$64</c:f>
              <c:strCache>
                <c:ptCount val="1"/>
                <c:pt idx="0">
                  <c:v>Нийт</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Sheet3!$G$64:$M$64</c:f>
              <c:numCache>
                <c:formatCode>_(* #,##0.0_);_(* \(#,##0.0\);_(* "-"??_);_(@_)</c:formatCode>
                <c:ptCount val="7"/>
                <c:pt idx="0">
                  <c:v>1083753027.2</c:v>
                </c:pt>
                <c:pt idx="1">
                  <c:v>1144331405.3199999</c:v>
                </c:pt>
                <c:pt idx="2">
                  <c:v>1293241979.3699999</c:v>
                </c:pt>
                <c:pt idx="3">
                  <c:v>1611643229.1199999</c:v>
                </c:pt>
                <c:pt idx="4">
                  <c:v>2035195874.0799999</c:v>
                </c:pt>
                <c:pt idx="5">
                  <c:v>2311041406.48</c:v>
                </c:pt>
                <c:pt idx="6">
                  <c:v>2607549211.1799998</c:v>
                </c:pt>
              </c:numCache>
            </c:numRef>
          </c:val>
          <c:smooth val="0"/>
          <c:extLst>
            <c:ext xmlns:c16="http://schemas.microsoft.com/office/drawing/2014/chart" uri="{C3380CC4-5D6E-409C-BE32-E72D297353CC}">
              <c16:uniqueId val="{00000002-26C8-401D-9B8C-20E96C5AFB8A}"/>
            </c:ext>
          </c:extLst>
        </c:ser>
        <c:dLbls>
          <c:dLblPos val="t"/>
          <c:showLegendKey val="0"/>
          <c:showVal val="1"/>
          <c:showCatName val="0"/>
          <c:showSerName val="0"/>
          <c:showPercent val="0"/>
          <c:showBubbleSize val="0"/>
        </c:dLbls>
        <c:dropLines>
          <c:spPr>
            <a:ln w="9525" cap="flat" cmpd="sng" algn="ctr">
              <a:solidFill>
                <a:schemeClr val="tx1">
                  <a:lumMod val="35000"/>
                  <a:lumOff val="65000"/>
                </a:schemeClr>
              </a:solidFill>
              <a:round/>
            </a:ln>
            <a:effectLst/>
          </c:spPr>
        </c:dropLines>
        <c:marker val="1"/>
        <c:smooth val="0"/>
        <c:axId val="-73230672"/>
        <c:axId val="-73232304"/>
      </c:lineChart>
      <c:catAx>
        <c:axId val="-7323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232304"/>
        <c:crosses val="autoZero"/>
        <c:auto val="1"/>
        <c:lblAlgn val="ctr"/>
        <c:lblOffset val="100"/>
        <c:noMultiLvlLbl val="0"/>
      </c:catAx>
      <c:valAx>
        <c:axId val="-73232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mn-MN"/>
                  <a:t>сая</a:t>
                </a:r>
                <a:r>
                  <a:rPr lang="mn-MN" baseline="0"/>
                  <a:t> төгрөг</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2306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mn-MN"/>
              <a:t>Экспорт</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v>Нийт экспорт</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(Sheet2!$I$7,Sheet2!$K$7,Sheet2!$M$7,Sheet2!$O$7,Sheet2!$Q$7,Sheet2!$S$7,Sheet2!$U$7,Sheet2!$W$7,Sheet2!$Y$7,Sheet2!$AA$7)</c:f>
              <c:strCache>
                <c:ptCount val="10"/>
                <c:pt idx="0">
                  <c:v>2012 он</c:v>
                </c:pt>
                <c:pt idx="1">
                  <c:v>2013 он</c:v>
                </c:pt>
                <c:pt idx="2">
                  <c:v>2014 он</c:v>
                </c:pt>
                <c:pt idx="3">
                  <c:v>2015 он</c:v>
                </c:pt>
                <c:pt idx="4">
                  <c:v>2016 он</c:v>
                </c:pt>
                <c:pt idx="5">
                  <c:v>2017 он</c:v>
                </c:pt>
                <c:pt idx="6">
                  <c:v>2018 он</c:v>
                </c:pt>
                <c:pt idx="7">
                  <c:v>2019 он</c:v>
                </c:pt>
                <c:pt idx="8">
                  <c:v>2020 он</c:v>
                </c:pt>
                <c:pt idx="9">
                  <c:v>2021 он</c:v>
                </c:pt>
              </c:strCache>
            </c:strRef>
          </c:cat>
          <c:val>
            <c:numRef>
              <c:f>(Sheet2!$I$8,Sheet2!$K$8,Sheet2!$M$8,Sheet2!$O$8,Sheet2!$Q$8,Sheet2!$S$8,Sheet2!$U$8,Sheet2!$W$8,Sheet2!$Y$8,Sheet2!$AA$8)</c:f>
              <c:numCache>
                <c:formatCode>_(* #,##0.0_);_(* \(#,##0.0\);_(* "-"??_);_(@_)</c:formatCode>
                <c:ptCount val="10"/>
                <c:pt idx="0">
                  <c:v>4384669245.1920004</c:v>
                </c:pt>
                <c:pt idx="1">
                  <c:v>4269055846.3280001</c:v>
                </c:pt>
                <c:pt idx="2">
                  <c:v>5774330909.3699999</c:v>
                </c:pt>
                <c:pt idx="3">
                  <c:v>4669280457.4775</c:v>
                </c:pt>
                <c:pt idx="4">
                  <c:v>4916326489.4852896</c:v>
                </c:pt>
                <c:pt idx="5">
                  <c:v>6200592971.0139999</c:v>
                </c:pt>
                <c:pt idx="6">
                  <c:v>7011757799.2840004</c:v>
                </c:pt>
                <c:pt idx="7">
                  <c:v>7619632915.7869997</c:v>
                </c:pt>
                <c:pt idx="8">
                  <c:v>7576310851.2969999</c:v>
                </c:pt>
                <c:pt idx="9">
                  <c:v>9247109734.5039997</c:v>
                </c:pt>
              </c:numCache>
            </c:numRef>
          </c:val>
          <c:smooth val="0"/>
          <c:extLst>
            <c:ext xmlns:c16="http://schemas.microsoft.com/office/drawing/2014/chart" uri="{C3380CC4-5D6E-409C-BE32-E72D297353CC}">
              <c16:uniqueId val="{00000000-8B06-4029-A5FA-D20B96E8797B}"/>
            </c:ext>
          </c:extLst>
        </c:ser>
        <c:ser>
          <c:idx val="1"/>
          <c:order val="1"/>
          <c:tx>
            <c:v>ТӨК экспорт</c:v>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(Sheet2!$I$7,Sheet2!$K$7,Sheet2!$M$7,Sheet2!$O$7,Sheet2!$Q$7,Sheet2!$S$7,Sheet2!$U$7,Sheet2!$W$7,Sheet2!$Y$7,Sheet2!$AA$7)</c:f>
              <c:strCache>
                <c:ptCount val="10"/>
                <c:pt idx="0">
                  <c:v>2012 он</c:v>
                </c:pt>
                <c:pt idx="1">
                  <c:v>2013 он</c:v>
                </c:pt>
                <c:pt idx="2">
                  <c:v>2014 он</c:v>
                </c:pt>
                <c:pt idx="3">
                  <c:v>2015 он</c:v>
                </c:pt>
                <c:pt idx="4">
                  <c:v>2016 он</c:v>
                </c:pt>
                <c:pt idx="5">
                  <c:v>2017 он</c:v>
                </c:pt>
                <c:pt idx="6">
                  <c:v>2018 он</c:v>
                </c:pt>
                <c:pt idx="7">
                  <c:v>2019 он</c:v>
                </c:pt>
                <c:pt idx="8">
                  <c:v>2020 он</c:v>
                </c:pt>
                <c:pt idx="9">
                  <c:v>2021 он</c:v>
                </c:pt>
              </c:strCache>
            </c:strRef>
          </c:cat>
          <c:val>
            <c:numRef>
              <c:f>(Sheet2!$I$10,Sheet2!$K$10,Sheet2!$M$10,Sheet2!$O$10,Sheet2!$Q$10,Sheet2!$S$10,Sheet2!$U$10,Sheet2!$W$10,Sheet2!$Y$10,Sheet2!$AA$10)</c:f>
              <c:numCache>
                <c:formatCode>_(* #,##0.0_);_(* \(#,##0.0\);_(* "-"??_);_(@_)</c:formatCode>
                <c:ptCount val="10"/>
                <c:pt idx="0">
                  <c:v>1151108611.9400001</c:v>
                </c:pt>
                <c:pt idx="1">
                  <c:v>1113293383.2970002</c:v>
                </c:pt>
                <c:pt idx="2">
                  <c:v>2920391313.322</c:v>
                </c:pt>
                <c:pt idx="3">
                  <c:v>2505089811.5710001</c:v>
                </c:pt>
                <c:pt idx="4">
                  <c:v>2027823524.6039999</c:v>
                </c:pt>
                <c:pt idx="5">
                  <c:v>2355907560.033</c:v>
                </c:pt>
                <c:pt idx="6">
                  <c:v>3189187225.967</c:v>
                </c:pt>
                <c:pt idx="7">
                  <c:v>3219647671.0570002</c:v>
                </c:pt>
                <c:pt idx="8">
                  <c:v>2727892679.8439999</c:v>
                </c:pt>
                <c:pt idx="9">
                  <c:v>4692531038.5580006</c:v>
                </c:pt>
              </c:numCache>
            </c:numRef>
          </c:val>
          <c:smooth val="0"/>
          <c:extLst>
            <c:ext xmlns:c16="http://schemas.microsoft.com/office/drawing/2014/chart" uri="{C3380CC4-5D6E-409C-BE32-E72D297353CC}">
              <c16:uniqueId val="{00000001-8B06-4029-A5FA-D20B96E8797B}"/>
            </c:ext>
          </c:extLst>
        </c:ser>
        <c:dLbls>
          <c:dLblPos val="t"/>
          <c:showLegendKey val="0"/>
          <c:showVal val="1"/>
          <c:showCatName val="0"/>
          <c:showSerName val="0"/>
          <c:showPercent val="0"/>
          <c:showBubbleSize val="0"/>
        </c:dLbls>
        <c:marker val="1"/>
        <c:smooth val="0"/>
        <c:axId val="384342408"/>
        <c:axId val="384343064"/>
      </c:lineChart>
      <c:catAx>
        <c:axId val="384342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4343064"/>
        <c:crosses val="autoZero"/>
        <c:auto val="1"/>
        <c:lblAlgn val="ctr"/>
        <c:lblOffset val="100"/>
        <c:noMultiLvlLbl val="0"/>
      </c:catAx>
      <c:valAx>
        <c:axId val="384343064"/>
        <c:scaling>
          <c:orientation val="minMax"/>
        </c:scaling>
        <c:delete val="0"/>
        <c:axPos val="l"/>
        <c:majorGridlines>
          <c:spPr>
            <a:ln w="9525" cap="flat" cmpd="sng" algn="ctr">
              <a:solidFill>
                <a:schemeClr val="tx1">
                  <a:lumMod val="15000"/>
                  <a:lumOff val="85000"/>
                </a:schemeClr>
              </a:solidFill>
              <a:round/>
            </a:ln>
            <a:effectLst/>
          </c:spPr>
        </c:majorGridlines>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4342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1A3B5-6D70-43E0-91EF-778E3965B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6</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PC-7</dc:creator>
  <cp:keywords/>
  <dc:description/>
  <cp:lastModifiedBy>Balgan Lkhagvasuren</cp:lastModifiedBy>
  <cp:revision>85</cp:revision>
  <cp:lastPrinted>2022-04-20T02:52:00Z</cp:lastPrinted>
  <dcterms:created xsi:type="dcterms:W3CDTF">2022-03-29T10:56:00Z</dcterms:created>
  <dcterms:modified xsi:type="dcterms:W3CDTF">2022-04-20T03:02:00Z</dcterms:modified>
</cp:coreProperties>
</file>